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pPr>
      <w:r>
        <w:rPr/>
      </w:r>
    </w:p>
    <w:p>
      <w:pPr>
        <w:pStyle w:val="TextBody"/>
        <w:spacing w:before="0" w:after="0"/>
        <w:rPr/>
      </w:pPr>
      <w:r>
        <w:rPr/>
      </w: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spacing w:lineRule="auto" w:line="288" w:before="60" w:after="283"/>
        <w:jc w:val="center"/>
        <w:rPr>
          <w:color w:val="000000"/>
        </w:rPr>
      </w:pPr>
      <w:r>
        <w:rPr>
          <w:color w:val="000000"/>
        </w:rPr>
        <w:t>☒    </w:t>
      </w:r>
      <w:r>
        <w:rPr>
          <w:rFonts w:ascii="Times New Roman;sans-serif" w:hAnsi="Times New Roman;sans-serif"/>
          <w:b/>
          <w:color w:val="000000"/>
          <w:sz w:val="20"/>
        </w:rPr>
        <w:t>QUARTERLY REPORT PURSUANT TO SECTION 13 OR 15(d) OF THE SECURITIES EXCHANGE ACT OF 1934</w:t>
      </w:r>
    </w:p>
    <w:p>
      <w:pPr>
        <w:pStyle w:val="TextBody"/>
        <w:spacing w:lineRule="auto" w:line="288" w:before="120" w:after="283"/>
        <w:jc w:val="center"/>
        <w:rPr/>
      </w:pPr>
      <w:r>
        <w:rPr>
          <w:rFonts w:ascii="Times New Roman;sans-serif" w:hAnsi="Times New Roman;sans-serif"/>
          <w:b/>
          <w:color w:val="000000"/>
          <w:sz w:val="24"/>
        </w:rPr>
        <w:t>For the Quarterly Period Ended March 31, 2023</w:t>
      </w:r>
      <w:r>
        <w:rPr>
          <w:color w:val="000000"/>
        </w:rPr>
        <w:t xml:space="preserve">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spacing w:lineRule="auto" w:line="288" w:before="120" w:after="283"/>
        <w:ind w:left="0" w:right="0" w:firstLine="90"/>
        <w:jc w:val="center"/>
        <w:rPr/>
      </w:pPr>
      <w:r>
        <w:rPr>
          <w:color w:val="000000"/>
        </w:rPr>
        <w:t>☐    </w:t>
      </w:r>
      <w:r>
        <w:rPr>
          <w:rFonts w:ascii="Times New Roman;sans-serif" w:hAnsi="Times New Roman;sans-serif"/>
          <w:b/>
          <w:color w:val="000000"/>
          <w:sz w:val="20"/>
        </w:rPr>
        <w:t>TRANSITION REPORT PURSUANT TO SECTION 13 OR 15(d) OF THE SECURITIES EXCHANGE ACT OF 1934</w:t>
      </w:r>
    </w:p>
    <w:p>
      <w:pPr>
        <w:pStyle w:val="TextBody"/>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 to ______</w:t>
      </w:r>
    </w:p>
    <w:p>
      <w:pPr>
        <w:pStyle w:val="TextBody"/>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 xml:space="preserve">Commission File Number 001-38136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pPr>
      <w:r>
        <w:rPr>
          <w:rFonts w:ascii="Times New Roman;sans-serif" w:hAnsi="Times New Roman;sans-serif"/>
          <w:b/>
          <w:color w:val="000000"/>
          <w:sz w:val="32"/>
        </w:rPr>
        <w:t>Accel Entertainment, Inc.</w:t>
      </w:r>
      <w:r>
        <w:rPr>
          <w:color w:val="000000"/>
        </w:rPr>
        <w:t xml:space="preserve"> </w:t>
      </w:r>
    </w:p>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4091" w:type="dxa"/>
        <w:jc w:val="center"/>
        <w:tblInd w:w="0" w:type="dxa"/>
        <w:tblCellMar>
          <w:top w:w="28" w:type="dxa"/>
          <w:left w:w="28" w:type="dxa"/>
          <w:bottom w:w="28" w:type="dxa"/>
          <w:right w:w="28" w:type="dxa"/>
        </w:tblCellMar>
      </w:tblPr>
      <w:tblGrid>
        <w:gridCol w:w="465"/>
        <w:gridCol w:w="410"/>
        <w:gridCol w:w="410"/>
        <w:gridCol w:w="410"/>
        <w:gridCol w:w="410"/>
        <w:gridCol w:w="420"/>
        <w:gridCol w:w="457"/>
        <w:gridCol w:w="457"/>
        <w:gridCol w:w="652"/>
      </w:tblGrid>
      <w:tr>
        <w:trPr/>
        <w:tc>
          <w:tcPr>
            <w:tcW w:w="465"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r>
      <w:tr>
        <w:trPr/>
        <w:tc>
          <w:tcPr>
            <w:tcW w:w="2525"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Delaware</w:t>
            </w:r>
          </w:p>
        </w:tc>
        <w:tc>
          <w:tcPr>
            <w:tcW w:w="15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98-1350261</w:t>
            </w:r>
          </w:p>
        </w:tc>
      </w:tr>
      <w:tr>
        <w:trPr/>
        <w:tc>
          <w:tcPr>
            <w:tcW w:w="2525"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(State or Other Jurisdiction of</w:t>
              <w:br/>
              <w:t>Incorporation or Organization)</w:t>
            </w:r>
          </w:p>
        </w:tc>
        <w:tc>
          <w:tcPr>
            <w:tcW w:w="15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(I.R.S. Employer</w:t>
              <w:br/>
              <w:t>Identification No.)</w:t>
            </w:r>
          </w:p>
        </w:tc>
      </w:tr>
      <w:tr>
        <w:trPr/>
        <w:tc>
          <w:tcPr>
            <w:tcW w:w="1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1"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140 Tower Drive</w:t>
            </w:r>
          </w:p>
        </w:tc>
      </w:tr>
      <w:tr>
        <w:trPr/>
        <w:tc>
          <w:tcPr>
            <w:tcW w:w="4091"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Burr Ridge, Illinois 60527 </w:t>
            </w:r>
          </w:p>
        </w:tc>
      </w:tr>
      <w:tr>
        <w:trPr/>
        <w:tc>
          <w:tcPr>
            <w:tcW w:w="4091"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 (Zip Code)</w:t>
            </w:r>
          </w:p>
        </w:tc>
      </w:tr>
    </w:tbl>
    <w:p>
      <w:pPr>
        <w:pStyle w:val="TextBody"/>
        <w:spacing w:lineRule="auto" w:line="288"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(630) 972-2235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(Registrant’s telephone number, including area code)</w:t>
      </w:r>
    </w:p>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8654" w:type="dxa"/>
        <w:jc w:val="center"/>
        <w:tblInd w:w="0" w:type="dxa"/>
        <w:tblCellMar>
          <w:top w:w="28" w:type="dxa"/>
          <w:left w:w="28" w:type="dxa"/>
          <w:bottom w:w="28" w:type="dxa"/>
          <w:right w:w="28" w:type="dxa"/>
        </w:tblCellMar>
      </w:tblPr>
      <w:tblGrid>
        <w:gridCol w:w="1391"/>
        <w:gridCol w:w="1228"/>
        <w:gridCol w:w="1236"/>
        <w:gridCol w:w="444"/>
        <w:gridCol w:w="444"/>
        <w:gridCol w:w="446"/>
        <w:gridCol w:w="1014"/>
        <w:gridCol w:w="1014"/>
        <w:gridCol w:w="1437"/>
      </w:tblGrid>
      <w:tr>
        <w:trPr/>
        <w:tc>
          <w:tcPr>
            <w:tcW w:w="1391"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1437" w:type="dxa"/>
            <w:tcBorders/>
            <w:shd w:fill="auto" w:val="clear"/>
            <w:vAlign w:val="center"/>
          </w:tcPr>
          <w:p>
            <w:pPr>
              <w:pStyle w:val="TableContents"/>
              <w:spacing w:before="0" w:after="283"/>
              <w:rPr>
                <w:sz w:val="4"/>
                <w:szCs w:val="4"/>
              </w:rPr>
            </w:pPr>
            <w:r>
              <w:rPr>
                <w:sz w:val="4"/>
                <w:szCs w:val="4"/>
              </w:rPr>
            </w:r>
          </w:p>
        </w:tc>
      </w:tr>
      <w:tr>
        <w:trPr/>
        <w:tc>
          <w:tcPr>
            <w:tcW w:w="38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33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38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A-1 Common Stock, par value $.0001 per share</w:t>
            </w:r>
          </w:p>
        </w:tc>
        <w:tc>
          <w:tcPr>
            <w:tcW w:w="133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ACEL</w:t>
            </w:r>
          </w:p>
        </w:tc>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New York Stock Exchange</w:t>
            </w:r>
          </w:p>
        </w:tc>
      </w:tr>
    </w:tbl>
    <w:p>
      <w:pPr>
        <w:pStyle w:val="TextBody"/>
        <w:spacing w:before="20" w:after="283"/>
        <w:ind w:left="0" w:right="0" w:firstLine="360"/>
        <w:jc w:val="both"/>
        <w:rPr/>
      </w:pPr>
      <w:r>
        <w:rPr/>
      </w:r>
    </w:p>
    <w:p>
      <w:pPr>
        <w:pStyle w:val="TextBody"/>
        <w:spacing w:lineRule="auto" w:line="288" w:before="20" w:after="283"/>
        <w:ind w:left="0" w:right="0" w:firstLine="360"/>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120" w:after="283"/>
        <w:ind w:left="0" w:right="0" w:firstLine="36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6" w:type="dxa"/>
        <w:jc w:val="center"/>
        <w:tblInd w:w="0" w:type="dxa"/>
        <w:tblCellMar>
          <w:top w:w="28" w:type="dxa"/>
          <w:left w:w="28" w:type="dxa"/>
          <w:bottom w:w="28" w:type="dxa"/>
          <w:right w:w="28" w:type="dxa"/>
        </w:tblCellMar>
      </w:tblPr>
      <w:tblGrid>
        <w:gridCol w:w="604"/>
        <w:gridCol w:w="530"/>
        <w:gridCol w:w="532"/>
        <w:gridCol w:w="109"/>
        <w:gridCol w:w="109"/>
        <w:gridCol w:w="109"/>
        <w:gridCol w:w="109"/>
        <w:gridCol w:w="109"/>
        <w:gridCol w:w="109"/>
        <w:gridCol w:w="673"/>
        <w:gridCol w:w="673"/>
        <w:gridCol w:w="678"/>
        <w:gridCol w:w="109"/>
        <w:gridCol w:w="109"/>
        <w:gridCol w:w="154"/>
      </w:tblGrid>
      <w:tr>
        <w:trPr/>
        <w:tc>
          <w:tcPr>
            <w:tcW w:w="604"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r>
      <w:tr>
        <w:trPr/>
        <w:tc>
          <w:tcPr>
            <w:tcW w:w="16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r>
      <w:tr>
        <w:trPr/>
        <w:tc>
          <w:tcPr>
            <w:tcW w:w="1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r>
    </w:tbl>
    <w:p>
      <w:pPr>
        <w:pStyle w:val="TextBody"/>
        <w:spacing w:before="20" w:after="283"/>
        <w:ind w:left="0" w:right="0" w:firstLine="360"/>
        <w:jc w:val="both"/>
        <w:rPr/>
      </w:pPr>
      <w:r>
        <w:rPr/>
      </w:r>
    </w:p>
    <w:p>
      <w:pPr>
        <w:pStyle w:val="TextBody"/>
        <w:spacing w:lineRule="auto" w:line="288" w:before="20" w:after="283"/>
        <w:ind w:left="0" w:right="0" w:firstLine="360"/>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spacing w:lineRule="auto" w:line="288" w:before="120" w:after="283"/>
        <w:ind w:left="0" w:right="0" w:firstLine="360"/>
        <w:jc w:val="both"/>
        <w:rPr/>
      </w:pPr>
      <w:r>
        <w:rPr>
          <w:rFonts w:ascii="Times New Roman;sans-serif" w:hAnsi="Times New Roman;sans-serif"/>
          <w:b w:val="false"/>
          <w:color w:val="000000"/>
          <w:sz w:val="20"/>
        </w:rPr>
        <w:t>Indicate by check mark whether the registrant is a shell company (as defined in Rule 12b-2 of the Act).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May 1, 2023, there were 86,005,125 shares outstanding of the registrant’s Class A-1 Common Stock, par value $.0001 per share.</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 ENDED MARCH 31, 2023</w:t>
      </w:r>
    </w:p>
    <w:p>
      <w:pPr>
        <w:pStyle w:val="TextBody"/>
        <w:spacing w:before="60" w:after="283"/>
        <w:jc w:val="center"/>
        <w:rPr/>
      </w:pPr>
      <w:r>
        <w:rPr/>
      </w:r>
    </w:p>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tbl>
      <w:tblPr>
        <w:tblW w:w="10205" w:type="dxa"/>
        <w:jc w:val="left"/>
        <w:tblInd w:w="0" w:type="dxa"/>
        <w:tblCellMar>
          <w:top w:w="28" w:type="dxa"/>
          <w:left w:w="28" w:type="dxa"/>
          <w:bottom w:w="28" w:type="dxa"/>
          <w:right w:w="28" w:type="dxa"/>
        </w:tblCellMar>
      </w:tblPr>
      <w:tblGrid>
        <w:gridCol w:w="307"/>
        <w:gridCol w:w="269"/>
        <w:gridCol w:w="272"/>
        <w:gridCol w:w="3018"/>
        <w:gridCol w:w="2979"/>
        <w:gridCol w:w="2986"/>
        <w:gridCol w:w="109"/>
        <w:gridCol w:w="109"/>
        <w:gridCol w:w="156"/>
      </w:tblGrid>
      <w:tr>
        <w:trPr/>
        <w:tc>
          <w:tcPr>
            <w:tcW w:w="307"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018" w:type="dxa"/>
            <w:tcBorders/>
            <w:shd w:fill="auto" w:val="clear"/>
            <w:vAlign w:val="center"/>
          </w:tcPr>
          <w:p>
            <w:pPr>
              <w:pStyle w:val="TableContents"/>
              <w:spacing w:before="0" w:after="283"/>
              <w:rPr>
                <w:sz w:val="4"/>
                <w:szCs w:val="4"/>
              </w:rPr>
            </w:pPr>
            <w:r>
              <w:rPr>
                <w:sz w:val="4"/>
                <w:szCs w:val="4"/>
              </w:rPr>
            </w:r>
          </w:p>
        </w:tc>
        <w:tc>
          <w:tcPr>
            <w:tcW w:w="2979" w:type="dxa"/>
            <w:tcBorders/>
            <w:shd w:fill="auto" w:val="clear"/>
            <w:vAlign w:val="center"/>
          </w:tcPr>
          <w:p>
            <w:pPr>
              <w:pStyle w:val="TableContents"/>
              <w:spacing w:before="0" w:after="283"/>
              <w:rPr>
                <w:sz w:val="4"/>
                <w:szCs w:val="4"/>
              </w:rPr>
            </w:pPr>
            <w:r>
              <w:rPr>
                <w:sz w:val="4"/>
                <w:szCs w:val="4"/>
              </w:rPr>
            </w:r>
          </w:p>
        </w:tc>
        <w:tc>
          <w:tcPr>
            <w:tcW w:w="29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8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898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5ffc0a01a49368550f687b81d7587_10">
              <w:r>
                <w:rPr>
                  <w:rStyle w:val="InternetLink"/>
                  <w:rFonts w:ascii="Times New Roman;sans-serif" w:hAnsi="Times New Roman;sans-serif"/>
                  <w:b/>
                  <w:strike w:val="false"/>
                  <w:dstrike w:val="false"/>
                  <w:color w:val="000000"/>
                  <w:sz w:val="20"/>
                  <w:u w:val="none"/>
                  <w:effect w:val="none"/>
                </w:rPr>
                <w:t>FINANCIAL INFORMATION</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e65ffc0a01a49368550f687b81d7587_10">
              <w:r>
                <w:rPr>
                  <w:rStyle w:val="InternetLink"/>
                  <w:rFonts w:ascii="Times New Roman;sans-serif" w:hAnsi="Times New Roman;sans-serif"/>
                  <w:b w:val="false"/>
                  <w:strike w:val="false"/>
                  <w:dstrike w:val="false"/>
                  <w:color w:val="0000FF"/>
                  <w:sz w:val="20"/>
                  <w:u w:val="none"/>
                  <w:effect w:val="none"/>
                </w:rPr>
                <w:t>1</w:t>
              </w:r>
            </w:hyperlink>
          </w:p>
        </w:tc>
      </w:tr>
      <w:tr>
        <w:trPr/>
        <w:tc>
          <w:tcPr>
            <w:tcW w:w="8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98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5ffc0a01a49368550f687b81d7587_13">
              <w:r>
                <w:rPr>
                  <w:rStyle w:val="InternetLink"/>
                  <w:rFonts w:ascii="Times New Roman;sans-serif" w:hAnsi="Times New Roman;sans-serif"/>
                  <w:b w:val="false"/>
                  <w:strike w:val="false"/>
                  <w:dstrike w:val="false"/>
                  <w:color w:val="000000"/>
                  <w:sz w:val="20"/>
                  <w:u w:val="none"/>
                  <w:effect w:val="none"/>
                </w:rPr>
                <w:t>FINANCIAL STATEMENTS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e65ffc0a01a49368550f687b81d7587_13">
              <w:r>
                <w:rPr>
                  <w:rStyle w:val="InternetLink"/>
                  <w:rFonts w:ascii="Times New Roman;sans-serif" w:hAnsi="Times New Roman;sans-serif"/>
                  <w:b w:val="false"/>
                  <w:strike w:val="false"/>
                  <w:dstrike w:val="false"/>
                  <w:color w:val="0000FF"/>
                  <w:sz w:val="20"/>
                  <w:u w:val="none"/>
                  <w:effect w:val="none"/>
                </w:rPr>
                <w:t>1</w:t>
              </w:r>
            </w:hyperlink>
          </w:p>
        </w:tc>
      </w:tr>
      <w:tr>
        <w:trPr/>
        <w:tc>
          <w:tcPr>
            <w:tcW w:w="8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Operations and Comprehensive Income (Unaudited) for the three months ended March 31, 2023 and 2022</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e65ffc0a01a49368550f687b81d7587_16">
              <w:r>
                <w:rPr>
                  <w:rStyle w:val="InternetLink"/>
                  <w:rFonts w:ascii="Times New Roman;sans-serif" w:hAnsi="Times New Roman;sans-serif"/>
                  <w:b w:val="false"/>
                  <w:strike w:val="false"/>
                  <w:dstrike w:val="false"/>
                  <w:color w:val="0000FF"/>
                  <w:sz w:val="20"/>
                  <w:u w:val="none"/>
                  <w:effect w:val="none"/>
                </w:rPr>
                <w:t>1</w:t>
              </w:r>
            </w:hyperlink>
          </w:p>
        </w:tc>
      </w:tr>
      <w:tr>
        <w:trPr/>
        <w:tc>
          <w:tcPr>
            <w:tcW w:w="8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Balance Sheets at March 31, 2023 (Unaudited) and December 31, 2022</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e65ffc0a01a49368550f687b81d7587_19">
              <w:r>
                <w:rPr>
                  <w:rStyle w:val="InternetLink"/>
                  <w:rFonts w:ascii="Times New Roman;sans-serif" w:hAnsi="Times New Roman;sans-serif"/>
                  <w:b w:val="false"/>
                  <w:strike w:val="false"/>
                  <w:dstrike w:val="false"/>
                  <w:color w:val="0000FF"/>
                  <w:sz w:val="20"/>
                  <w:u w:val="none"/>
                  <w:effect w:val="none"/>
                </w:rPr>
                <w:t>2</w:t>
              </w:r>
            </w:hyperlink>
          </w:p>
        </w:tc>
      </w:tr>
      <w:tr>
        <w:trPr/>
        <w:tc>
          <w:tcPr>
            <w:tcW w:w="8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5ffc0a01a49368550f687b81d7587_22">
              <w:r>
                <w:rPr>
                  <w:rStyle w:val="InternetLink"/>
                  <w:rFonts w:ascii="Times New Roman;sans-serif" w:hAnsi="Times New Roman;sans-serif"/>
                  <w:b w:val="false"/>
                  <w:strike w:val="false"/>
                  <w:dstrike w:val="false"/>
                  <w:color w:val="000000"/>
                  <w:sz w:val="20"/>
                  <w:u w:val="none"/>
                  <w:effect w:val="none"/>
                </w:rPr>
                <w:t>Condensed Consolidated Statements of Stockholders’ Equity</w:t>
              </w:r>
            </w:hyperlink>
            <w:r>
              <w:rPr>
                <w:rFonts w:ascii="Times New Roman;sans-serif" w:hAnsi="Times New Roman;sans-serif"/>
                <w:b w:val="false"/>
                <w:color w:val="000000"/>
                <w:sz w:val="20"/>
              </w:rPr>
              <w:t xml:space="preserve"> (Unaudited) for the three months ended March 31, 2023 and 2022</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e65ffc0a01a49368550f687b81d7587_22">
              <w:r>
                <w:rPr>
                  <w:rStyle w:val="InternetLink"/>
                  <w:rFonts w:ascii="Times New Roman;sans-serif" w:hAnsi="Times New Roman;sans-serif"/>
                  <w:b w:val="false"/>
                  <w:strike w:val="false"/>
                  <w:dstrike w:val="false"/>
                  <w:color w:val="0000FF"/>
                  <w:sz w:val="20"/>
                  <w:u w:val="none"/>
                  <w:effect w:val="none"/>
                </w:rPr>
                <w:t>3</w:t>
              </w:r>
            </w:hyperlink>
          </w:p>
        </w:tc>
      </w:tr>
      <w:tr>
        <w:trPr/>
        <w:tc>
          <w:tcPr>
            <w:tcW w:w="8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Cash Flows (Unaudited) for the three months ended March 31, 2023 and 2022</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e65ffc0a01a49368550f687b81d7587_25">
              <w:r>
                <w:rPr>
                  <w:rStyle w:val="InternetLink"/>
                  <w:rFonts w:ascii="Times New Roman;sans-serif" w:hAnsi="Times New Roman;sans-serif"/>
                  <w:b w:val="false"/>
                  <w:strike w:val="false"/>
                  <w:dstrike w:val="false"/>
                  <w:color w:val="0000FF"/>
                  <w:sz w:val="20"/>
                  <w:u w:val="none"/>
                  <w:effect w:val="none"/>
                </w:rPr>
                <w:t>4</w:t>
              </w:r>
            </w:hyperlink>
          </w:p>
        </w:tc>
      </w:tr>
      <w:tr>
        <w:trPr/>
        <w:tc>
          <w:tcPr>
            <w:tcW w:w="8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the Condensed Consolidated Financial Statements (Unaudited)</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e65ffc0a01a49368550f687b81d7587_28">
              <w:r>
                <w:rPr>
                  <w:rStyle w:val="InternetLink"/>
                  <w:rFonts w:ascii="Times New Roman;sans-serif" w:hAnsi="Times New Roman;sans-serif"/>
                  <w:b w:val="false"/>
                  <w:strike w:val="false"/>
                  <w:dstrike w:val="false"/>
                  <w:color w:val="0000FF"/>
                  <w:sz w:val="20"/>
                  <w:u w:val="none"/>
                  <w:effect w:val="none"/>
                </w:rPr>
                <w:t>6</w:t>
              </w:r>
            </w:hyperlink>
          </w:p>
        </w:tc>
      </w:tr>
      <w:tr>
        <w:trPr/>
        <w:tc>
          <w:tcPr>
            <w:tcW w:w="8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98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5ffc0a01a49368550f687b81d7587_91">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e65ffc0a01a49368550f687b81d7587_91">
              <w:r>
                <w:rPr>
                  <w:rStyle w:val="InternetLink"/>
                  <w:rFonts w:ascii="Times New Roman;sans-serif" w:hAnsi="Times New Roman;sans-serif"/>
                  <w:b w:val="false"/>
                  <w:strike w:val="false"/>
                  <w:dstrike w:val="false"/>
                  <w:color w:val="0000FF"/>
                  <w:sz w:val="20"/>
                  <w:u w:val="none"/>
                  <w:effect w:val="none"/>
                </w:rPr>
                <w:t>24</w:t>
              </w:r>
            </w:hyperlink>
          </w:p>
        </w:tc>
      </w:tr>
      <w:tr>
        <w:trPr/>
        <w:tc>
          <w:tcPr>
            <w:tcW w:w="8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98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5ffc0a01a49368550f687b81d7587_121">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e65ffc0a01a49368550f687b81d7587_121">
              <w:r>
                <w:rPr>
                  <w:rStyle w:val="InternetLink"/>
                  <w:rFonts w:ascii="Times New Roman;sans-serif" w:hAnsi="Times New Roman;sans-serif"/>
                  <w:b w:val="false"/>
                  <w:strike w:val="false"/>
                  <w:dstrike w:val="false"/>
                  <w:color w:val="0000FF"/>
                  <w:sz w:val="20"/>
                  <w:u w:val="none"/>
                  <w:effect w:val="none"/>
                </w:rPr>
                <w:t>35</w:t>
              </w:r>
            </w:hyperlink>
          </w:p>
        </w:tc>
      </w:tr>
      <w:tr>
        <w:trPr/>
        <w:tc>
          <w:tcPr>
            <w:tcW w:w="8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98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5ffc0a01a49368550f687b81d7587_124">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e65ffc0a01a49368550f687b81d7587_124">
              <w:r>
                <w:rPr>
                  <w:rStyle w:val="InternetLink"/>
                  <w:rFonts w:ascii="Times New Roman;sans-serif" w:hAnsi="Times New Roman;sans-serif"/>
                  <w:b w:val="false"/>
                  <w:strike w:val="false"/>
                  <w:dstrike w:val="false"/>
                  <w:color w:val="0000FF"/>
                  <w:sz w:val="20"/>
                  <w:u w:val="none"/>
                  <w:effect w:val="none"/>
                </w:rPr>
                <w:t>35</w:t>
              </w:r>
            </w:hyperlink>
          </w:p>
        </w:tc>
      </w:tr>
      <w:tr>
        <w:trPr/>
        <w:tc>
          <w:tcPr>
            <w:tcW w:w="8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898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5ffc0a01a49368550f687b81d7587_127">
              <w:r>
                <w:rPr>
                  <w:rStyle w:val="InternetLink"/>
                  <w:rFonts w:ascii="Times New Roman;sans-serif" w:hAnsi="Times New Roman;sans-serif"/>
                  <w:b/>
                  <w:strike w:val="false"/>
                  <w:dstrike w:val="false"/>
                  <w:color w:val="000000"/>
                  <w:sz w:val="20"/>
                  <w:u w:val="none"/>
                  <w:effect w:val="none"/>
                </w:rPr>
                <w:t>OTHER INFORMATION</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e65ffc0a01a49368550f687b81d7587_127">
              <w:r>
                <w:rPr>
                  <w:rStyle w:val="InternetLink"/>
                  <w:rFonts w:ascii="Times New Roman;sans-serif" w:hAnsi="Times New Roman;sans-serif"/>
                  <w:b w:val="false"/>
                  <w:strike w:val="false"/>
                  <w:dstrike w:val="false"/>
                  <w:color w:val="0000FF"/>
                  <w:sz w:val="20"/>
                  <w:u w:val="none"/>
                  <w:effect w:val="none"/>
                </w:rPr>
                <w:t>37</w:t>
              </w:r>
            </w:hyperlink>
          </w:p>
        </w:tc>
      </w:tr>
      <w:tr>
        <w:trPr/>
        <w:tc>
          <w:tcPr>
            <w:tcW w:w="8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98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5ffc0a01a49368550f687b81d7587_130">
              <w:r>
                <w:rPr>
                  <w:rStyle w:val="InternetLink"/>
                  <w:rFonts w:ascii="Times New Roman;sans-serif" w:hAnsi="Times New Roman;sans-serif"/>
                  <w:b w:val="false"/>
                  <w:strike w:val="false"/>
                  <w:dstrike w:val="false"/>
                  <w:color w:val="000000"/>
                  <w:sz w:val="20"/>
                  <w:u w:val="none"/>
                  <w:effect w:val="none"/>
                </w:rPr>
                <w:t>LEGAL PROCEEDINGS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e65ffc0a01a49368550f687b81d7587_130">
              <w:r>
                <w:rPr>
                  <w:rStyle w:val="InternetLink"/>
                  <w:rFonts w:ascii="Times New Roman;sans-serif" w:hAnsi="Times New Roman;sans-serif"/>
                  <w:b w:val="false"/>
                  <w:strike w:val="false"/>
                  <w:dstrike w:val="false"/>
                  <w:color w:val="0000FF"/>
                  <w:sz w:val="20"/>
                  <w:u w:val="none"/>
                  <w:effect w:val="none"/>
                </w:rPr>
                <w:t>37</w:t>
              </w:r>
            </w:hyperlink>
          </w:p>
        </w:tc>
      </w:tr>
      <w:tr>
        <w:trPr/>
        <w:tc>
          <w:tcPr>
            <w:tcW w:w="8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98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5ffc0a01a49368550f687b81d7587_133">
              <w:r>
                <w:rPr>
                  <w:rStyle w:val="InternetLink"/>
                  <w:rFonts w:ascii="Times New Roman;sans-serif" w:hAnsi="Times New Roman;sans-serif"/>
                  <w:b w:val="false"/>
                  <w:strike w:val="false"/>
                  <w:dstrike w:val="false"/>
                  <w:color w:val="000000"/>
                  <w:sz w:val="20"/>
                  <w:u w:val="none"/>
                  <w:effect w:val="none"/>
                </w:rPr>
                <w:t>RISK FACTORS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e65ffc0a01a49368550f687b81d7587_133">
              <w:r>
                <w:rPr>
                  <w:rStyle w:val="InternetLink"/>
                  <w:rFonts w:ascii="Times New Roman;sans-serif" w:hAnsi="Times New Roman;sans-serif"/>
                  <w:b w:val="false"/>
                  <w:strike w:val="false"/>
                  <w:dstrike w:val="false"/>
                  <w:color w:val="0000FF"/>
                  <w:sz w:val="20"/>
                  <w:u w:val="none"/>
                  <w:effect w:val="none"/>
                </w:rPr>
                <w:t>37</w:t>
              </w:r>
            </w:hyperlink>
          </w:p>
        </w:tc>
      </w:tr>
      <w:tr>
        <w:trPr/>
        <w:tc>
          <w:tcPr>
            <w:tcW w:w="8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98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5ffc0a01a49368550f687b81d7587_136">
              <w:r>
                <w:rPr>
                  <w:rStyle w:val="InternetLink"/>
                  <w:rFonts w:ascii="Times New Roman;sans-serif" w:hAnsi="Times New Roman;sans-serif"/>
                  <w:b w:val="false"/>
                  <w:strike w:val="false"/>
                  <w:dstrike w:val="false"/>
                  <w:color w:val="000000"/>
                  <w:sz w:val="20"/>
                  <w:u w:val="none"/>
                  <w:effect w:val="none"/>
                </w:rPr>
                <w:t>UNREGISTERED SALES OF EQUITY SECURITIES AND USE OF PROCEEDS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e65ffc0a01a49368550f687b81d7587_136">
              <w:r>
                <w:rPr>
                  <w:rStyle w:val="InternetLink"/>
                  <w:rFonts w:ascii="Times New Roman;sans-serif" w:hAnsi="Times New Roman;sans-serif"/>
                  <w:b w:val="false"/>
                  <w:strike w:val="false"/>
                  <w:dstrike w:val="false"/>
                  <w:color w:val="0000FF"/>
                  <w:sz w:val="20"/>
                  <w:u w:val="none"/>
                  <w:effect w:val="none"/>
                </w:rPr>
                <w:t>38</w:t>
              </w:r>
            </w:hyperlink>
          </w:p>
        </w:tc>
      </w:tr>
      <w:tr>
        <w:trPr/>
        <w:tc>
          <w:tcPr>
            <w:tcW w:w="8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98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5ffc0a01a49368550f687b81d7587_139">
              <w:r>
                <w:rPr>
                  <w:rStyle w:val="InternetLink"/>
                  <w:rFonts w:ascii="Times New Roman;sans-serif" w:hAnsi="Times New Roman;sans-serif"/>
                  <w:b w:val="false"/>
                  <w:strike w:val="false"/>
                  <w:dstrike w:val="false"/>
                  <w:color w:val="000000"/>
                  <w:sz w:val="20"/>
                  <w:u w:val="none"/>
                  <w:effect w:val="none"/>
                </w:rPr>
                <w:t>DEFAULTS UPON SENIOR SECURITIES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e65ffc0a01a49368550f687b81d7587_139">
              <w:r>
                <w:rPr>
                  <w:rStyle w:val="InternetLink"/>
                  <w:rFonts w:ascii="Times New Roman;sans-serif" w:hAnsi="Times New Roman;sans-serif"/>
                  <w:b w:val="false"/>
                  <w:strike w:val="false"/>
                  <w:dstrike w:val="false"/>
                  <w:color w:val="0000FF"/>
                  <w:sz w:val="20"/>
                  <w:u w:val="none"/>
                  <w:effect w:val="none"/>
                </w:rPr>
                <w:t>39</w:t>
              </w:r>
            </w:hyperlink>
          </w:p>
        </w:tc>
      </w:tr>
      <w:tr>
        <w:trPr/>
        <w:tc>
          <w:tcPr>
            <w:tcW w:w="8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98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5ffc0a01a49368550f687b81d7587_142">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e65ffc0a01a49368550f687b81d7587_142">
              <w:r>
                <w:rPr>
                  <w:rStyle w:val="InternetLink"/>
                  <w:rFonts w:ascii="Times New Roman;sans-serif" w:hAnsi="Times New Roman;sans-serif"/>
                  <w:b w:val="false"/>
                  <w:strike w:val="false"/>
                  <w:dstrike w:val="false"/>
                  <w:color w:val="0000FF"/>
                  <w:sz w:val="20"/>
                  <w:u w:val="none"/>
                  <w:effect w:val="none"/>
                </w:rPr>
                <w:t>39</w:t>
              </w:r>
            </w:hyperlink>
          </w:p>
        </w:tc>
      </w:tr>
      <w:tr>
        <w:trPr/>
        <w:tc>
          <w:tcPr>
            <w:tcW w:w="8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98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5ffc0a01a49368550f687b81d7587_145">
              <w:r>
                <w:rPr>
                  <w:rStyle w:val="InternetLink"/>
                  <w:rFonts w:ascii="Times New Roman;sans-serif" w:hAnsi="Times New Roman;sans-serif"/>
                  <w:b w:val="false"/>
                  <w:strike w:val="false"/>
                  <w:dstrike w:val="false"/>
                  <w:color w:val="000000"/>
                  <w:sz w:val="20"/>
                  <w:u w:val="none"/>
                  <w:effect w:val="none"/>
                </w:rPr>
                <w:t>EXHIBITS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2e65ffc0a01a49368550f687b81d7587_145">
              <w:r>
                <w:rPr>
                  <w:rStyle w:val="InternetLink"/>
                  <w:rFonts w:ascii="Times New Roman;sans-serif" w:hAnsi="Times New Roman;sans-serif"/>
                  <w:b w:val="false"/>
                  <w:strike w:val="false"/>
                  <w:dstrike w:val="false"/>
                  <w:color w:val="0000FF"/>
                  <w:sz w:val="20"/>
                  <w:u w:val="none"/>
                  <w:effect w:val="none"/>
                </w:rPr>
                <w:t>40</w:t>
              </w:r>
            </w:hyperlink>
          </w:p>
        </w:tc>
      </w:tr>
      <w:tr>
        <w:trPr/>
        <w:tc>
          <w:tcPr>
            <w:tcW w:w="8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31"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5ffc0a01a49368550f687b81d7587_148">
              <w:r>
                <w:rPr>
                  <w:rStyle w:val="InternetLink"/>
                  <w:rFonts w:ascii="Times New Roman;sans-serif" w:hAnsi="Times New Roman;sans-serif"/>
                  <w:b w:val="false"/>
                  <w:strike w:val="false"/>
                  <w:dstrike w:val="false"/>
                  <w:color w:val="000000"/>
                  <w:sz w:val="20"/>
                  <w:u w:val="none"/>
                  <w:effect w:val="none"/>
                </w:rPr>
                <w:t>SIGNATURES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e65ffc0a01a49368550f687b81d7587_148">
              <w:r>
                <w:rPr>
                  <w:rStyle w:val="InternetLink"/>
                  <w:rFonts w:ascii="Times New Roman;sans-serif" w:hAnsi="Times New Roman;sans-serif"/>
                  <w:b w:val="false"/>
                  <w:strike w:val="false"/>
                  <w:dstrike w:val="false"/>
                  <w:color w:val="0000FF"/>
                  <w:sz w:val="20"/>
                  <w:u w:val="none"/>
                  <w:effect w:val="none"/>
                </w:rPr>
                <w:t>41</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2e65ffc0a01a49368550f687b81d7587_7">
        <w:r>
          <w:rPr>
            <w:rStyle w:val="InternetLink"/>
            <w:rFonts w:ascii="Times New Roman;sans-serif" w:hAnsi="Times New Roman;sans-serif"/>
            <w:b w:val="false"/>
            <w:color w:val="0000FF"/>
            <w:sz w:val="20"/>
            <w:u w:val="single"/>
          </w:rPr>
          <w:t>Table of Contents</w:t>
        </w:r>
      </w:hyperlink>
    </w:p>
    <w:p>
      <w:pPr>
        <w:pStyle w:val="TextBody"/>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417" w:before="0" w:after="0"/>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INCOME</w:t>
      </w:r>
    </w:p>
    <w:p>
      <w:pPr>
        <w:pStyle w:val="TextBody"/>
        <w:spacing w:lineRule="auto" w:line="345" w:before="0" w:after="14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CellMar>
          <w:top w:w="28" w:type="dxa"/>
          <w:left w:w="28" w:type="dxa"/>
          <w:bottom w:w="28" w:type="dxa"/>
          <w:right w:w="28" w:type="dxa"/>
        </w:tblCellMar>
      </w:tblPr>
      <w:tblGrid>
        <w:gridCol w:w="2501"/>
        <w:gridCol w:w="2100"/>
        <w:gridCol w:w="2114"/>
        <w:gridCol w:w="109"/>
        <w:gridCol w:w="109"/>
        <w:gridCol w:w="139"/>
        <w:gridCol w:w="139"/>
        <w:gridCol w:w="271"/>
        <w:gridCol w:w="1062"/>
        <w:gridCol w:w="139"/>
        <w:gridCol w:w="109"/>
        <w:gridCol w:w="109"/>
        <w:gridCol w:w="109"/>
        <w:gridCol w:w="211"/>
        <w:gridCol w:w="826"/>
        <w:gridCol w:w="158"/>
      </w:tblGrid>
      <w:tr>
        <w:trPr/>
        <w:tc>
          <w:tcPr>
            <w:tcW w:w="2501" w:type="dxa"/>
            <w:tcBorders/>
            <w:shd w:fill="auto" w:val="clear"/>
            <w:vAlign w:val="center"/>
          </w:tcPr>
          <w:p>
            <w:pPr>
              <w:pStyle w:val="TableContents"/>
              <w:spacing w:before="0" w:after="283"/>
              <w:rPr>
                <w:sz w:val="4"/>
                <w:szCs w:val="4"/>
              </w:rPr>
            </w:pPr>
            <w:r>
              <w:rPr>
                <w:sz w:val="4"/>
                <w:szCs w:val="4"/>
              </w:rPr>
            </w:r>
          </w:p>
        </w:tc>
        <w:tc>
          <w:tcPr>
            <w:tcW w:w="2100" w:type="dxa"/>
            <w:tcBorders/>
            <w:shd w:fill="auto" w:val="clear"/>
            <w:vAlign w:val="center"/>
          </w:tcPr>
          <w:p>
            <w:pPr>
              <w:pStyle w:val="TableContents"/>
              <w:spacing w:before="0" w:after="283"/>
              <w:rPr>
                <w:sz w:val="4"/>
                <w:szCs w:val="4"/>
              </w:rPr>
            </w:pPr>
            <w:r>
              <w:rPr>
                <w:sz w:val="4"/>
                <w:szCs w:val="4"/>
              </w:rPr>
            </w:r>
          </w:p>
        </w:tc>
        <w:tc>
          <w:tcPr>
            <w:tcW w:w="2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amounts)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0"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522" w:type="dxa"/>
            <w:gridSpan w:val="6"/>
            <w:tcBorders/>
            <w:shd w:fill="auto" w:val="clear"/>
          </w:tcPr>
          <w:p>
            <w:pPr>
              <w:pStyle w:val="TableContents"/>
              <w:spacing w:before="0" w:after="283"/>
              <w:rPr>
                <w:sz w:val="4"/>
                <w:szCs w:val="4"/>
              </w:rPr>
            </w:pPr>
            <w:r>
              <w:rPr>
                <w:sz w:val="4"/>
                <w:szCs w:val="4"/>
              </w:rPr>
            </w:r>
          </w:p>
        </w:tc>
      </w:tr>
      <w:tr>
        <w:trPr/>
        <w:tc>
          <w:tcPr>
            <w:tcW w:w="6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4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4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gaming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279,380 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188,462 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Amusement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6,798 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ATM fees and other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4,908 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293,208 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196,891 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4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 expense shown below)</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203,554 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132,620 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manufacturing goods sold (exclusive of depreciation and amortization expense shown below)</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43,018 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31,119 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9,063 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and route and customer acquisition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265,536 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175,684 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7,888 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change in fair value of contingent earnout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4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Income before income tax expense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47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number of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86,885 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92,993 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87,132 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93,741 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9,182 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15,788 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4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Unrealized (loss) gain on interest rate caplets (net of income taxes of $(829) and $1,934, respectively)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4,864 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7,016 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20,652 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417" w:before="240" w:after="283"/>
        <w:ind w:left="0" w:right="0" w:firstLine="360"/>
        <w:jc w:val="center"/>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The accompanying notes are an integral part of these condensed consolidated financial statements</w:t>
      </w:r>
    </w:p>
    <w:p>
      <w:pPr>
        <w:pStyle w:val="TextBody"/>
        <w:spacing w:before="240" w:after="283"/>
        <w:jc w:val="center"/>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0"/>
        <w:rPr/>
      </w:pPr>
      <w:hyperlink w:anchor="i2e65ffc0a01a49368550f687b81d7587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tbl>
      <w:tblPr>
        <w:tblW w:w="10205" w:type="dxa"/>
        <w:jc w:val="center"/>
        <w:tblInd w:w="0" w:type="dxa"/>
        <w:tblCellMar>
          <w:top w:w="28" w:type="dxa"/>
          <w:left w:w="28" w:type="dxa"/>
          <w:bottom w:w="28" w:type="dxa"/>
          <w:right w:w="28" w:type="dxa"/>
        </w:tblCellMar>
      </w:tblPr>
      <w:tblGrid>
        <w:gridCol w:w="3205"/>
        <w:gridCol w:w="2254"/>
        <w:gridCol w:w="2270"/>
        <w:gridCol w:w="196"/>
        <w:gridCol w:w="736"/>
        <w:gridCol w:w="109"/>
        <w:gridCol w:w="109"/>
        <w:gridCol w:w="109"/>
        <w:gridCol w:w="109"/>
        <w:gridCol w:w="199"/>
        <w:gridCol w:w="750"/>
        <w:gridCol w:w="159"/>
      </w:tblGrid>
      <w:tr>
        <w:trPr/>
        <w:tc>
          <w:tcPr>
            <w:tcW w:w="3205" w:type="dxa"/>
            <w:tcBorders/>
            <w:shd w:fill="auto" w:val="clear"/>
            <w:vAlign w:val="center"/>
          </w:tcPr>
          <w:p>
            <w:pPr>
              <w:pStyle w:val="TableContents"/>
              <w:spacing w:before="0" w:after="283"/>
              <w:rPr>
                <w:sz w:val="4"/>
                <w:szCs w:val="4"/>
              </w:rPr>
            </w:pPr>
            <w:r>
              <w:rPr>
                <w:sz w:val="4"/>
                <w:szCs w:val="4"/>
              </w:rPr>
            </w:r>
          </w:p>
        </w:tc>
        <w:tc>
          <w:tcPr>
            <w:tcW w:w="2254" w:type="dxa"/>
            <w:tcBorders/>
            <w:shd w:fill="auto" w:val="clear"/>
            <w:vAlign w:val="center"/>
          </w:tcPr>
          <w:p>
            <w:pPr>
              <w:pStyle w:val="TableContents"/>
              <w:spacing w:before="0" w:after="283"/>
              <w:rPr>
                <w:sz w:val="4"/>
                <w:szCs w:val="4"/>
              </w:rPr>
            </w:pPr>
            <w:r>
              <w:rPr>
                <w:sz w:val="4"/>
                <w:szCs w:val="4"/>
              </w:rPr>
            </w:r>
          </w:p>
        </w:tc>
        <w:tc>
          <w:tcPr>
            <w:tcW w:w="227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729" w:type="dxa"/>
            <w:gridSpan w:val="3"/>
            <w:tcBorders/>
            <w:shd w:fill="auto" w:val="clear"/>
            <w:tcMar>
              <w:top w:w="0" w:type="dxa"/>
              <w:left w:w="0" w:type="dxa"/>
              <w:bottom w:w="0" w:type="dxa"/>
              <w:right w:w="0" w:type="dxa"/>
            </w:tcMar>
            <w:vAlign w:val="center"/>
          </w:tcPr>
          <w:p>
            <w:pPr>
              <w:pStyle w:val="TableContents"/>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par value and share amounts)</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7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228,529 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0"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224,113 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11,166 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7,407 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receivable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caplets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8,555 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convertible notes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32,065 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8,427 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299,212 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211,844 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Route and customer acquisition costs,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18,342 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Location contracts acquired,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185,083 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189,343 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100,707 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intangible assets,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22,979 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caplets, net of current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11,364 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8,978 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noncurrent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351,713 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862,769 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maturities of debt</w:t>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23,466 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route and customer acquisition costs payable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1,487 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location gaming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state gaming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16,605 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other accrued expenses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22,302 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 and related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10,607 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consideration payable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89,905 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liabilities: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net of current maturities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514,146 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518,566 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Route and customer acquisition costs payable, less current portion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Consideration payable, less current portion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Contingent earnout share liability</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23,288 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long-term liabilities </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liability,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37,021 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long-term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594,274 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par value of $0.0001; 1,000,000 shares authorized; 0 shares issued and outstanding at March 31, 2023 and December 31, 2022</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Class A-1 Common Stock, par value $0.0001; 250,000,000 shares authorized; 94,751,204 shares issued and 86,444,825 shares outstanding at March 31, 2023; 94,504,051 shares issued and 86,674,390 shares outstanding at December 31, 2022</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195,243 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194,157 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(85,903)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(81,697)</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earnings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53,881 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178,590 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870,328 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862,769 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2e65ffc0a01a49368550f687b81d758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tbl>
      <w:tblPr>
        <w:tblW w:w="11565" w:type="dxa"/>
        <w:jc w:val="center"/>
        <w:tblInd w:w="0" w:type="dxa"/>
        <w:tblCellMar>
          <w:top w:w="28" w:type="dxa"/>
          <w:left w:w="28" w:type="dxa"/>
          <w:bottom w:w="28" w:type="dxa"/>
          <w:right w:w="28" w:type="dxa"/>
        </w:tblCellMar>
      </w:tblPr>
      <w:tblGrid>
        <w:gridCol w:w="516"/>
        <w:gridCol w:w="282"/>
        <w:gridCol w:w="283"/>
        <w:gridCol w:w="480"/>
        <w:gridCol w:w="481"/>
        <w:gridCol w:w="186"/>
        <w:gridCol w:w="109"/>
        <w:gridCol w:w="109"/>
        <w:gridCol w:w="109"/>
        <w:gridCol w:w="242"/>
        <w:gridCol w:w="298"/>
        <w:gridCol w:w="136"/>
        <w:gridCol w:w="109"/>
        <w:gridCol w:w="109"/>
        <w:gridCol w:w="109"/>
        <w:gridCol w:w="196"/>
        <w:gridCol w:w="736"/>
        <w:gridCol w:w="109"/>
        <w:gridCol w:w="109"/>
        <w:gridCol w:w="109"/>
        <w:gridCol w:w="109"/>
        <w:gridCol w:w="443"/>
        <w:gridCol w:w="443"/>
        <w:gridCol w:w="186"/>
        <w:gridCol w:w="109"/>
        <w:gridCol w:w="109"/>
        <w:gridCol w:w="109"/>
        <w:gridCol w:w="196"/>
        <w:gridCol w:w="661"/>
        <w:gridCol w:w="109"/>
        <w:gridCol w:w="109"/>
        <w:gridCol w:w="109"/>
        <w:gridCol w:w="109"/>
        <w:gridCol w:w="243"/>
        <w:gridCol w:w="804"/>
        <w:gridCol w:w="139"/>
        <w:gridCol w:w="109"/>
        <w:gridCol w:w="109"/>
        <w:gridCol w:w="109"/>
        <w:gridCol w:w="210"/>
        <w:gridCol w:w="693"/>
        <w:gridCol w:w="118"/>
        <w:gridCol w:w="109"/>
        <w:gridCol w:w="109"/>
        <w:gridCol w:w="109"/>
        <w:gridCol w:w="196"/>
        <w:gridCol w:w="736"/>
        <w:gridCol w:w="154"/>
      </w:tblGrid>
      <w:tr>
        <w:trPr/>
        <w:tc>
          <w:tcPr>
            <w:tcW w:w="51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 except shares)</w:t>
            </w:r>
          </w:p>
        </w:tc>
        <w:tc>
          <w:tcPr>
            <w:tcW w:w="11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Paid-In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Comprehensive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Stockholders’</w:t>
            </w:r>
          </w:p>
        </w:tc>
      </w:tr>
      <w:tr>
        <w:trPr/>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Earnings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Equity</w:t>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January 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86,674,390 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(7,829,661)</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53,881 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178,590 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(476,718)</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(476,718)</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stock-based awards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247,153 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interest rate caplets</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(2,166)</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2023</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86,444,825 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195,243 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(8,306,379)</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(85,903)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10,074 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63,063 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182,486 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tbl>
      <w:tblPr>
        <w:tblW w:w="11565" w:type="dxa"/>
        <w:jc w:val="center"/>
        <w:tblInd w:w="0" w:type="dxa"/>
        <w:tblCellMar>
          <w:top w:w="28" w:type="dxa"/>
          <w:left w:w="28" w:type="dxa"/>
          <w:bottom w:w="28" w:type="dxa"/>
          <w:right w:w="28" w:type="dxa"/>
        </w:tblCellMar>
      </w:tblPr>
      <w:tblGrid>
        <w:gridCol w:w="516"/>
        <w:gridCol w:w="282"/>
        <w:gridCol w:w="283"/>
        <w:gridCol w:w="480"/>
        <w:gridCol w:w="481"/>
        <w:gridCol w:w="186"/>
        <w:gridCol w:w="109"/>
        <w:gridCol w:w="109"/>
        <w:gridCol w:w="109"/>
        <w:gridCol w:w="242"/>
        <w:gridCol w:w="298"/>
        <w:gridCol w:w="136"/>
        <w:gridCol w:w="109"/>
        <w:gridCol w:w="109"/>
        <w:gridCol w:w="109"/>
        <w:gridCol w:w="196"/>
        <w:gridCol w:w="736"/>
        <w:gridCol w:w="109"/>
        <w:gridCol w:w="109"/>
        <w:gridCol w:w="109"/>
        <w:gridCol w:w="109"/>
        <w:gridCol w:w="442"/>
        <w:gridCol w:w="444"/>
        <w:gridCol w:w="186"/>
        <w:gridCol w:w="109"/>
        <w:gridCol w:w="109"/>
        <w:gridCol w:w="109"/>
        <w:gridCol w:w="196"/>
        <w:gridCol w:w="661"/>
        <w:gridCol w:w="109"/>
        <w:gridCol w:w="109"/>
        <w:gridCol w:w="109"/>
        <w:gridCol w:w="109"/>
        <w:gridCol w:w="269"/>
        <w:gridCol w:w="765"/>
        <w:gridCol w:w="152"/>
        <w:gridCol w:w="109"/>
        <w:gridCol w:w="109"/>
        <w:gridCol w:w="109"/>
        <w:gridCol w:w="196"/>
        <w:gridCol w:w="716"/>
        <w:gridCol w:w="109"/>
        <w:gridCol w:w="109"/>
        <w:gridCol w:w="109"/>
        <w:gridCol w:w="109"/>
        <w:gridCol w:w="196"/>
        <w:gridCol w:w="736"/>
        <w:gridCol w:w="154"/>
      </w:tblGrid>
      <w:tr>
        <w:trPr/>
        <w:tc>
          <w:tcPr>
            <w:tcW w:w="51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 except shares)</w:t>
            </w:r>
          </w:p>
        </w:tc>
        <w:tc>
          <w:tcPr>
            <w:tcW w:w="11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Paid-In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Comprehensive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Stockholders’</w:t>
            </w:r>
          </w:p>
        </w:tc>
      </w:tr>
      <w:tr>
        <w:trPr/>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Deficit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Equity</w:t>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January 1,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93,410,563 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(701,305)</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158,461 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(1,087,990)</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(1,087,990)</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(13,934)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stock-based awards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161,969 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interest rate caplets</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4,864 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2022</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92,484,542 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189,299 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(1,789,295)</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4,864 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166,822 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360" w:after="283"/>
        <w:jc w:val="center"/>
        <w:rPr/>
      </w:pPr>
      <w:r>
        <w:rPr/>
      </w:r>
    </w:p>
    <w:p>
      <w:pPr>
        <w:pStyle w:val="TextBody"/>
        <w:spacing w:lineRule="auto" w:line="345" w:before="240" w:after="283"/>
        <w:ind w:left="0" w:right="0" w:firstLine="360"/>
        <w:jc w:val="center"/>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2e65ffc0a01a49368550f687b81d7587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CellMar>
          <w:top w:w="28" w:type="dxa"/>
          <w:left w:w="28" w:type="dxa"/>
          <w:bottom w:w="28" w:type="dxa"/>
          <w:right w:w="28" w:type="dxa"/>
        </w:tblCellMar>
      </w:tblPr>
      <w:tblGrid>
        <w:gridCol w:w="2297"/>
        <w:gridCol w:w="1876"/>
        <w:gridCol w:w="1880"/>
        <w:gridCol w:w="331"/>
        <w:gridCol w:w="1244"/>
        <w:gridCol w:w="184"/>
        <w:gridCol w:w="184"/>
        <w:gridCol w:w="184"/>
        <w:gridCol w:w="184"/>
        <w:gridCol w:w="331"/>
        <w:gridCol w:w="1244"/>
        <w:gridCol w:w="266"/>
      </w:tblGrid>
      <w:tr>
        <w:trPr/>
        <w:tc>
          <w:tcPr>
            <w:tcW w:w="2297" w:type="dxa"/>
            <w:tcBorders/>
            <w:shd w:fill="auto" w:val="clear"/>
            <w:vAlign w:val="center"/>
          </w:tcPr>
          <w:p>
            <w:pPr>
              <w:pStyle w:val="TableContents"/>
              <w:spacing w:before="0" w:after="283"/>
              <w:rPr>
                <w:sz w:val="4"/>
                <w:szCs w:val="4"/>
              </w:rPr>
            </w:pPr>
            <w:r>
              <w:rPr>
                <w:sz w:val="4"/>
                <w:szCs w:val="4"/>
              </w:rPr>
            </w:r>
          </w:p>
        </w:tc>
        <w:tc>
          <w:tcPr>
            <w:tcW w:w="1876" w:type="dxa"/>
            <w:tcBorders/>
            <w:shd w:fill="auto" w:val="clear"/>
            <w:vAlign w:val="center"/>
          </w:tcPr>
          <w:p>
            <w:pPr>
              <w:pStyle w:val="TableContents"/>
              <w:spacing w:before="0" w:after="283"/>
              <w:rPr>
                <w:sz w:val="4"/>
                <w:szCs w:val="4"/>
              </w:rPr>
            </w:pPr>
            <w:r>
              <w:rPr>
                <w:sz w:val="4"/>
                <w:szCs w:val="4"/>
              </w:rPr>
            </w:r>
          </w:p>
        </w:tc>
        <w:tc>
          <w:tcPr>
            <w:tcW w:w="188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ACCEL ENTERTAINMENT, INC.</w:t>
              <w:br/>
              <w:t>CONDENSED CONSOLIDATED STATEMENTS OF CASH FLOWS</w:t>
              <w:br/>
              <w:t>(Unaudited)</w:t>
            </w:r>
          </w:p>
        </w:tc>
      </w:tr>
      <w:tr>
        <w:trPr/>
        <w:tc>
          <w:tcPr>
            <w:tcW w:w="60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415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6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5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5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17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income </w:t>
            </w:r>
          </w:p>
        </w:tc>
        <w:tc>
          <w:tcPr>
            <w:tcW w:w="33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9,182 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15,788 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17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 of property and equipment</w:t>
            </w:r>
          </w:p>
        </w:tc>
        <w:tc>
          <w:tcPr>
            <w:tcW w:w="157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9,063 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5,841 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intangible assets and route and customer acquisition costs</w:t>
            </w:r>
          </w:p>
        </w:tc>
        <w:tc>
          <w:tcPr>
            <w:tcW w:w="157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5,242 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3,548 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157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(gain) on change in fair value of contingent earnout shares</w:t>
            </w:r>
          </w:p>
        </w:tc>
        <w:tc>
          <w:tcPr>
            <w:tcW w:w="157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4,602 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(3,417)</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auto" w:val="clear"/>
            <w:vAlign w:val="center"/>
          </w:tcPr>
          <w:p>
            <w:pPr>
              <w:pStyle w:val="TableContents"/>
              <w:spacing w:before="0" w:after="283"/>
              <w:rPr>
                <w:sz w:val="4"/>
                <w:szCs w:val="4"/>
              </w:rPr>
            </w:pPr>
            <w:r>
              <w:rPr>
                <w:sz w:val="4"/>
                <w:szCs w:val="4"/>
              </w:rPr>
            </w:r>
          </w:p>
        </w:tc>
        <w:tc>
          <w:tcPr>
            <w:tcW w:w="1759" w:type="dxa"/>
            <w:gridSpan w:val="3"/>
            <w:tcBorders/>
            <w:shd w:fill="auto" w:val="clear"/>
            <w:vAlign w:val="center"/>
          </w:tcPr>
          <w:p>
            <w:pPr>
              <w:pStyle w:val="TableContents"/>
              <w:spacing w:before="0" w:after="283"/>
              <w:rPr>
                <w:sz w:val="4"/>
                <w:szCs w:val="4"/>
              </w:rPr>
            </w:pPr>
            <w:r>
              <w:rPr>
                <w:sz w:val="4"/>
                <w:szCs w:val="4"/>
              </w:rPr>
            </w:r>
          </w:p>
        </w:tc>
        <w:tc>
          <w:tcPr>
            <w:tcW w:w="552" w:type="dxa"/>
            <w:gridSpan w:val="3"/>
            <w:tcBorders/>
            <w:shd w:fill="auto" w:val="clear"/>
            <w:vAlign w:val="center"/>
          </w:tcPr>
          <w:p>
            <w:pPr>
              <w:pStyle w:val="TableContents"/>
              <w:spacing w:before="0" w:after="283"/>
              <w:rPr>
                <w:sz w:val="4"/>
                <w:szCs w:val="4"/>
              </w:rPr>
            </w:pPr>
            <w:r>
              <w:rPr>
                <w:sz w:val="4"/>
                <w:szCs w:val="4"/>
              </w:rPr>
            </w:r>
          </w:p>
        </w:tc>
        <w:tc>
          <w:tcPr>
            <w:tcW w:w="1841" w:type="dxa"/>
            <w:gridSpan w:val="3"/>
            <w:tcBorders/>
            <w:shd w:fill="auto" w:val="clear"/>
            <w:vAlign w:val="center"/>
          </w:tcPr>
          <w:p>
            <w:pPr>
              <w:pStyle w:val="TableContents"/>
              <w:spacing w:before="0" w:after="283"/>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57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1,605 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disposal of property and equipment</w:t>
            </w:r>
          </w:p>
        </w:tc>
        <w:tc>
          <w:tcPr>
            <w:tcW w:w="157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26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on write-off of route and customer acquisition costs and route and customer acquisition costs payable</w:t>
            </w:r>
          </w:p>
        </w:tc>
        <w:tc>
          <w:tcPr>
            <w:tcW w:w="157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auto" w:val="clear"/>
            <w:vAlign w:val="center"/>
          </w:tcPr>
          <w:p>
            <w:pPr>
              <w:pStyle w:val="TableContents"/>
              <w:spacing w:before="0" w:after="283"/>
              <w:rPr>
                <w:sz w:val="4"/>
                <w:szCs w:val="4"/>
              </w:rPr>
            </w:pPr>
            <w:r>
              <w:rPr>
                <w:sz w:val="4"/>
                <w:szCs w:val="4"/>
              </w:rPr>
            </w:r>
          </w:p>
        </w:tc>
        <w:tc>
          <w:tcPr>
            <w:tcW w:w="1759" w:type="dxa"/>
            <w:gridSpan w:val="3"/>
            <w:tcBorders/>
            <w:shd w:fill="auto" w:val="clear"/>
            <w:vAlign w:val="center"/>
          </w:tcPr>
          <w:p>
            <w:pPr>
              <w:pStyle w:val="TableContents"/>
              <w:spacing w:before="0" w:after="283"/>
              <w:rPr>
                <w:sz w:val="4"/>
                <w:szCs w:val="4"/>
              </w:rPr>
            </w:pPr>
            <w:r>
              <w:rPr>
                <w:sz w:val="4"/>
                <w:szCs w:val="4"/>
              </w:rPr>
            </w:r>
          </w:p>
        </w:tc>
        <w:tc>
          <w:tcPr>
            <w:tcW w:w="552" w:type="dxa"/>
            <w:gridSpan w:val="3"/>
            <w:tcBorders/>
            <w:shd w:fill="auto" w:val="clear"/>
            <w:vAlign w:val="center"/>
          </w:tcPr>
          <w:p>
            <w:pPr>
              <w:pStyle w:val="TableContents"/>
              <w:spacing w:before="0" w:after="283"/>
              <w:rPr>
                <w:sz w:val="4"/>
                <w:szCs w:val="4"/>
              </w:rPr>
            </w:pPr>
            <w:r>
              <w:rPr>
                <w:sz w:val="4"/>
                <w:szCs w:val="4"/>
              </w:rPr>
            </w:r>
          </w:p>
        </w:tc>
        <w:tc>
          <w:tcPr>
            <w:tcW w:w="1841" w:type="dxa"/>
            <w:gridSpan w:val="3"/>
            <w:tcBorders/>
            <w:shd w:fill="auto" w:val="clear"/>
            <w:vAlign w:val="center"/>
          </w:tcPr>
          <w:p>
            <w:pPr>
              <w:pStyle w:val="TableContents"/>
              <w:spacing w:before="0" w:after="283"/>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Remeasurement of contingent consideration</w:t>
            </w:r>
          </w:p>
        </w:tc>
        <w:tc>
          <w:tcPr>
            <w:tcW w:w="157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consideration payable</w:t>
            </w:r>
          </w:p>
        </w:tc>
        <w:tc>
          <w:tcPr>
            <w:tcW w:w="1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(1,116)</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interest on route and customer acquisition costs payable, contingent consideration, and contingent stock consideration</w:t>
            </w:r>
          </w:p>
        </w:tc>
        <w:tc>
          <w:tcPr>
            <w:tcW w:w="157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57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2,315 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2,775 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7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57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1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3,426 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1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receivable</w:t>
            </w:r>
          </w:p>
        </w:tc>
        <w:tc>
          <w:tcPr>
            <w:tcW w:w="1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Route and customer acquisition costs</w:t>
            </w:r>
          </w:p>
        </w:tc>
        <w:tc>
          <w:tcPr>
            <w:tcW w:w="157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Route and customer acquisition costs payable</w:t>
            </w:r>
          </w:p>
        </w:tc>
        <w:tc>
          <w:tcPr>
            <w:tcW w:w="157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expenses</w:t>
            </w:r>
          </w:p>
        </w:tc>
        <w:tc>
          <w:tcPr>
            <w:tcW w:w="157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5,588 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1,173 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 and related expenses</w:t>
            </w:r>
          </w:p>
        </w:tc>
        <w:tc>
          <w:tcPr>
            <w:tcW w:w="157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(3,903)</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(4,642)</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57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operating activities</w:t>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37,983 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22,061 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175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157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(21,461)</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(6,752)</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sale of property and equipment</w:t>
            </w:r>
          </w:p>
        </w:tc>
        <w:tc>
          <w:tcPr>
            <w:tcW w:w="157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auto" w:val="clear"/>
            <w:vAlign w:val="center"/>
          </w:tcPr>
          <w:p>
            <w:pPr>
              <w:pStyle w:val="TableContents"/>
              <w:spacing w:before="0" w:after="283"/>
              <w:rPr>
                <w:sz w:val="4"/>
                <w:szCs w:val="4"/>
              </w:rPr>
            </w:pPr>
            <w:r>
              <w:rPr>
                <w:sz w:val="4"/>
                <w:szCs w:val="4"/>
              </w:rPr>
            </w:r>
          </w:p>
        </w:tc>
        <w:tc>
          <w:tcPr>
            <w:tcW w:w="1759" w:type="dxa"/>
            <w:gridSpan w:val="3"/>
            <w:tcBorders/>
            <w:shd w:fill="auto" w:val="clear"/>
            <w:vAlign w:val="center"/>
          </w:tcPr>
          <w:p>
            <w:pPr>
              <w:pStyle w:val="TableContents"/>
              <w:spacing w:before="0" w:after="283"/>
              <w:rPr>
                <w:sz w:val="4"/>
                <w:szCs w:val="4"/>
              </w:rPr>
            </w:pPr>
            <w:r>
              <w:rPr>
                <w:sz w:val="4"/>
                <w:szCs w:val="4"/>
              </w:rPr>
            </w:r>
          </w:p>
        </w:tc>
        <w:tc>
          <w:tcPr>
            <w:tcW w:w="552" w:type="dxa"/>
            <w:gridSpan w:val="3"/>
            <w:tcBorders/>
            <w:shd w:fill="auto" w:val="clear"/>
            <w:vAlign w:val="center"/>
          </w:tcPr>
          <w:p>
            <w:pPr>
              <w:pStyle w:val="TableContents"/>
              <w:spacing w:before="0" w:after="283"/>
              <w:rPr>
                <w:sz w:val="4"/>
                <w:szCs w:val="4"/>
              </w:rPr>
            </w:pPr>
            <w:r>
              <w:rPr>
                <w:sz w:val="4"/>
                <w:szCs w:val="4"/>
              </w:rPr>
            </w:r>
          </w:p>
        </w:tc>
        <w:tc>
          <w:tcPr>
            <w:tcW w:w="1841" w:type="dxa"/>
            <w:gridSpan w:val="3"/>
            <w:tcBorders/>
            <w:shd w:fill="auto" w:val="clear"/>
            <w:vAlign w:val="center"/>
          </w:tcPr>
          <w:p>
            <w:pPr>
              <w:pStyle w:val="TableContents"/>
              <w:spacing w:before="0" w:after="283"/>
              <w:rPr>
                <w:sz w:val="4"/>
                <w:szCs w:val="4"/>
              </w:rPr>
            </w:pPr>
            <w:r>
              <w:rPr>
                <w:sz w:val="4"/>
                <w:szCs w:val="4"/>
              </w:rPr>
            </w:r>
          </w:p>
        </w:tc>
      </w:tr>
      <w:tr>
        <w:trPr/>
        <w:tc>
          <w:tcPr>
            <w:tcW w:w="6053" w:type="dxa"/>
            <w:gridSpan w:val="3"/>
            <w:tcBorders/>
            <w:shd w:fill="auto" w:val="clear"/>
            <w:vAlign w:val="center"/>
          </w:tcPr>
          <w:p>
            <w:pPr>
              <w:pStyle w:val="TableContents"/>
              <w:spacing w:before="0" w:after="283"/>
              <w:rPr>
                <w:sz w:val="4"/>
                <w:szCs w:val="4"/>
              </w:rPr>
            </w:pPr>
            <w:r>
              <w:rPr>
                <w:sz w:val="4"/>
                <w:szCs w:val="4"/>
              </w:rPr>
            </w:r>
          </w:p>
        </w:tc>
        <w:tc>
          <w:tcPr>
            <w:tcW w:w="1759" w:type="dxa"/>
            <w:gridSpan w:val="3"/>
            <w:tcBorders/>
            <w:shd w:fill="auto" w:val="clear"/>
            <w:vAlign w:val="center"/>
          </w:tcPr>
          <w:p>
            <w:pPr>
              <w:pStyle w:val="TableContents"/>
              <w:spacing w:before="0" w:after="283"/>
              <w:rPr>
                <w:sz w:val="4"/>
                <w:szCs w:val="4"/>
              </w:rPr>
            </w:pPr>
            <w:r>
              <w:rPr>
                <w:sz w:val="4"/>
                <w:szCs w:val="4"/>
              </w:rPr>
            </w:r>
          </w:p>
        </w:tc>
        <w:tc>
          <w:tcPr>
            <w:tcW w:w="552" w:type="dxa"/>
            <w:gridSpan w:val="3"/>
            <w:tcBorders/>
            <w:shd w:fill="auto" w:val="clear"/>
            <w:vAlign w:val="center"/>
          </w:tcPr>
          <w:p>
            <w:pPr>
              <w:pStyle w:val="TableContents"/>
              <w:spacing w:before="0" w:after="283"/>
              <w:rPr>
                <w:sz w:val="4"/>
                <w:szCs w:val="4"/>
              </w:rPr>
            </w:pPr>
            <w:r>
              <w:rPr>
                <w:sz w:val="4"/>
                <w:szCs w:val="4"/>
              </w:rPr>
            </w:r>
          </w:p>
        </w:tc>
        <w:tc>
          <w:tcPr>
            <w:tcW w:w="1841" w:type="dxa"/>
            <w:gridSpan w:val="3"/>
            <w:tcBorders/>
            <w:shd w:fill="auto" w:val="clear"/>
            <w:vAlign w:val="center"/>
          </w:tcPr>
          <w:p>
            <w:pPr>
              <w:pStyle w:val="TableContents"/>
              <w:spacing w:before="0" w:after="283"/>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Business and asset acquisitions, net of cash acquired</w:t>
            </w:r>
          </w:p>
        </w:tc>
        <w:tc>
          <w:tcPr>
            <w:tcW w:w="157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(2,600)</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investing activities</w:t>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(23,585)</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(6,387)</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17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debt</w:t>
            </w:r>
          </w:p>
        </w:tc>
        <w:tc>
          <w:tcPr>
            <w:tcW w:w="1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8,000 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debt</w:t>
            </w:r>
          </w:p>
        </w:tc>
        <w:tc>
          <w:tcPr>
            <w:tcW w:w="1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(12,625)</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(4,375)</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auto" w:val="clear"/>
            <w:vAlign w:val="center"/>
          </w:tcPr>
          <w:p>
            <w:pPr>
              <w:pStyle w:val="TableContents"/>
              <w:spacing w:before="0" w:after="283"/>
              <w:rPr>
                <w:sz w:val="4"/>
                <w:szCs w:val="4"/>
              </w:rPr>
            </w:pPr>
            <w:r>
              <w:rPr>
                <w:sz w:val="4"/>
                <w:szCs w:val="4"/>
              </w:rPr>
            </w:r>
          </w:p>
        </w:tc>
        <w:tc>
          <w:tcPr>
            <w:tcW w:w="1759" w:type="dxa"/>
            <w:gridSpan w:val="3"/>
            <w:tcBorders/>
            <w:shd w:fill="auto" w:val="clear"/>
            <w:vAlign w:val="center"/>
          </w:tcPr>
          <w:p>
            <w:pPr>
              <w:pStyle w:val="TableContents"/>
              <w:spacing w:before="0" w:after="283"/>
              <w:rPr>
                <w:sz w:val="4"/>
                <w:szCs w:val="4"/>
              </w:rPr>
            </w:pPr>
            <w:r>
              <w:rPr>
                <w:sz w:val="4"/>
                <w:szCs w:val="4"/>
              </w:rPr>
            </w:r>
          </w:p>
        </w:tc>
        <w:tc>
          <w:tcPr>
            <w:tcW w:w="552" w:type="dxa"/>
            <w:gridSpan w:val="3"/>
            <w:tcBorders/>
            <w:shd w:fill="auto" w:val="clear"/>
            <w:vAlign w:val="center"/>
          </w:tcPr>
          <w:p>
            <w:pPr>
              <w:pStyle w:val="TableContents"/>
              <w:spacing w:before="0" w:after="283"/>
              <w:rPr>
                <w:sz w:val="4"/>
                <w:szCs w:val="4"/>
              </w:rPr>
            </w:pPr>
            <w:r>
              <w:rPr>
                <w:sz w:val="4"/>
                <w:szCs w:val="4"/>
              </w:rPr>
            </w:r>
          </w:p>
        </w:tc>
        <w:tc>
          <w:tcPr>
            <w:tcW w:w="1841" w:type="dxa"/>
            <w:gridSpan w:val="3"/>
            <w:tcBorders/>
            <w:shd w:fill="auto" w:val="clear"/>
            <w:vAlign w:val="center"/>
          </w:tcPr>
          <w:p>
            <w:pPr>
              <w:pStyle w:val="TableContents"/>
              <w:spacing w:before="0" w:after="283"/>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repurchase of common stock</w:t>
            </w:r>
          </w:p>
        </w:tc>
        <w:tc>
          <w:tcPr>
            <w:tcW w:w="1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(4,206)</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(13,934)</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interest rate caplets</w:t>
            </w:r>
          </w:p>
        </w:tc>
        <w:tc>
          <w:tcPr>
            <w:tcW w:w="1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1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consideration payable</w:t>
            </w:r>
          </w:p>
        </w:tc>
        <w:tc>
          <w:tcPr>
            <w:tcW w:w="1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(1,084)</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on stock-based payments</w:t>
            </w:r>
          </w:p>
        </w:tc>
        <w:tc>
          <w:tcPr>
            <w:tcW w:w="1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financing activities</w:t>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(9,982)</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(19,562)</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Net increase (decrease) in cash and cash equivalents</w:t>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4,416 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(3,888)</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7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of period</w:t>
            </w:r>
          </w:p>
        </w:tc>
        <w:tc>
          <w:tcPr>
            <w:tcW w:w="157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224,113 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198,786 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 of period</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228,529 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194,898 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2e65ffc0a01a49368550f687b81d7587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CellMar>
          <w:top w:w="28" w:type="dxa"/>
          <w:left w:w="28" w:type="dxa"/>
          <w:bottom w:w="28" w:type="dxa"/>
          <w:right w:w="28" w:type="dxa"/>
        </w:tblCellMar>
      </w:tblPr>
      <w:tblGrid>
        <w:gridCol w:w="1738"/>
        <w:gridCol w:w="1526"/>
        <w:gridCol w:w="1534"/>
        <w:gridCol w:w="484"/>
        <w:gridCol w:w="1599"/>
        <w:gridCol w:w="269"/>
        <w:gridCol w:w="269"/>
        <w:gridCol w:w="269"/>
        <w:gridCol w:w="269"/>
        <w:gridCol w:w="484"/>
        <w:gridCol w:w="1376"/>
        <w:gridCol w:w="388"/>
      </w:tblGrid>
      <w:tr>
        <w:trPr/>
        <w:tc>
          <w:tcPr>
            <w:tcW w:w="1738" w:type="dxa"/>
            <w:tcBorders/>
            <w:shd w:fill="auto" w:val="clear"/>
            <w:vAlign w:val="center"/>
          </w:tcPr>
          <w:p>
            <w:pPr>
              <w:pStyle w:val="TableContents"/>
              <w:spacing w:before="0" w:after="283"/>
              <w:rPr>
                <w:sz w:val="4"/>
                <w:szCs w:val="4"/>
              </w:rPr>
            </w:pPr>
            <w:r>
              <w:rPr>
                <w:sz w:val="4"/>
                <w:szCs w:val="4"/>
              </w:rPr>
            </w:r>
          </w:p>
        </w:tc>
        <w:tc>
          <w:tcPr>
            <w:tcW w:w="1526" w:type="dxa"/>
            <w:tcBorders/>
            <w:shd w:fill="auto" w:val="clear"/>
            <w:vAlign w:val="center"/>
          </w:tcPr>
          <w:p>
            <w:pPr>
              <w:pStyle w:val="TableContents"/>
              <w:spacing w:before="0" w:after="283"/>
              <w:rPr>
                <w:sz w:val="4"/>
                <w:szCs w:val="4"/>
              </w:rPr>
            </w:pPr>
            <w:r>
              <w:rPr>
                <w:sz w:val="4"/>
                <w:szCs w:val="4"/>
              </w:rPr>
            </w:r>
          </w:p>
        </w:tc>
        <w:tc>
          <w:tcPr>
            <w:tcW w:w="153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159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1376"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ACCEL ENTERTAINMENT, INC.</w:t>
              <w:br/>
              <w:t>CONDENSED CONSOLIDATED STATEMENTS OF CASH FLOWS - (Continued)</w:t>
              <w:br/>
              <w:t>(Unaudited)</w:t>
            </w:r>
          </w:p>
        </w:tc>
      </w:tr>
      <w:tr>
        <w:trPr/>
        <w:tc>
          <w:tcPr>
            <w:tcW w:w="47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disclosures of cash flow information:</w:t>
            </w:r>
          </w:p>
        </w:tc>
        <w:tc>
          <w:tcPr>
            <w:tcW w:w="23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payments (refunds) for:</w:t>
            </w:r>
          </w:p>
        </w:tc>
        <w:tc>
          <w:tcPr>
            <w:tcW w:w="23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w:t>
            </w:r>
          </w:p>
        </w:tc>
        <w:tc>
          <w:tcPr>
            <w:tcW w:w="484"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9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9,275 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3,386 </w:t>
            </w:r>
          </w:p>
        </w:tc>
        <w:tc>
          <w:tcPr>
            <w:tcW w:w="3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w:t>
            </w:r>
          </w:p>
        </w:tc>
        <w:tc>
          <w:tcPr>
            <w:tcW w:w="48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99"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schedules of noncash investing and financing activities:</w:t>
            </w:r>
          </w:p>
        </w:tc>
        <w:tc>
          <w:tcPr>
            <w:tcW w:w="23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 in accounts payable and accrued liabilities</w:t>
            </w:r>
          </w:p>
        </w:tc>
        <w:tc>
          <w:tcPr>
            <w:tcW w:w="48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9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10,885 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4,338 </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premium on interest rate caplets</w:t>
            </w:r>
          </w:p>
        </w:tc>
        <w:tc>
          <w:tcPr>
            <w:tcW w:w="4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2,784 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3,898 </w:t>
            </w:r>
          </w:p>
        </w:tc>
        <w:tc>
          <w:tcPr>
            <w:tcW w:w="3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8" w:type="dxa"/>
            <w:gridSpan w:val="3"/>
            <w:tcBorders/>
            <w:shd w:fill="auto" w:val="clear"/>
            <w:vAlign w:val="center"/>
          </w:tcPr>
          <w:p>
            <w:pPr>
              <w:pStyle w:val="TableContents"/>
              <w:spacing w:before="0" w:after="283"/>
              <w:rPr>
                <w:sz w:val="4"/>
                <w:szCs w:val="4"/>
              </w:rPr>
            </w:pPr>
            <w:r>
              <w:rPr>
                <w:sz w:val="4"/>
                <w:szCs w:val="4"/>
              </w:rPr>
            </w:r>
          </w:p>
        </w:tc>
        <w:tc>
          <w:tcPr>
            <w:tcW w:w="2352" w:type="dxa"/>
            <w:gridSpan w:val="3"/>
            <w:tcBorders/>
            <w:shd w:fill="auto" w:val="clear"/>
            <w:vAlign w:val="center"/>
          </w:tcPr>
          <w:p>
            <w:pPr>
              <w:pStyle w:val="TableContents"/>
              <w:spacing w:before="0" w:after="283"/>
              <w:rPr>
                <w:sz w:val="4"/>
                <w:szCs w:val="4"/>
              </w:rPr>
            </w:pPr>
            <w:r>
              <w:rPr>
                <w:sz w:val="4"/>
                <w:szCs w:val="4"/>
              </w:rPr>
            </w:r>
          </w:p>
        </w:tc>
        <w:tc>
          <w:tcPr>
            <w:tcW w:w="807" w:type="dxa"/>
            <w:gridSpan w:val="3"/>
            <w:tcBorders/>
            <w:shd w:fill="auto" w:val="clear"/>
            <w:vAlign w:val="center"/>
          </w:tcPr>
          <w:p>
            <w:pPr>
              <w:pStyle w:val="TableContents"/>
              <w:spacing w:before="0" w:after="283"/>
              <w:rPr>
                <w:sz w:val="4"/>
                <w:szCs w:val="4"/>
              </w:rPr>
            </w:pPr>
            <w:r>
              <w:rPr>
                <w:sz w:val="4"/>
                <w:szCs w:val="4"/>
              </w:rPr>
            </w:r>
          </w:p>
        </w:tc>
        <w:tc>
          <w:tcPr>
            <w:tcW w:w="2248" w:type="dxa"/>
            <w:gridSpan w:val="3"/>
            <w:tcBorders/>
            <w:shd w:fill="auto" w:val="clear"/>
            <w:vAlign w:val="center"/>
          </w:tcPr>
          <w:p>
            <w:pPr>
              <w:pStyle w:val="TableContents"/>
              <w:spacing w:before="0" w:after="283"/>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businesses and assets:</w:t>
            </w:r>
          </w:p>
        </w:tc>
        <w:tc>
          <w:tcPr>
            <w:tcW w:w="23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identifiable net assets acquired</w:t>
            </w:r>
          </w:p>
        </w:tc>
        <w:tc>
          <w:tcPr>
            <w:tcW w:w="484"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9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2,600 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7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8" w:type="dxa"/>
            <w:gridSpan w:val="3"/>
            <w:tcBorders/>
            <w:shd w:fill="auto" w:val="clear"/>
            <w:vAlign w:val="center"/>
          </w:tcPr>
          <w:p>
            <w:pPr>
              <w:pStyle w:val="TableContents"/>
              <w:spacing w:before="0" w:after="283"/>
              <w:rPr>
                <w:sz w:val="4"/>
                <w:szCs w:val="4"/>
              </w:rPr>
            </w:pPr>
            <w:r>
              <w:rPr>
                <w:sz w:val="4"/>
                <w:szCs w:val="4"/>
              </w:rPr>
            </w:r>
          </w:p>
        </w:tc>
        <w:tc>
          <w:tcPr>
            <w:tcW w:w="2352" w:type="dxa"/>
            <w:gridSpan w:val="3"/>
            <w:tcBorders/>
            <w:shd w:fill="auto" w:val="clear"/>
            <w:vAlign w:val="center"/>
          </w:tcPr>
          <w:p>
            <w:pPr>
              <w:pStyle w:val="TableContents"/>
              <w:spacing w:before="0" w:after="283"/>
              <w:rPr>
                <w:sz w:val="4"/>
                <w:szCs w:val="4"/>
              </w:rPr>
            </w:pPr>
            <w:r>
              <w:rPr>
                <w:sz w:val="4"/>
                <w:szCs w:val="4"/>
              </w:rPr>
            </w:r>
          </w:p>
        </w:tc>
        <w:tc>
          <w:tcPr>
            <w:tcW w:w="807" w:type="dxa"/>
            <w:gridSpan w:val="3"/>
            <w:tcBorders/>
            <w:shd w:fill="auto" w:val="clear"/>
            <w:vAlign w:val="center"/>
          </w:tcPr>
          <w:p>
            <w:pPr>
              <w:pStyle w:val="TableContents"/>
              <w:spacing w:before="0" w:after="283"/>
              <w:rPr>
                <w:sz w:val="4"/>
                <w:szCs w:val="4"/>
              </w:rPr>
            </w:pPr>
            <w:r>
              <w:rPr>
                <w:sz w:val="4"/>
                <w:szCs w:val="4"/>
              </w:rPr>
            </w:r>
          </w:p>
        </w:tc>
        <w:tc>
          <w:tcPr>
            <w:tcW w:w="2248" w:type="dxa"/>
            <w:gridSpan w:val="3"/>
            <w:tcBorders/>
            <w:shd w:fill="auto" w:val="clear"/>
            <w:vAlign w:val="center"/>
          </w:tcPr>
          <w:p>
            <w:pPr>
              <w:pStyle w:val="TableContents"/>
              <w:spacing w:before="0" w:after="283"/>
              <w:rPr>
                <w:sz w:val="4"/>
                <w:szCs w:val="4"/>
              </w:rPr>
            </w:pPr>
            <w:r>
              <w:rPr>
                <w:sz w:val="4"/>
                <w:szCs w:val="4"/>
              </w:rPr>
            </w:r>
          </w:p>
        </w:tc>
      </w:tr>
      <w:tr>
        <w:trPr/>
        <w:tc>
          <w:tcPr>
            <w:tcW w:w="4798" w:type="dxa"/>
            <w:gridSpan w:val="3"/>
            <w:tcBorders/>
            <w:shd w:fill="auto" w:val="clear"/>
            <w:vAlign w:val="center"/>
          </w:tcPr>
          <w:p>
            <w:pPr>
              <w:pStyle w:val="TableContents"/>
              <w:spacing w:before="0" w:after="283"/>
              <w:rPr>
                <w:sz w:val="4"/>
                <w:szCs w:val="4"/>
              </w:rPr>
            </w:pPr>
            <w:r>
              <w:rPr>
                <w:sz w:val="4"/>
                <w:szCs w:val="4"/>
              </w:rPr>
            </w:r>
          </w:p>
        </w:tc>
        <w:tc>
          <w:tcPr>
            <w:tcW w:w="2352" w:type="dxa"/>
            <w:gridSpan w:val="3"/>
            <w:tcBorders/>
            <w:shd w:fill="auto" w:val="clear"/>
            <w:vAlign w:val="center"/>
          </w:tcPr>
          <w:p>
            <w:pPr>
              <w:pStyle w:val="TableContents"/>
              <w:spacing w:before="0" w:after="283"/>
              <w:rPr>
                <w:sz w:val="4"/>
                <w:szCs w:val="4"/>
              </w:rPr>
            </w:pPr>
            <w:r>
              <w:rPr>
                <w:sz w:val="4"/>
                <w:szCs w:val="4"/>
              </w:rPr>
            </w:r>
          </w:p>
        </w:tc>
        <w:tc>
          <w:tcPr>
            <w:tcW w:w="807" w:type="dxa"/>
            <w:gridSpan w:val="3"/>
            <w:tcBorders/>
            <w:shd w:fill="auto" w:val="clear"/>
            <w:vAlign w:val="center"/>
          </w:tcPr>
          <w:p>
            <w:pPr>
              <w:pStyle w:val="TableContents"/>
              <w:spacing w:before="0" w:after="283"/>
              <w:rPr>
                <w:sz w:val="4"/>
                <w:szCs w:val="4"/>
              </w:rPr>
            </w:pPr>
            <w:r>
              <w:rPr>
                <w:sz w:val="4"/>
                <w:szCs w:val="4"/>
              </w:rPr>
            </w:r>
          </w:p>
        </w:tc>
        <w:tc>
          <w:tcPr>
            <w:tcW w:w="2248" w:type="dxa"/>
            <w:gridSpan w:val="3"/>
            <w:tcBorders/>
            <w:shd w:fill="auto" w:val="clear"/>
            <w:vAlign w:val="center"/>
          </w:tcPr>
          <w:p>
            <w:pPr>
              <w:pStyle w:val="TableContents"/>
              <w:spacing w:before="0" w:after="283"/>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purchase price</w:t>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2,600 </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The accompanying notes are an integral part of these condensed consolidated financial statements</w:t>
      </w:r>
    </w:p>
    <w:p>
      <w:pPr>
        <w:pStyle w:val="TextBody"/>
        <w:spacing w:before="240" w:after="283"/>
        <w:jc w:val="center"/>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2e65ffc0a01a49368550f687b81d7587_7">
        <w:r>
          <w:rPr>
            <w:rStyle w:val="InternetLink"/>
            <w:rFonts w:ascii="Times New Roman;sans-serif" w:hAnsi="Times New Roman;sans-serif"/>
            <w:b w:val="false"/>
            <w:color w:val="0000FF"/>
            <w:sz w:val="20"/>
            <w:u w:val="single"/>
          </w:rPr>
          <w:t>Table of Contents</w:t>
        </w:r>
      </w:hyperlink>
    </w:p>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1. Description of Business</w:t>
      </w:r>
    </w:p>
    <w:p>
      <w:pPr>
        <w:pStyle w:val="TextBody"/>
        <w:spacing w:lineRule="auto" w:line="345" w:before="160" w:after="283"/>
        <w:ind w:left="0" w:right="0" w:firstLine="360"/>
        <w:jc w:val="both"/>
        <w:rPr/>
      </w:pPr>
      <w:r>
        <w:rPr>
          <w:rFonts w:ascii="Times New Roman;sans-serif" w:hAnsi="Times New Roman;sans-serif"/>
          <w:b w:val="false"/>
          <w:color w:val="000000"/>
          <w:sz w:val="20"/>
        </w:rPr>
        <w:t xml:space="preserve">Accel Entertainment, Inc. (and together with its subsidiaries, </w:t>
      </w:r>
      <w:r>
        <w:rPr>
          <w:rFonts w:ascii="Times New Roman;sans-serif" w:hAnsi="Times New Roman;sans-serif"/>
          <w:b w:val="false"/>
          <w:color w:val="000000"/>
          <w:sz w:val="20"/>
          <w:highlight w:val="white"/>
        </w:rPr>
        <w:t xml:space="preserve">the </w:t>
      </w:r>
      <w:r>
        <w:rPr>
          <w:color w:val="000000"/>
        </w:rPr>
        <w:t>“</w:t>
      </w:r>
      <w:r>
        <w:rPr>
          <w:rFonts w:ascii="Times New Roman;sans-serif" w:hAnsi="Times New Roman;sans-serif"/>
          <w:b w:val="false"/>
          <w:color w:val="000000"/>
          <w:sz w:val="20"/>
          <w:highlight w:val="white"/>
        </w:rPr>
        <w:t>Company</w:t>
      </w:r>
      <w:r>
        <w:rPr>
          <w:color w:val="000000"/>
        </w:rPr>
        <w:t xml:space="preserve">” </w:t>
      </w:r>
      <w:r>
        <w:rPr>
          <w:rFonts w:ascii="Times New Roman;sans-serif" w:hAnsi="Times New Roman;sans-serif"/>
          <w:b w:val="false"/>
          <w:color w:val="000000"/>
          <w:sz w:val="20"/>
        </w:rPr>
        <w:t>or “Accel”)</w:t>
      </w:r>
      <w:r>
        <w:rPr>
          <w:color w:val="000000"/>
          <w:highlight w:val="white"/>
        </w:rPr>
        <w:t xml:space="preserve"> </w:t>
      </w:r>
      <w:r>
        <w:rPr>
          <w:rFonts w:ascii="Times New Roman;sans-serif" w:hAnsi="Times New Roman;sans-serif"/>
          <w:b w:val="false"/>
          <w:color w:val="000000"/>
          <w:sz w:val="20"/>
          <w:highlight w:val="white"/>
        </w:rPr>
        <w:t xml:space="preserve">is a leading distributed gaming operator in the United States. The Company's wholly owned subsidiary, Accel Entertainment Gaming, LLC, has been licensed by the State of Illinois Gaming Board (“IGB”) since March 15, 2012 to be a terminal operator in the State of Illinois. Its Illinois terminal operator license allows the Company to install and operate gaming terminals in licensed gaming locations throughout the State of Illinois as approved by individual municipalities. The Illinois terminal operator license, which is not transferable or assignable, requires compliance with applicable regulations and the license is renewable annually unless sooner cancelled or terminated. </w:t>
      </w:r>
    </w:p>
    <w:p>
      <w:pPr>
        <w:pStyle w:val="TextBody"/>
        <w:spacing w:lineRule="auto" w:line="345" w:before="160" w:after="283"/>
        <w:ind w:left="0" w:right="0" w:firstLine="360"/>
        <w:jc w:val="both"/>
        <w:rPr/>
      </w:pPr>
      <w:r>
        <w:rPr>
          <w:rFonts w:ascii="Times New Roman;sans-serif" w:hAnsi="Times New Roman;sans-serif"/>
          <w:b w:val="false"/>
          <w:color w:val="000000"/>
          <w:sz w:val="20"/>
        </w:rPr>
        <w:t xml:space="preserve">In July 2020, the Georgia Lottery Corporation approved one of the Company's consolidated subsidiaries as a licensed operator, or Master Licensee, which allows the Company to install and operate coin operated amusement machines for commercial use by the public for play </w:t>
      </w:r>
      <w:r>
        <w:rPr>
          <w:rFonts w:ascii="Times New Roman;sans-serif" w:hAnsi="Times New Roman;sans-serif"/>
          <w:b w:val="false"/>
          <w:color w:val="000000"/>
          <w:sz w:val="20"/>
          <w:highlight w:val="white"/>
        </w:rPr>
        <w:t>throughout the State of Georgia</w:t>
      </w:r>
      <w:r>
        <w:rPr>
          <w:rFonts w:ascii="Times New Roman;sans-serif" w:hAnsi="Times New Roman;sans-serif"/>
          <w:b w:val="false"/>
          <w:color w:val="000000"/>
          <w:sz w:val="20"/>
        </w:rPr>
        <w:t xml:space="preserve">. The Company also holds a license from the Pennsylvania Gaming Control Board. On December 30, 2021, one of the Company's consolidated subsidiaries acquired amusement and </w:t>
      </w:r>
      <w:r>
        <w:rPr>
          <w:rFonts w:ascii="Times New Roman;sans-serif" w:hAnsi="Times New Roman;sans-serif"/>
          <w:b w:val="false"/>
          <w:color w:val="000000"/>
          <w:sz w:val="20"/>
          <w:highlight w:val="white"/>
        </w:rPr>
        <w:t>automated teller machines (“ATMs”)</w:t>
      </w:r>
      <w:r>
        <w:rPr>
          <w:color w:val="000000"/>
        </w:rPr>
        <w:t xml:space="preserve"> </w:t>
      </w:r>
      <w:r>
        <w:rPr>
          <w:rFonts w:ascii="Times New Roman;sans-serif" w:hAnsi="Times New Roman;sans-serif"/>
          <w:b w:val="false"/>
          <w:color w:val="000000"/>
          <w:sz w:val="20"/>
        </w:rPr>
        <w:t xml:space="preserve">operations in Iowa and registered with the Iowa Department of Inspections and Appeals to conduct such operations in Iowa. </w:t>
      </w:r>
    </w:p>
    <w:p>
      <w:pPr>
        <w:pStyle w:val="TextBody"/>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 2022, the Company acquired Century Gaming, Inc. (“Century”), which is a leading distributed gaming operator in the Montana and Nevada gaming markets. Century is also a manufacturer of gaming terminals in the Montana, Nevada, South Dakota, Louisiana and West Virginia markets. In connection with the acquisition, Accel was granted a two-year terminal operator license by the Nevada Gaming Commission and a manufacturer, distributor and route operator license by the Gambling Control Division of the Montana Department of Justice through June 2023. The Montana license is renewable annually. </w:t>
      </w:r>
    </w:p>
    <w:p>
      <w:pPr>
        <w:pStyle w:val="TextBody"/>
        <w:spacing w:lineRule="auto" w:line="345" w:before="160" w:after="283"/>
        <w:ind w:left="0" w:right="0" w:firstLine="360"/>
        <w:jc w:val="both"/>
        <w:rPr/>
      </w:pPr>
      <w:r>
        <w:rPr>
          <w:rFonts w:ascii="Times New Roman;sans-serif" w:hAnsi="Times New Roman;sans-serif"/>
          <w:b w:val="false"/>
          <w:color w:val="000000"/>
          <w:sz w:val="20"/>
        </w:rPr>
        <w:t xml:space="preserve">In June 2022, the Company became a licensed distributor of mechanical amusement devices (“MADs”) in Nebraska and commenced operations in this market. </w:t>
      </w:r>
      <w:r>
        <w:rPr>
          <w:rFonts w:ascii="Times New Roman;sans-serif" w:hAnsi="Times New Roman;sans-serif"/>
          <w:b w:val="false"/>
          <w:color w:val="000000"/>
          <w:sz w:val="20"/>
          <w:highlight w:val="white"/>
        </w:rPr>
        <w:t xml:space="preserve">The Company also operates redemption terminals, which also function as ATMs at its gaming locations, and amusement equipment at certain locations. </w:t>
      </w:r>
    </w:p>
    <w:p>
      <w:pPr>
        <w:pStyle w:val="TextBody"/>
        <w:spacing w:lineRule="auto" w:line="345" w:before="160" w:after="283"/>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Company is also subject to various other federal, state and local laws and regulations in addition to gaming regulations.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2. Summary of Significant Accounting Policies</w:t>
      </w:r>
    </w:p>
    <w:p>
      <w:pPr>
        <w:pStyle w:val="TextBody"/>
        <w:spacing w:lineRule="auto" w:line="345" w:before="160" w:after="283"/>
        <w:jc w:val="both"/>
        <w:rPr/>
      </w:pPr>
      <w:r>
        <w:rPr>
          <w:rFonts w:ascii="Times New Roman;sans-serif" w:hAnsi="Times New Roman;sans-serif"/>
          <w:b/>
          <w:color w:val="000000"/>
          <w:sz w:val="20"/>
          <w:highlight w:val="white"/>
        </w:rPr>
        <w:t>Basis of presentation and preparation</w:t>
      </w:r>
      <w:r>
        <w:rPr>
          <w:rFonts w:ascii="Times New Roman;sans-serif" w:hAnsi="Times New Roman;sans-serif"/>
          <w:b w:val="false"/>
          <w:color w:val="000000"/>
          <w:sz w:val="20"/>
          <w:highlight w:val="white"/>
        </w:rPr>
        <w:t xml:space="preserve">: The condensed consolidated financial statements and accompanying notes were prepared in conformity with U.S. generally accepted accounting principles (“GAAP”) and the rules and regulations of the Securities and Exchange Commission (“SEC”). </w:t>
      </w:r>
      <w:r>
        <w:rPr>
          <w:rFonts w:ascii="Times New Roman;sans-serif" w:hAnsi="Times New Roman;sans-serif"/>
          <w:b w:val="false"/>
          <w:color w:val="000000"/>
          <w:sz w:val="20"/>
        </w:rPr>
        <w:t xml:space="preserve">The condensed consolidated financial statements include the accounts of the Company and of its wholly owned subsidiaries. All significant intercompany balances and transactions have been eliminated in consolidation. In the opinion of management, the condensed consolidated financial statements include all recurring adjustments and normal accruals necessary for a fair presentation of the Company’s financial position, results of operations and cash flows for the dates and periods presented. These condensed consolidated financial statements should be read in conjunction with the consolidated financial statements and the related notes thereto included in the Company’s Annual Report on Form 10-K for the year ended December 31, 2022 </w:t>
      </w:r>
      <w:r>
        <w:rPr>
          <w:rFonts w:ascii="Times New Roman;sans-serif" w:hAnsi="Times New Roman;sans-serif"/>
          <w:b w:val="false"/>
          <w:color w:val="000000"/>
          <w:sz w:val="20"/>
          <w:highlight w:val="white"/>
        </w:rPr>
        <w:t>(the “Form 10-K”)</w:t>
      </w:r>
      <w:r>
        <w:rPr>
          <w:rFonts w:ascii="Times New Roman;sans-serif" w:hAnsi="Times New Roman;sans-serif"/>
          <w:b w:val="false"/>
          <w:color w:val="000000"/>
          <w:sz w:val="20"/>
        </w:rPr>
        <w:t xml:space="preserve">. In preparing our condensed consolidated financial statements, we applied the same significant accounting policies as described in Note 2 to the consolidated financial statements in the Form 10-K. Any significant changes to those accounting policies are discussed below. Interim results are not necessarily indicative of results for a full year. </w:t>
      </w:r>
    </w:p>
    <w:p>
      <w:pPr>
        <w:pStyle w:val="TextBody"/>
        <w:spacing w:lineRule="auto" w:line="345" w:before="160" w:after="283"/>
        <w:jc w:val="both"/>
        <w:rPr/>
      </w:pPr>
      <w:r>
        <w:rPr>
          <w:rFonts w:ascii="Times New Roman;sans-serif" w:hAnsi="Times New Roman;sans-serif"/>
          <w:b/>
          <w:color w:val="000000"/>
          <w:sz w:val="20"/>
          <w:highlight w:val="white"/>
        </w:rPr>
        <w:t>Use of estimates</w:t>
      </w:r>
      <w:r>
        <w:rPr>
          <w:rFonts w:ascii="Times New Roman;sans-serif" w:hAnsi="Times New Roman;sans-serif"/>
          <w:b w:val="false"/>
          <w:color w:val="000000"/>
          <w:sz w:val="20"/>
          <w:highlight w:val="white"/>
        </w:rPr>
        <w:t xml:space="preserve">: The preparation of condensed consolidated financial statements requires management to make estimates and assumptions that affect (i) the reported amounts of assets and liabilities, (ii) disclosure of contingent assets and liabilities at the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jc w:val="both"/>
        <w:rPr/>
      </w:pPr>
      <w:hyperlink w:anchor="i2e65ffc0a01a49368550f687b81d7587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spacing w:before="240" w:after="283"/>
        <w:rPr/>
      </w:pPr>
      <w:r>
        <w:rPr/>
      </w:r>
    </w:p>
    <w:p>
      <w:pPr>
        <w:pStyle w:val="TextBody"/>
        <w:spacing w:lineRule="auto" w:line="345" w:before="16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date of the condensed consolidated financial statements and (iii) the reported amounts of revenues and expenses during the reporting period. Actual results could differ from those estimates. Estimates used by the Company include, among other things, the useful lives for depreciable and amortizable assets, income tax provisions, the evaluation of the future realization of deferred tax assets, projected cash flows in assessing the initial valuation of intangible assets in conjunction with business acquisitions, the selection of useful lives for depreciable and amortizable assets in conjunction with business acquisitions, the valuation of level 3 investments, the valuation of contingent earnout shares and interest rate caplets, contingencies, and the expected term of share-based compensation awards and stock price volatility when computing share-based compensation expense. Actual results may differ from those estimates.</w:t>
      </w:r>
    </w:p>
    <w:p>
      <w:pPr>
        <w:pStyle w:val="TextBody"/>
        <w:spacing w:lineRule="auto" w:line="345" w:before="180" w:after="283"/>
        <w:jc w:val="both"/>
        <w:rPr/>
      </w:pPr>
      <w:r>
        <w:rPr>
          <w:rFonts w:ascii="Times New Roman;sans-serif" w:hAnsi="Times New Roman;sans-serif"/>
          <w:b/>
          <w:color w:val="000000"/>
          <w:sz w:val="20"/>
          <w:highlight w:val="white"/>
        </w:rPr>
        <w:t>Segment information</w:t>
      </w:r>
      <w:r>
        <w:rPr>
          <w:rFonts w:ascii="Times New Roman;sans-serif" w:hAnsi="Times New Roman;sans-serif"/>
          <w:b w:val="false"/>
          <w:color w:val="000000"/>
          <w:sz w:val="20"/>
          <w:highlight w:val="white"/>
        </w:rPr>
        <w:t>: The Company operates as a single reportable operating segment. The Company’s chief operating decision maker (“CODM”) is the chief executive officer, who has ultimate responsibility for the operating performance of the Company and the allocation of resources. The CODM assesses the Company’s performance and allocates resources based on consolidated results, and this is the only discrete financial information that is regularly reviewed by the CODM.</w:t>
      </w:r>
    </w:p>
    <w:p>
      <w:pPr>
        <w:pStyle w:val="TextBody"/>
        <w:spacing w:lineRule="auto" w:line="345" w:before="160" w:after="283"/>
        <w:jc w:val="both"/>
        <w:rPr/>
      </w:pPr>
      <w:r>
        <w:rPr>
          <w:rFonts w:ascii="Times New Roman;sans-serif" w:hAnsi="Times New Roman;sans-serif"/>
          <w:b/>
          <w:color w:val="000000"/>
          <w:sz w:val="20"/>
          <w:highlight w:val="white"/>
        </w:rPr>
        <w:t>Revenue recognition</w:t>
      </w:r>
      <w:r>
        <w:rPr>
          <w:rFonts w:ascii="Times New Roman;sans-serif" w:hAnsi="Times New Roman;sans-serif"/>
          <w:b w:val="false"/>
          <w:color w:val="000000"/>
          <w:sz w:val="20"/>
          <w:highlight w:val="white"/>
        </w:rPr>
        <w:t xml:space="preserve">: </w:t>
      </w:r>
      <w:r>
        <w:rPr>
          <w:rFonts w:ascii="Times New Roman;sans-serif" w:hAnsi="Times New Roman;sans-serif"/>
          <w:b w:val="false"/>
          <w:color w:val="000000"/>
          <w:sz w:val="20"/>
        </w:rPr>
        <w:t xml:space="preserve">The Company generates revenues from the following types of services: gaming terminals, amusements, </w:t>
      </w:r>
      <w:r>
        <w:rPr>
          <w:rFonts w:ascii="Times New Roman;sans-serif" w:hAnsi="Times New Roman;sans-serif"/>
          <w:b w:val="false"/>
          <w:color w:val="000000"/>
          <w:sz w:val="20"/>
          <w:highlight w:val="white"/>
        </w:rPr>
        <w:t>manufacturing</w:t>
      </w:r>
      <w:r>
        <w:rPr>
          <w:color w:val="000000"/>
        </w:rPr>
        <w:t xml:space="preserve"> </w:t>
      </w:r>
      <w:r>
        <w:rPr>
          <w:rFonts w:ascii="Times New Roman;sans-serif" w:hAnsi="Times New Roman;sans-serif"/>
          <w:b w:val="false"/>
          <w:color w:val="000000"/>
          <w:sz w:val="20"/>
        </w:rPr>
        <w:t xml:space="preserve">and ATMs. Revenue is disaggregated by type of revenue and is presented on the face of the consolidated statements of operations and comprehensive income. </w:t>
      </w:r>
    </w:p>
    <w:p>
      <w:pPr>
        <w:pStyle w:val="TextBody"/>
        <w:spacing w:lineRule="auto" w:line="345" w:before="180" w:after="283"/>
        <w:jc w:val="both"/>
        <w:rPr/>
      </w:pPr>
      <w:r>
        <w:rPr>
          <w:rFonts w:ascii="Times New Roman;sans-serif" w:hAnsi="Times New Roman;sans-serif"/>
          <w:b w:val="false"/>
          <w:color w:val="000000"/>
          <w:sz w:val="20"/>
          <w:highlight w:val="white"/>
        </w:rPr>
        <w:t xml:space="preserve">Total net revenues for the three months ended </w:t>
      </w:r>
      <w:r>
        <w:rPr>
          <w:rFonts w:ascii="Times New Roman;sans-serif" w:hAnsi="Times New Roman;sans-serif"/>
          <w:b w:val="false"/>
          <w:color w:val="000000"/>
          <w:sz w:val="20"/>
        </w:rPr>
        <w:t>March 31,</w:t>
      </w:r>
      <w:r>
        <w:rPr>
          <w:color w:val="000000"/>
          <w:highlight w:val="white"/>
        </w:rPr>
        <w:t xml:space="preserve"> </w:t>
      </w:r>
      <w:r>
        <w:rPr>
          <w:rFonts w:ascii="Times New Roman;sans-serif" w:hAnsi="Times New Roman;sans-serif"/>
          <w:b w:val="false"/>
          <w:color w:val="000000"/>
          <w:sz w:val="20"/>
          <w:highlight w:val="white"/>
        </w:rPr>
        <w:t>is disaggregated in the following table by the primary states in which the Company operates given the geographic economic factors that affect the revenues in the states.</w:t>
      </w:r>
    </w:p>
    <w:tbl>
      <w:tblPr>
        <w:tblW w:w="5050" w:type="dxa"/>
        <w:jc w:val="center"/>
        <w:tblInd w:w="0" w:type="dxa"/>
        <w:tblCellMar>
          <w:top w:w="28" w:type="dxa"/>
          <w:left w:w="28" w:type="dxa"/>
          <w:bottom w:w="28" w:type="dxa"/>
          <w:right w:w="28" w:type="dxa"/>
        </w:tblCellMar>
      </w:tblPr>
      <w:tblGrid>
        <w:gridCol w:w="707"/>
        <w:gridCol w:w="621"/>
        <w:gridCol w:w="622"/>
        <w:gridCol w:w="211"/>
        <w:gridCol w:w="826"/>
        <w:gridCol w:w="109"/>
        <w:gridCol w:w="109"/>
        <w:gridCol w:w="109"/>
        <w:gridCol w:w="109"/>
        <w:gridCol w:w="211"/>
        <w:gridCol w:w="826"/>
        <w:gridCol w:w="109"/>
        <w:gridCol w:w="109"/>
        <w:gridCol w:w="109"/>
        <w:gridCol w:w="109"/>
        <w:gridCol w:w="154"/>
      </w:tblGrid>
      <w:tr>
        <w:trPr/>
        <w:tc>
          <w:tcPr>
            <w:tcW w:w="707"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619"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revenues by state: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345" w:before="160" w:after="283"/>
        <w:jc w:val="both"/>
        <w:rPr/>
      </w:pPr>
      <w:r>
        <w:rPr>
          <w:rFonts w:ascii="Times New Roman;sans-serif" w:hAnsi="Times New Roman;sans-serif"/>
          <w:b/>
          <w:color w:val="000000"/>
          <w:sz w:val="20"/>
          <w:highlight w:val="white"/>
        </w:rPr>
        <w:t>Recent accounting pronouncements</w:t>
      </w:r>
      <w:r>
        <w:rPr>
          <w:rFonts w:ascii="Times New Roman;sans-serif" w:hAnsi="Times New Roman;sans-serif"/>
          <w:b w:val="false"/>
          <w:i/>
          <w:color w:val="000000"/>
          <w:sz w:val="20"/>
          <w:highlight w:val="white"/>
        </w:rPr>
        <w:t>: </w:t>
      </w:r>
      <w:r>
        <w:rPr>
          <w:rFonts w:ascii="Times New Roman;sans-serif" w:hAnsi="Times New Roman;sans-serif"/>
          <w:b w:val="false"/>
          <w:color w:val="000000"/>
          <w:sz w:val="20"/>
          <w:highlight w:val="white"/>
        </w:rPr>
        <w:t xml:space="preserve">In October 2021, the FASB issued Accounting Standards Update (“ASU”) No. 2021-08, </w:t>
      </w:r>
      <w:r>
        <w:rPr>
          <w:rFonts w:ascii="Times New Roman;sans-serif" w:hAnsi="Times New Roman;sans-serif"/>
          <w:b w:val="false"/>
          <w:i/>
          <w:color w:val="000000"/>
          <w:sz w:val="20"/>
          <w:highlight w:val="white"/>
        </w:rPr>
        <w:t>Business Combinations (Topic 805).</w:t>
      </w:r>
      <w:r>
        <w:rPr>
          <w:color w:val="000000"/>
          <w:highlight w:val="white"/>
        </w:rPr>
        <w:t xml:space="preserve"> </w:t>
      </w:r>
      <w:r>
        <w:rPr>
          <w:rFonts w:ascii="Times New Roman;sans-serif" w:hAnsi="Times New Roman;sans-serif"/>
          <w:b w:val="false"/>
          <w:color w:val="000000"/>
          <w:sz w:val="20"/>
          <w:highlight w:val="white"/>
        </w:rPr>
        <w:t>The guidance in this ASU improves the accounting for revenue contracts with customers acquired in a business combination by addressing diversity in practice and inconsistency related to recognition of contract assets and liabilities acquired in a business combination. The provisions of this ASU require that an acquiring entity accounts for the related revenue contracts in accordance with Accounting Standards Codification (“</w:t>
      </w:r>
      <w:r>
        <w:rPr>
          <w:rFonts w:ascii="Times New Roman;sans-serif" w:hAnsi="Times New Roman;sans-serif"/>
          <w:b w:val="false"/>
          <w:color w:val="000000"/>
          <w:sz w:val="20"/>
        </w:rPr>
        <w:t>ASC”)</w:t>
      </w:r>
      <w:r>
        <w:rPr>
          <w:color w:val="000000"/>
          <w:highlight w:val="white"/>
        </w:rPr>
        <w:t xml:space="preserve"> </w:t>
      </w:r>
      <w:r>
        <w:rPr>
          <w:rFonts w:ascii="Times New Roman;sans-serif" w:hAnsi="Times New Roman;sans-serif"/>
          <w:b w:val="false"/>
          <w:color w:val="000000"/>
          <w:sz w:val="20"/>
          <w:highlight w:val="white"/>
        </w:rPr>
        <w:t>606 as if it had originated the contracts. The standard is effective for fiscal years beginning after December 15, 2022, and interim periods within those fiscal years with early adoption permitted. The Company does not expect the impact of the adoption of this ASU to be material to its financial statements or disclosures.</w:t>
      </w:r>
    </w:p>
    <w:p>
      <w:pPr>
        <w:pStyle w:val="TextBody"/>
        <w:spacing w:lineRule="auto" w:line="345" w:before="160" w:after="283"/>
        <w:jc w:val="both"/>
        <w:rPr/>
      </w:pPr>
      <w:r>
        <w:rPr>
          <w:rFonts w:ascii="Times New Roman;sans-serif" w:hAnsi="Times New Roman;sans-serif"/>
          <w:b w:val="false"/>
          <w:color w:val="000000"/>
          <w:sz w:val="20"/>
          <w:highlight w:val="white"/>
        </w:rPr>
        <w:t xml:space="preserve">In March 2020, the FASB issued ASU 2020-04, </w:t>
      </w:r>
      <w:r>
        <w:rPr>
          <w:rFonts w:ascii="Times New Roman;sans-serif" w:hAnsi="Times New Roman;sans-serif"/>
          <w:b w:val="false"/>
          <w:i/>
          <w:color w:val="000000"/>
          <w:sz w:val="20"/>
          <w:highlight w:val="white"/>
        </w:rPr>
        <w:t xml:space="preserve">Reference Rate Reform (Topic 848). </w:t>
      </w:r>
      <w:r>
        <w:rPr>
          <w:rFonts w:ascii="Times New Roman;sans-serif" w:hAnsi="Times New Roman;sans-serif"/>
          <w:b w:val="false"/>
          <w:color w:val="000000"/>
          <w:sz w:val="20"/>
          <w:highlight w:val="white"/>
        </w:rPr>
        <w:t xml:space="preserve">This ASU provides temporary guidance to ease the potential burden in accounting for reference rate reform primarily resulting from the discontinuation of the London Inter-Bank Offered Rate (“LIBOR”), which began phasing out on December 31, 2021. The amendments in ASU 2020-04 are elective and apply to all entities that have contracts, hedging relationships, and other transactions that reference LIBOR or another reference rate expected to be discontinued. The new guidance (i) simplifies accounting analyses under current GAAP for contract modifications; (ii) simplifies the assessment of hedge effectiveness and allows hedging relationships affected by reference rate reform to continue; and (iii) allows a one-time election to sell or transfer debt securities classified as held to maturity that reference a rate affected by reference rate reform. An entity may elect to apply the amendments prospectively from March 12,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jc w:val="both"/>
        <w:rPr/>
      </w:pPr>
      <w:hyperlink w:anchor="i2e65ffc0a01a49368550f687b81d7587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spacing w:before="240" w:after="283"/>
        <w:rPr/>
      </w:pPr>
      <w:r>
        <w:rPr/>
      </w:r>
    </w:p>
    <w:p>
      <w:pPr>
        <w:pStyle w:val="TextBody"/>
        <w:spacing w:lineRule="auto" w:line="345" w:before="16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2020, through December 31, 2022 by accounting topic. The Company currently references LIBOR for certain debt and hedging arrangements. While no material impacts are expected from the transition from LIBOR to the Secured Overnight Financing Rate (“SOFR”), the Company will continue to evaluate the provisions of this ASU and the impacts of transitioning to the SOFR rate in the second quarter of 2023.</w:t>
      </w:r>
    </w:p>
    <w:p>
      <w:pPr>
        <w:pStyle w:val="TextBody"/>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recently issued accounting standards or pronouncements have been excluded because they are either not relevant to the Company, or are not expected to have, or did not have, a material effect on its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3. Inventories</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Inventories were as follows (in thousands):</w:t>
      </w:r>
    </w:p>
    <w:tbl>
      <w:tblPr>
        <w:tblW w:w="6625" w:type="dxa"/>
        <w:jc w:val="center"/>
        <w:tblInd w:w="0" w:type="dxa"/>
        <w:tblCellMar>
          <w:top w:w="28" w:type="dxa"/>
          <w:left w:w="28" w:type="dxa"/>
          <w:bottom w:w="28" w:type="dxa"/>
          <w:right w:w="28" w:type="dxa"/>
        </w:tblCellMar>
      </w:tblPr>
      <w:tblGrid>
        <w:gridCol w:w="1287"/>
        <w:gridCol w:w="1132"/>
        <w:gridCol w:w="1135"/>
        <w:gridCol w:w="220"/>
        <w:gridCol w:w="642"/>
        <w:gridCol w:w="113"/>
        <w:gridCol w:w="109"/>
        <w:gridCol w:w="109"/>
        <w:gridCol w:w="109"/>
        <w:gridCol w:w="380"/>
        <w:gridCol w:w="1110"/>
        <w:gridCol w:w="279"/>
      </w:tblGrid>
      <w:tr>
        <w:trPr/>
        <w:tc>
          <w:tcPr>
            <w:tcW w:w="1287"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manufacturing supplies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products</w:t>
            </w:r>
          </w:p>
        </w:tc>
        <w:tc>
          <w:tcPr>
            <w:tcW w:w="86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1,473 </w:t>
            </w:r>
          </w:p>
        </w:tc>
        <w:tc>
          <w:tcPr>
            <w:tcW w:w="1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1,964 </w:t>
            </w:r>
          </w:p>
        </w:tc>
        <w:tc>
          <w:tcPr>
            <w:tcW w:w="2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r>
              <w:rPr>
                <w:rFonts w:ascii="Times New Roman;sans-serif" w:hAnsi="Times New Roman;sans-serif"/>
                <w:b w:val="false"/>
                <w:color w:val="000000"/>
                <w:sz w:val="20"/>
              </w:rPr>
              <w:t>Total inventories</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6,941 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and December 31, 2022, no inventory valuation allowance was determined to be necessary.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4. Investment in Convertible Notes</w:t>
      </w:r>
    </w:p>
    <w:p>
      <w:pPr>
        <w:pStyle w:val="TextBody"/>
        <w:spacing w:lineRule="auto" w:line="345" w:before="180" w:after="283"/>
        <w:ind w:left="0" w:right="0" w:firstLine="360"/>
        <w:jc w:val="both"/>
        <w:rPr/>
      </w:pPr>
      <w:r>
        <w:rPr>
          <w:rFonts w:ascii="Times New Roman;sans-serif" w:hAnsi="Times New Roman;sans-serif"/>
          <w:b w:val="false"/>
          <w:color w:val="000000"/>
          <w:sz w:val="20"/>
          <w:highlight w:val="white"/>
        </w:rPr>
        <w:t>On July 19, 2019, the Company entered into an agreement to purchase up to $30.0 million in convertible notes from Gold Rush Amusements, Inc. (“Gold Rush”), another terminal operator in Illinois, that bore interest at 3% per annum through December 31, 2021</w:t>
      </w:r>
      <w:r>
        <w:rPr>
          <w:rFonts w:ascii="Times New Roman;sans-serif" w:hAnsi="Times New Roman;sans-serif"/>
          <w:b w:val="false"/>
          <w:color w:val="000000"/>
          <w:sz w:val="20"/>
        </w:rPr>
        <w:t xml:space="preserve">. </w:t>
      </w:r>
      <w:r>
        <w:rPr>
          <w:rFonts w:ascii="Times New Roman;sans-serif" w:hAnsi="Times New Roman;sans-serif"/>
          <w:b w:val="false"/>
          <w:color w:val="000000"/>
          <w:sz w:val="20"/>
          <w:highlight w:val="white"/>
        </w:rPr>
        <w:t xml:space="preserve">The convertible notes each included an option to convert the notes to common stock of Gold Rush prior to the maturity date upon written notice from the Company. At closing, the Company purchased a $5.0 million convertible promissory note which was subordinated to Gold Rush’s credit facility and matured six months following the satisfaction of administrative conditions. </w:t>
      </w:r>
    </w:p>
    <w:p>
      <w:pPr>
        <w:pStyle w:val="TextBody"/>
        <w:spacing w:lineRule="auto" w:line="345" w:before="180" w:after="283"/>
        <w:ind w:left="0" w:right="0" w:firstLine="360"/>
        <w:jc w:val="both"/>
        <w:rPr/>
      </w:pPr>
      <w:r>
        <w:rPr>
          <w:rFonts w:ascii="Times New Roman;sans-serif" w:hAnsi="Times New Roman;sans-serif"/>
          <w:b w:val="false"/>
          <w:color w:val="000000"/>
          <w:sz w:val="20"/>
          <w:highlight w:val="white"/>
        </w:rPr>
        <w:t xml:space="preserve">On October 11, 2019, the Company purchased an additional $25.0 million convertible note which was also subordinated to Gold Rush’s credit facility and, beginning </w:t>
      </w:r>
      <w:r>
        <w:rPr>
          <w:rFonts w:ascii="Times New Roman;sans-serif" w:hAnsi="Times New Roman;sans-serif"/>
          <w:b w:val="false"/>
          <w:color w:val="000000"/>
          <w:sz w:val="20"/>
        </w:rPr>
        <w:t>on July 1, 2020, the balance of this note, if not previously converted, was payable in equal $1,000,000 monthly installments until all principal has been repaid in full.</w:t>
      </w:r>
      <w:r>
        <w:rPr>
          <w:color w:val="000000"/>
          <w:highlight w:val="white"/>
        </w:rPr>
        <w:t xml:space="preserve"> </w:t>
      </w:r>
    </w:p>
    <w:p>
      <w:pPr>
        <w:pStyle w:val="TextBody"/>
        <w:spacing w:lineRule="auto" w:line="345" w:before="180" w:after="283"/>
        <w:ind w:left="0" w:right="0" w:firstLine="360"/>
        <w:jc w:val="both"/>
        <w:rPr/>
      </w:pPr>
      <w:r>
        <w:rPr>
          <w:rFonts w:ascii="Times New Roman;sans-serif" w:hAnsi="Times New Roman;sans-serif"/>
          <w:b w:val="false"/>
          <w:color w:val="000000"/>
          <w:sz w:val="20"/>
        </w:rPr>
        <w:t xml:space="preserve">On July 30, 2020, the Company and Gold Rush entered into the Omnibus Amendment (the “Amendment”) to the </w:t>
      </w:r>
      <w:r>
        <w:rPr>
          <w:rFonts w:ascii="Times New Roman;sans-serif" w:hAnsi="Times New Roman;sans-serif"/>
          <w:b w:val="false"/>
          <w:color w:val="000000"/>
          <w:sz w:val="20"/>
          <w:highlight w:val="white"/>
        </w:rPr>
        <w:t xml:space="preserve">original agreement to purchase convertible notes from </w:t>
      </w:r>
      <w:r>
        <w:rPr>
          <w:rFonts w:ascii="Times New Roman;sans-serif" w:hAnsi="Times New Roman;sans-serif"/>
          <w:b w:val="false"/>
          <w:color w:val="000000"/>
          <w:sz w:val="20"/>
        </w:rPr>
        <w:t>Gold Rush</w:t>
      </w:r>
      <w:r>
        <w:rPr>
          <w:rFonts w:ascii="Times New Roman;sans-serif" w:hAnsi="Times New Roman;sans-serif"/>
          <w:b w:val="false"/>
          <w:color w:val="000000"/>
          <w:sz w:val="20"/>
          <w:highlight w:val="white"/>
        </w:rPr>
        <w:t xml:space="preserve">. The Amendment, among other things, extended the maturity date of the $5.0 million convertible note and the beginning of the payback period for the $25.0 million convertible note until December 31, 2020. </w:t>
      </w:r>
    </w:p>
    <w:p>
      <w:pPr>
        <w:pStyle w:val="TextBody"/>
        <w:spacing w:lineRule="auto" w:line="345" w:before="180" w:after="283"/>
        <w:ind w:left="0" w:right="0" w:firstLine="360"/>
        <w:jc w:val="both"/>
        <w:rPr/>
      </w:pPr>
      <w:r>
        <w:rPr>
          <w:rFonts w:ascii="Times New Roman;sans-serif" w:hAnsi="Times New Roman;sans-serif"/>
          <w:b w:val="false"/>
          <w:color w:val="000000"/>
          <w:sz w:val="20"/>
          <w:highlight w:val="white"/>
        </w:rPr>
        <w:t xml:space="preserve">On March 9, 2021, the Company and </w:t>
      </w:r>
      <w:r>
        <w:rPr>
          <w:rFonts w:ascii="Times New Roman;sans-serif" w:hAnsi="Times New Roman;sans-serif"/>
          <w:b w:val="false"/>
          <w:color w:val="000000"/>
          <w:sz w:val="20"/>
        </w:rPr>
        <w:t xml:space="preserve">Gold Rush </w:t>
      </w:r>
      <w:r>
        <w:rPr>
          <w:rFonts w:ascii="Times New Roman;sans-serif" w:hAnsi="Times New Roman;sans-serif"/>
          <w:b w:val="false"/>
          <w:color w:val="000000"/>
          <w:sz w:val="20"/>
          <w:highlight w:val="white"/>
        </w:rPr>
        <w:t xml:space="preserve">entered into the Second Omnibus Amendment (the “Second Amendment”) to both of the convertible notes and the agreement to purchase the convertible notes. The Second Amendment, among other things, extended the December 31, 2020, maturity and conversion feature of the $5.0 million convertible note to December 31, 2021, the maturity and conversion feature of the $25.0 million convertible note to June 1, 2024 and the beginning of the payback period for the $25.0 million convertible note from December 31, 2020 to January 1, 2022. </w:t>
      </w:r>
    </w:p>
    <w:p>
      <w:pPr>
        <w:pStyle w:val="TextBody"/>
        <w:spacing w:lineRule="auto" w:line="345" w:before="180" w:after="283"/>
        <w:ind w:left="0" w:right="0" w:firstLine="360"/>
        <w:jc w:val="both"/>
        <w:rPr/>
      </w:pPr>
      <w:r>
        <w:rPr>
          <w:rFonts w:ascii="Times New Roman;sans-serif" w:hAnsi="Times New Roman;sans-serif"/>
          <w:b w:val="false"/>
          <w:color w:val="000000"/>
          <w:sz w:val="20"/>
          <w:highlight w:val="white"/>
        </w:rPr>
        <w:t xml:space="preserve">On July 30, 2021, the Company provided notice to </w:t>
      </w:r>
      <w:r>
        <w:rPr>
          <w:rFonts w:ascii="Times New Roman;sans-serif" w:hAnsi="Times New Roman;sans-serif"/>
          <w:b w:val="false"/>
          <w:color w:val="000000"/>
          <w:sz w:val="20"/>
        </w:rPr>
        <w:t xml:space="preserve">Gold Rush </w:t>
      </w:r>
      <w:r>
        <w:rPr>
          <w:rFonts w:ascii="Times New Roman;sans-serif" w:hAnsi="Times New Roman;sans-serif"/>
          <w:b w:val="false"/>
          <w:color w:val="000000"/>
          <w:sz w:val="20"/>
          <w:highlight w:val="white"/>
        </w:rPr>
        <w:t xml:space="preserve">that it was exercising its rights under each of the convertible notes to convert the entire aggregate principal amount and accrued interest into common stock of </w:t>
      </w:r>
      <w:r>
        <w:rPr>
          <w:rFonts w:ascii="Times New Roman;sans-serif" w:hAnsi="Times New Roman;sans-serif"/>
          <w:b w:val="false"/>
          <w:color w:val="000000"/>
          <w:sz w:val="20"/>
        </w:rPr>
        <w:t>Gold Rush</w:t>
      </w:r>
      <w:r>
        <w:rPr>
          <w:rFonts w:ascii="Times New Roman;sans-serif" w:hAnsi="Times New Roman;sans-serif"/>
          <w:b w:val="false"/>
          <w:color w:val="000000"/>
          <w:sz w:val="20"/>
          <w:highlight w:val="white"/>
        </w:rPr>
        <w:t xml:space="preserve">, subject to approval from the IGB to transfer the common stock to the Company and receipt of other customary closing deliverables. </w:t>
      </w:r>
    </w:p>
    <w:p>
      <w:pPr>
        <w:pStyle w:val="TextBody"/>
        <w:spacing w:lineRule="auto" w:line="345" w:before="180" w:after="283"/>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On December 2, 2021, the Company received notice from the administrator of the IGB that he was denying the requested transfer of Gold Rush common stock to the Company. The Company disagreed with the administrator’s ruling and requested that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jc w:val="both"/>
        <w:rPr/>
      </w:pPr>
      <w:hyperlink w:anchor="i2e65ffc0a01a49368550f687b81d7587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spacing w:before="240" w:after="283"/>
        <w:rPr/>
      </w:pPr>
      <w:r>
        <w:rPr/>
      </w:r>
    </w:p>
    <w:p>
      <w:pPr>
        <w:pStyle w:val="TextBody"/>
        <w:spacing w:lineRule="auto" w:line="345" w:before="18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matter be put before the IGB for a public vote. On January 27, 2022, the IGB affirmed the administrator’s denial. Although the Company is pursuing all administrative remedies available to contest the IGB’s ruling, this denial has impacted the conversion assumptions previously used in the accounting valuation of the convertible notes. </w:t>
      </w:r>
    </w:p>
    <w:p>
      <w:pPr>
        <w:pStyle w:val="TextBody"/>
        <w:spacing w:lineRule="auto" w:line="345" w:before="180" w:after="283"/>
        <w:ind w:left="0" w:right="0" w:firstLine="360"/>
        <w:jc w:val="both"/>
        <w:rPr/>
      </w:pPr>
      <w:r>
        <w:rPr>
          <w:rFonts w:ascii="Times New Roman;sans-serif" w:hAnsi="Times New Roman;sans-serif"/>
          <w:b w:val="false"/>
          <w:color w:val="000000"/>
          <w:sz w:val="20"/>
          <w:highlight w:val="white"/>
        </w:rPr>
        <w:t>On March 9, 2022, the Company filed a lawsuit in the Circuit Court of Cook County</w:t>
      </w:r>
      <w:r>
        <w:rPr>
          <w:rFonts w:ascii="Times New Roman;sans-serif" w:hAnsi="Times New Roman;sans-serif"/>
          <w:b w:val="false"/>
          <w:color w:val="000000"/>
          <w:sz w:val="20"/>
        </w:rPr>
        <w:t>, Illinois</w:t>
      </w:r>
      <w:r>
        <w:rPr>
          <w:color w:val="000000"/>
          <w:highlight w:val="white"/>
        </w:rPr>
        <w:t xml:space="preserve"> </w:t>
      </w:r>
      <w:r>
        <w:rPr>
          <w:rFonts w:ascii="Times New Roman;sans-serif" w:hAnsi="Times New Roman;sans-serif"/>
          <w:b w:val="false"/>
          <w:color w:val="000000"/>
          <w:sz w:val="20"/>
          <w:highlight w:val="white"/>
        </w:rPr>
        <w:t xml:space="preserve">against Gold Rush relating to the Gold Rush convertible notes. The complaint seeks damages for breach of contract and the implied covenant of good faith and fair dealing as well as unjust enrichment. The lawsuit is publicly available. </w:t>
      </w:r>
    </w:p>
    <w:p>
      <w:pPr>
        <w:pStyle w:val="TextBody"/>
        <w:spacing w:lineRule="auto" w:line="345" w:before="180" w:after="283"/>
        <w:ind w:left="0" w:right="0" w:firstLine="360"/>
        <w:jc w:val="both"/>
        <w:rPr/>
      </w:pPr>
      <w:r>
        <w:rPr>
          <w:rFonts w:ascii="Times New Roman;sans-serif" w:hAnsi="Times New Roman;sans-serif"/>
          <w:b w:val="false"/>
          <w:color w:val="000000"/>
          <w:sz w:val="20"/>
          <w:highlight w:val="white"/>
        </w:rPr>
        <w:t xml:space="preserve">Based on the IGB denying the Company’s request to transfer Gold Rush common stock despite the Company’s unilateral conversion rights, the convertible notes continue to be accounted for as available for sale debt securities, at fair value, with gains and losses recorded in other comprehensive income (loss). As of the filing of the financial statements, the Gold Rush convertible notes (which the Company converted under the terms of the convertible notes to shares of common stock of Gold Rush, but the IGB has currently denied the distribution of shares to the Company) are deemed in default for disclosure and presentation purposes, assuming non-conversion of the convertible notes, as no repayment or installment payments have been received. The Company has classified the entire $32.1 million accounting fair value of the convertible notes as current on the condensed consolidated balance sheets as the Company hopes to resolve this matter within the next year. The Company did not further adjust the valuation of the convertible notes downward as the Company believes, assuming for accounting purposes that the notes have not been converted, the recorded amounts approximate the accounting fair value. If successful, the Company's legal remedies with respect to its rights to receive the Gold Rush common stock or equivalent amounts it is entitled to receive with respect to the convertible notes could be materially in excess of the current accounting fair value. Changes in the fair value of the convertible notes are included within comprehensive income on the accompanying condensed consolidated </w:t>
      </w:r>
      <w:r>
        <w:rPr>
          <w:rFonts w:ascii="Times New Roman;sans-serif" w:hAnsi="Times New Roman;sans-serif"/>
          <w:b w:val="false"/>
          <w:color w:val="000000"/>
          <w:sz w:val="20"/>
        </w:rPr>
        <w:t>statements of operations and comprehensive income, if applicable. For more information on how the Company determined the fair value of the convertible notes, see Note 12.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5. Property and Equipment</w:t>
      </w:r>
    </w:p>
    <w:p>
      <w:pPr>
        <w:pStyle w:val="TextBody"/>
        <w:spacing w:lineRule="auto" w:line="288" w:before="240" w:after="283"/>
        <w:ind w:left="0" w:right="0" w:firstLine="360"/>
        <w:rPr/>
      </w:pPr>
      <w:r>
        <w:rPr>
          <w:rFonts w:ascii="Times New Roman;sans-serif" w:hAnsi="Times New Roman;sans-serif"/>
          <w:b w:val="false"/>
          <w:color w:val="000000"/>
          <w:sz w:val="20"/>
          <w:highlight w:val="white"/>
        </w:rPr>
        <w:t xml:space="preserve">Property and equipment consist of the following </w:t>
      </w:r>
      <w:r>
        <w:rPr>
          <w:rFonts w:ascii="Times New Roman;sans-serif" w:hAnsi="Times New Roman;sans-serif"/>
          <w:b w:val="false"/>
          <w:color w:val="000000"/>
          <w:sz w:val="20"/>
        </w:rPr>
        <w:t xml:space="preserve">at </w:t>
      </w:r>
      <w:r>
        <w:rPr>
          <w:rFonts w:ascii="Times New Roman;sans-serif" w:hAnsi="Times New Roman;sans-serif"/>
          <w:b w:val="false"/>
          <w:color w:val="000000"/>
          <w:sz w:val="20"/>
          <w:highlight w:val="white"/>
        </w:rPr>
        <w:t>March 31, 2023</w:t>
      </w:r>
      <w:r>
        <w:rPr>
          <w:color w:val="000000"/>
        </w:rPr>
        <w:t xml:space="preserve"> </w:t>
      </w:r>
      <w:r>
        <w:rPr>
          <w:rFonts w:ascii="Times New Roman;sans-serif" w:hAnsi="Times New Roman;sans-serif"/>
          <w:b w:val="false"/>
          <w:color w:val="000000"/>
          <w:sz w:val="20"/>
        </w:rPr>
        <w:t>and December 31, 2022</w:t>
      </w:r>
      <w:r>
        <w:rPr>
          <w:color w:val="000000"/>
          <w:highlight w:val="white"/>
        </w:rPr>
        <w:t xml:space="preserve"> </w:t>
      </w:r>
      <w:r>
        <w:rPr>
          <w:rFonts w:ascii="Times New Roman;sans-serif" w:hAnsi="Times New Roman;sans-serif"/>
          <w:b w:val="false"/>
          <w:color w:val="000000"/>
          <w:sz w:val="20"/>
          <w:highlight w:val="white"/>
        </w:rPr>
        <w:t>(in thousands):</w:t>
      </w:r>
    </w:p>
    <w:tbl>
      <w:tblPr>
        <w:tblW w:w="6714" w:type="dxa"/>
        <w:jc w:val="center"/>
        <w:tblInd w:w="0" w:type="dxa"/>
        <w:tblCellMar>
          <w:top w:w="28" w:type="dxa"/>
          <w:left w:w="28" w:type="dxa"/>
          <w:bottom w:w="28" w:type="dxa"/>
          <w:right w:w="28" w:type="dxa"/>
        </w:tblCellMar>
      </w:tblPr>
      <w:tblGrid>
        <w:gridCol w:w="1467"/>
        <w:gridCol w:w="1287"/>
        <w:gridCol w:w="1296"/>
        <w:gridCol w:w="211"/>
        <w:gridCol w:w="826"/>
        <w:gridCol w:w="109"/>
        <w:gridCol w:w="109"/>
        <w:gridCol w:w="109"/>
        <w:gridCol w:w="109"/>
        <w:gridCol w:w="211"/>
        <w:gridCol w:w="826"/>
        <w:gridCol w:w="154"/>
      </w:tblGrid>
      <w:tr>
        <w:trPr/>
        <w:tc>
          <w:tcPr>
            <w:tcW w:w="1467"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12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terminals and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Amusement and other equipment</w:t>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 and furniture</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400,972 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378,835 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(166,991)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225,758 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211,844 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45" w:before="80" w:after="283"/>
        <w:ind w:left="0" w:right="0" w:firstLine="360"/>
        <w:jc w:val="both"/>
        <w:rPr/>
      </w:pPr>
      <w:r>
        <w:rPr>
          <w:rFonts w:ascii="Times New Roman;sans-serif" w:hAnsi="Times New Roman;sans-serif"/>
          <w:b w:val="false"/>
          <w:color w:val="000000"/>
          <w:sz w:val="20"/>
          <w:highlight w:val="white"/>
        </w:rPr>
        <w:t xml:space="preserve">Depreciation and amortization of property and equipment was $9.1 million and $5.8 million </w:t>
      </w:r>
      <w:r>
        <w:rPr>
          <w:rFonts w:ascii="Times New Roman;sans-serif" w:hAnsi="Times New Roman;sans-serif"/>
          <w:b w:val="false"/>
          <w:color w:val="000000"/>
          <w:sz w:val="20"/>
        </w:rPr>
        <w:t xml:space="preserve">for the three months ended </w:t>
      </w:r>
      <w:r>
        <w:rPr>
          <w:rFonts w:ascii="Times New Roman;sans-serif" w:hAnsi="Times New Roman;sans-serif"/>
          <w:b w:val="false"/>
          <w:color w:val="000000"/>
          <w:sz w:val="20"/>
          <w:highlight w:val="white"/>
        </w:rPr>
        <w:t xml:space="preserve">March 31, 2023, and </w:t>
      </w:r>
      <w:r>
        <w:rPr>
          <w:rFonts w:ascii="Times New Roman;sans-serif" w:hAnsi="Times New Roman;sans-serif"/>
          <w:b w:val="false"/>
          <w:color w:val="000000"/>
          <w:sz w:val="20"/>
        </w:rPr>
        <w:t>2022</w:t>
      </w:r>
      <w:r>
        <w:rPr>
          <w:rFonts w:ascii="Times New Roman;sans-serif" w:hAnsi="Times New Roman;sans-serif"/>
          <w:b w:val="false"/>
          <w:color w:val="000000"/>
          <w:sz w:val="20"/>
          <w:highlight w:val="white"/>
        </w:rPr>
        <w:t>, respectively. The year-over-year increase in depreciation expense is due to an increased number of locations and gaming terminals primarily attributable to the acquisition of Century in the second quarter of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283"/>
        <w:jc w:val="both"/>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jc w:val="both"/>
        <w:rPr/>
      </w:pPr>
      <w:hyperlink w:anchor="i2e65ffc0a01a49368550f687b81d7587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spacing w:before="240" w:after="283"/>
        <w:rPr/>
      </w:pPr>
      <w:r>
        <w:rPr/>
      </w:r>
    </w:p>
    <w:p>
      <w:pPr>
        <w:pStyle w:val="TextBody"/>
        <w:spacing w:lineRule="auto" w:line="288" w:before="24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6. Route and Customer Acquisition Costs</w:t>
      </w:r>
    </w:p>
    <w:p>
      <w:pPr>
        <w:pStyle w:val="TextBody"/>
        <w:spacing w:lineRule="auto" w:line="345" w:before="180" w:after="283"/>
        <w:ind w:left="0" w:right="0" w:firstLine="360"/>
        <w:jc w:val="both"/>
        <w:rPr/>
      </w:pPr>
      <w:r>
        <w:rPr>
          <w:rFonts w:ascii="Times New Roman;sans-serif" w:hAnsi="Times New Roman;sans-serif"/>
          <w:b w:val="false"/>
          <w:color w:val="000000"/>
          <w:sz w:val="20"/>
          <w:highlight w:val="white"/>
        </w:rPr>
        <w:t>The Company enters into contracts with third parties and its gaming locations to install and operate gaming terminals. When gaming operations commence, payments are due monthly or quarterly. Gross payments due, based on the number of live locations, were approximately $7.2 million and $7.6 million as of March 31, 2023,</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highlight w:val="white"/>
        </w:rPr>
        <w:t>December 31, 2022, respectively. Payments are due over varying terms of the individual agreements and are discounted at the Company’s incremental borrowing rate associated with its long-term debt at the time the contract is acquired. The net present value of payments due was $6.3 million and $6.6 million as of March 31, 2023,</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highlight w:val="white"/>
        </w:rPr>
        <w:t>December 31, 2022, respectively, of which approximately $1.5 million is included in current liabilities in the accompanying condensed consolidated balance sheets as of both March 31, 2023,</w:t>
      </w:r>
      <w:r>
        <w:rPr>
          <w:color w:val="000000"/>
        </w:rPr>
        <w:t xml:space="preserve"> </w:t>
      </w:r>
      <w:r>
        <w:rPr>
          <w:rFonts w:ascii="Times New Roman;sans-serif" w:hAnsi="Times New Roman;sans-serif"/>
          <w:b w:val="false"/>
          <w:color w:val="000000"/>
          <w:sz w:val="20"/>
          <w:highlight w:val="white"/>
        </w:rPr>
        <w:t>and December 31, 2022. The route and customer acquisition cost asset was comprised of payments made on the contracts of $18.3 million and $17.9 million as of March 31, 2023,</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highlight w:val="white"/>
        </w:rPr>
        <w:t>December 31, 2022, respectively. The Company has upfront payments of commissions paid to the third parties for the acquisition of the customer contracts that are subject to a clawback provision if the customer cancels the contract prior to completion. The payments subject to a clawback were $1.0 million and $1.2 million as of March 31, 2023,</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highlight w:val="white"/>
        </w:rPr>
        <w:t>December 31, 2022, respectively.</w:t>
      </w:r>
    </w:p>
    <w:p>
      <w:pPr>
        <w:pStyle w:val="TextBody"/>
        <w:spacing w:lineRule="auto" w:line="288" w:before="240" w:after="283"/>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Route and customer acquisition costs consisted of the following at March 31, 2023 and December 31, 2022 (in thousands):</w:t>
      </w:r>
    </w:p>
    <w:tbl>
      <w:tblPr>
        <w:tblW w:w="6001" w:type="dxa"/>
        <w:jc w:val="center"/>
        <w:tblInd w:w="0" w:type="dxa"/>
        <w:tblCellMar>
          <w:top w:w="28" w:type="dxa"/>
          <w:left w:w="28" w:type="dxa"/>
          <w:bottom w:w="28" w:type="dxa"/>
          <w:right w:w="28" w:type="dxa"/>
        </w:tblCellMar>
      </w:tblPr>
      <w:tblGrid>
        <w:gridCol w:w="1260"/>
        <w:gridCol w:w="1111"/>
        <w:gridCol w:w="1123"/>
        <w:gridCol w:w="211"/>
        <w:gridCol w:w="721"/>
        <w:gridCol w:w="109"/>
        <w:gridCol w:w="109"/>
        <w:gridCol w:w="109"/>
        <w:gridCol w:w="109"/>
        <w:gridCol w:w="221"/>
        <w:gridCol w:w="757"/>
        <w:gridCol w:w="161"/>
      </w:tblGrid>
      <w:tr>
        <w:trPr/>
        <w:tc>
          <w:tcPr>
            <w:tcW w:w="1260"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(13,463)</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Route and customer acquisition costs,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45" w:before="80" w:after="283"/>
        <w:ind w:left="0" w:right="0" w:firstLine="360"/>
        <w:jc w:val="both"/>
        <w:rPr/>
      </w:pPr>
      <w:r>
        <w:rPr>
          <w:rFonts w:ascii="Times New Roman;sans-serif" w:hAnsi="Times New Roman;sans-serif"/>
          <w:b w:val="false"/>
          <w:color w:val="000000"/>
          <w:sz w:val="20"/>
        </w:rPr>
        <w:t xml:space="preserve">Amortization expense of route and customer acquisition costs was $0.4 million and $0.3 million for the three months ended </w:t>
      </w:r>
      <w:r>
        <w:rPr>
          <w:rFonts w:ascii="Times New Roman;sans-serif" w:hAnsi="Times New Roman;sans-serif"/>
          <w:b w:val="false"/>
          <w:color w:val="000000"/>
          <w:sz w:val="20"/>
          <w:highlight w:val="white"/>
        </w:rPr>
        <w:t xml:space="preserve">March 31, 2023, and </w:t>
      </w:r>
      <w:r>
        <w:rPr>
          <w:rFonts w:ascii="Times New Roman;sans-serif" w:hAnsi="Times New Roman;sans-serif"/>
          <w:b w:val="false"/>
          <w:color w:val="000000"/>
          <w:sz w:val="20"/>
        </w:rPr>
        <w:t xml:space="preserve">2022, respectively.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7. Location Contracts Acquired</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Location contract assets acquired in business acquisitions are recorded at acquisition at fair value based on an income approach. Location contracts acquired consisted of the following at March 31, 2023 and December 31, 2022 (in thousands):</w:t>
      </w:r>
    </w:p>
    <w:tbl>
      <w:tblPr>
        <w:tblW w:w="5393" w:type="dxa"/>
        <w:jc w:val="center"/>
        <w:tblInd w:w="0" w:type="dxa"/>
        <w:tblCellMar>
          <w:top w:w="28" w:type="dxa"/>
          <w:left w:w="28" w:type="dxa"/>
          <w:bottom w:w="28" w:type="dxa"/>
          <w:right w:w="28" w:type="dxa"/>
        </w:tblCellMar>
      </w:tblPr>
      <w:tblGrid>
        <w:gridCol w:w="984"/>
        <w:gridCol w:w="868"/>
        <w:gridCol w:w="877"/>
        <w:gridCol w:w="211"/>
        <w:gridCol w:w="826"/>
        <w:gridCol w:w="109"/>
        <w:gridCol w:w="109"/>
        <w:gridCol w:w="109"/>
        <w:gridCol w:w="109"/>
        <w:gridCol w:w="211"/>
        <w:gridCol w:w="826"/>
        <w:gridCol w:w="154"/>
      </w:tblGrid>
      <w:tr>
        <w:trPr/>
        <w:tc>
          <w:tcPr>
            <w:tcW w:w="984"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(97,570)</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(93,310)</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 contracts acquired,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45" w:before="80" w:after="283"/>
        <w:ind w:left="0" w:right="0" w:firstLine="360"/>
        <w:jc w:val="both"/>
        <w:rPr/>
      </w:pPr>
      <w:r>
        <w:rPr>
          <w:rFonts w:ascii="Times New Roman;sans-serif" w:hAnsi="Times New Roman;sans-serif"/>
          <w:b w:val="false"/>
          <w:color w:val="000000"/>
          <w:sz w:val="20"/>
          <w:highlight w:val="white"/>
        </w:rPr>
        <w:t xml:space="preserve">Amortization expense of location contracts acquired was </w:t>
      </w:r>
      <w:r>
        <w:rPr>
          <w:rFonts w:ascii="Times New Roman;sans-serif" w:hAnsi="Times New Roman;sans-serif"/>
          <w:b w:val="false"/>
          <w:color w:val="000000"/>
          <w:sz w:val="20"/>
        </w:rPr>
        <w:t xml:space="preserve">$4.3 million and $3.3 million for the </w:t>
      </w:r>
      <w:r>
        <w:rPr>
          <w:rFonts w:ascii="Times New Roman;sans-serif" w:hAnsi="Times New Roman;sans-serif"/>
          <w:b w:val="false"/>
          <w:color w:val="000000"/>
          <w:sz w:val="20"/>
          <w:highlight w:val="white"/>
        </w:rPr>
        <w:t>three</w:t>
      </w:r>
      <w:r>
        <w:rPr>
          <w:color w:val="000000"/>
        </w:rPr>
        <w:t xml:space="preserve"> </w:t>
      </w:r>
      <w:r>
        <w:rPr>
          <w:rFonts w:ascii="Times New Roman;sans-serif" w:hAnsi="Times New Roman;sans-serif"/>
          <w:b w:val="false"/>
          <w:color w:val="000000"/>
          <w:sz w:val="20"/>
        </w:rPr>
        <w:t xml:space="preserve">months ended March 31, 2023, and 2022, respectively.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8. Goodwill and Other Intangible Assets</w:t>
      </w:r>
    </w:p>
    <w:p>
      <w:pPr>
        <w:pStyle w:val="TextBody"/>
        <w:spacing w:lineRule="auto" w:line="345" w:before="180" w:after="283"/>
        <w:ind w:left="0" w:right="0" w:firstLine="360"/>
        <w:jc w:val="both"/>
        <w:rPr/>
      </w:pPr>
      <w:r>
        <w:rPr>
          <w:rFonts w:ascii="Times New Roman;sans-serif" w:hAnsi="Times New Roman;sans-serif"/>
          <w:b w:val="false"/>
          <w:color w:val="000000"/>
          <w:sz w:val="20"/>
        </w:rPr>
        <w:t xml:space="preserve">The Company acquired various companies which were accounted for as a business combination using the acquisition method of accounting in accordance with ASC Topic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xml:space="preserve">. The total excess of the purchase price over the tangible and intangible assets acquired and liabilities assumed was recorded as goodwill of $101.6 million and $100.7 million as of March 31, 2023, and </w:t>
      </w:r>
      <w:r>
        <w:rPr>
          <w:rFonts w:ascii="Times New Roman;sans-serif" w:hAnsi="Times New Roman;sans-serif"/>
          <w:b w:val="false"/>
          <w:color w:val="000000"/>
          <w:sz w:val="20"/>
          <w:highlight w:val="white"/>
        </w:rPr>
        <w:t>December 31, 2022, respectively,</w:t>
      </w:r>
      <w:r>
        <w:rPr>
          <w:color w:val="000000"/>
        </w:rPr>
        <w:t xml:space="preserve"> </w:t>
      </w:r>
      <w:r>
        <w:rPr>
          <w:rFonts w:ascii="Times New Roman;sans-serif" w:hAnsi="Times New Roman;sans-serif"/>
          <w:b w:val="false"/>
          <w:color w:val="000000"/>
          <w:sz w:val="20"/>
        </w:rPr>
        <w:t>of which $41.6 million was deductible for tax purposes as of March 31, 2023.</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jc w:val="both"/>
        <w:rPr/>
      </w:pPr>
      <w:hyperlink w:anchor="i2e65ffc0a01a49368550f687b81d7587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spacing w:before="240" w:after="283"/>
        <w:rPr/>
      </w:pPr>
      <w:r>
        <w:rPr/>
      </w:r>
    </w:p>
    <w:p>
      <w:pPr>
        <w:pStyle w:val="TextBody"/>
        <w:spacing w:lineRule="auto" w:line="345" w:before="180" w:after="283"/>
        <w:ind w:left="0" w:right="0" w:firstLine="360"/>
        <w:jc w:val="both"/>
        <w:rPr/>
      </w:pPr>
      <w:r>
        <w:rPr>
          <w:rFonts w:ascii="Times New Roman;sans-serif" w:hAnsi="Times New Roman;sans-serif"/>
          <w:b w:val="false"/>
          <w:color w:val="000000"/>
          <w:sz w:val="20"/>
        </w:rPr>
        <w:t>On February 13, 2023, the Company acquired Rendezvous Casino and Burger Bar (</w:t>
      </w:r>
      <w:r>
        <w:rPr>
          <w:color w:val="000000"/>
          <w:highlight w:val="white"/>
        </w:rPr>
        <w:t>“</w:t>
      </w:r>
      <w:r>
        <w:rPr>
          <w:rFonts w:ascii="Times New Roman;sans-serif" w:hAnsi="Times New Roman;sans-serif"/>
          <w:b w:val="false"/>
          <w:color w:val="000000"/>
          <w:sz w:val="20"/>
          <w:highlight w:val="white"/>
        </w:rPr>
        <w:t>Rendezvous”</w:t>
      </w:r>
      <w:r>
        <w:rPr>
          <w:rFonts w:ascii="Times New Roman;sans-serif" w:hAnsi="Times New Roman;sans-serif"/>
          <w:b w:val="false"/>
          <w:color w:val="000000"/>
          <w:sz w:val="20"/>
        </w:rPr>
        <w:t>), a hospitality operation in Billings, Montana, for a total purchase price of $2.6 million. The purchase price included the cost of the land, building and the related Montana All-Alcoholic Beverage License. The hospitality operation is set to be a Century vended location.</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roll forward of the Company's goodwill (in thousands):</w:t>
      </w:r>
    </w:p>
    <w:tbl>
      <w:tblPr>
        <w:tblW w:w="5525" w:type="dxa"/>
        <w:jc w:val="center"/>
        <w:tblInd w:w="0" w:type="dxa"/>
        <w:tblCellMar>
          <w:top w:w="28" w:type="dxa"/>
          <w:left w:w="28" w:type="dxa"/>
          <w:bottom w:w="28" w:type="dxa"/>
          <w:right w:w="28" w:type="dxa"/>
        </w:tblCellMar>
      </w:tblPr>
      <w:tblGrid>
        <w:gridCol w:w="1570"/>
        <w:gridCol w:w="1379"/>
        <w:gridCol w:w="1385"/>
        <w:gridCol w:w="211"/>
        <w:gridCol w:w="826"/>
        <w:gridCol w:w="154"/>
      </w:tblGrid>
      <w:tr>
        <w:trPr/>
        <w:tc>
          <w:tcPr>
            <w:tcW w:w="1570" w:type="dxa"/>
            <w:tcBorders/>
            <w:shd w:fill="auto" w:val="clear"/>
            <w:vAlign w:val="center"/>
          </w:tcPr>
          <w:p>
            <w:pPr>
              <w:pStyle w:val="TableContents"/>
              <w:spacing w:before="0" w:after="283"/>
              <w:rPr>
                <w:sz w:val="4"/>
                <w:szCs w:val="4"/>
              </w:rPr>
            </w:pPr>
            <w:r>
              <w:rPr>
                <w:sz w:val="4"/>
                <w:szCs w:val="4"/>
              </w:rPr>
            </w:r>
          </w:p>
        </w:tc>
        <w:tc>
          <w:tcPr>
            <w:tcW w:w="1379"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balance as of January 1, 2023</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 to goodwill for acquisition of Rendezvous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balance as of March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334"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345" w:before="18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Other intangible assets</w:t>
      </w:r>
    </w:p>
    <w:p>
      <w:pPr>
        <w:pStyle w:val="TextBody"/>
        <w:spacing w:lineRule="auto" w:line="345" w:before="180" w:after="283"/>
        <w:ind w:left="0" w:right="0" w:firstLine="360"/>
        <w:jc w:val="both"/>
        <w:rPr/>
      </w:pPr>
      <w:r>
        <w:rPr>
          <w:rFonts w:ascii="Times New Roman;sans-serif" w:hAnsi="Times New Roman;sans-serif"/>
          <w:b w:val="false"/>
          <w:color w:val="000000"/>
          <w:sz w:val="20"/>
        </w:rPr>
        <w:t xml:space="preserve">Other intangible assets, net of $22.4 million and $23.0 million as of March 31, 2023 and December 31, 2022, respectively, consisted of definite-lived trade names, customer relationships, and software applications. Other intangible assets are related to the acquisition of Century which occurred in the second quarter of 2022. The Company determines the fair value of trade name assets acquired in acquisitions using a relief from royalty valuation method which requires assumptions such as projected revenue and a royalty rate. Other intangible assets are amortized over their estimated 7 to 20-year useful lives. </w:t>
      </w:r>
      <w:r>
        <w:rPr>
          <w:rFonts w:ascii="Times New Roman;sans-serif" w:hAnsi="Times New Roman;sans-serif"/>
          <w:b w:val="false"/>
          <w:color w:val="000000"/>
          <w:sz w:val="20"/>
          <w:highlight w:val="white"/>
        </w:rPr>
        <w:t xml:space="preserve">Amortization expense of other intangible assets was </w:t>
      </w:r>
      <w:r>
        <w:rPr>
          <w:rFonts w:ascii="Times New Roman;sans-serif" w:hAnsi="Times New Roman;sans-serif"/>
          <w:b w:val="false"/>
          <w:color w:val="000000"/>
          <w:sz w:val="20"/>
        </w:rPr>
        <w:t xml:space="preserve">$0.6 million for the </w:t>
      </w:r>
      <w:r>
        <w:rPr>
          <w:rFonts w:ascii="Times New Roman;sans-serif" w:hAnsi="Times New Roman;sans-serif"/>
          <w:b w:val="false"/>
          <w:color w:val="000000"/>
          <w:sz w:val="20"/>
          <w:highlight w:val="white"/>
        </w:rPr>
        <w:t>three</w:t>
      </w:r>
      <w:r>
        <w:rPr>
          <w:color w:val="000000"/>
        </w:rPr>
        <w:t xml:space="preserve"> </w:t>
      </w:r>
      <w:r>
        <w:rPr>
          <w:rFonts w:ascii="Times New Roman;sans-serif" w:hAnsi="Times New Roman;sans-serif"/>
          <w:b w:val="false"/>
          <w:color w:val="000000"/>
          <w:sz w:val="20"/>
        </w:rPr>
        <w:t>months ended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45" w:before="1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9. Debt</w:t>
      </w:r>
    </w:p>
    <w:p>
      <w:pPr>
        <w:pStyle w:val="TextBody"/>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debt as of March 31, 2023, and December 31, 2022, consisted of the following (in thousands):</w:t>
      </w:r>
    </w:p>
    <w:tbl>
      <w:tblPr>
        <w:tblW w:w="5768" w:type="dxa"/>
        <w:jc w:val="center"/>
        <w:tblInd w:w="0" w:type="dxa"/>
        <w:tblCellMar>
          <w:top w:w="28" w:type="dxa"/>
          <w:left w:w="28" w:type="dxa"/>
          <w:bottom w:w="28" w:type="dxa"/>
          <w:right w:w="28" w:type="dxa"/>
        </w:tblCellMar>
      </w:tblPr>
      <w:tblGrid>
        <w:gridCol w:w="1123"/>
        <w:gridCol w:w="989"/>
        <w:gridCol w:w="992"/>
        <w:gridCol w:w="211"/>
        <w:gridCol w:w="826"/>
        <w:gridCol w:w="109"/>
        <w:gridCol w:w="109"/>
        <w:gridCol w:w="109"/>
        <w:gridCol w:w="109"/>
        <w:gridCol w:w="211"/>
        <w:gridCol w:w="826"/>
        <w:gridCol w:w="154"/>
      </w:tblGrid>
      <w:tr>
        <w:trPr/>
        <w:tc>
          <w:tcPr>
            <w:tcW w:w="11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Credit Facility:</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121,000 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Delayed Draw Term Loan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on credit facility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Interest rate caplet liability</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issuance costs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 of debt issuance costs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542,032 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 of current maturities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514,146 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4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caplets</w:t>
      </w:r>
    </w:p>
    <w:p>
      <w:pPr>
        <w:pStyle w:val="TextBody"/>
        <w:spacing w:lineRule="auto" w:line="345" w:before="180" w:after="283"/>
        <w:ind w:left="0" w:right="0" w:firstLine="360"/>
        <w:jc w:val="both"/>
        <w:rPr/>
      </w:pPr>
      <w:r>
        <w:rPr>
          <w:rFonts w:ascii="Times New Roman;sans-serif" w:hAnsi="Times New Roman;sans-serif"/>
          <w:b w:val="false"/>
          <w:color w:val="000000"/>
          <w:sz w:val="20"/>
          <w:highlight w:val="white"/>
        </w:rPr>
        <w:t>The Company manages its exposure to some of its interest rate risk through the use of interest rate caplets, which are derivative financial instruments. On January 12, 2022, the Company hedged the variability of the cash flows attributable to the changes in the 1-month LIBOR interest rate on the first $300 million of the term loan under the Credit Agreement by entering into a 4-year series of 48 deferred premium caplets (“caplets</w:t>
      </w:r>
      <w:r>
        <w:rPr>
          <w:color w:val="000000"/>
        </w:rPr>
        <w:t>”</w:t>
      </w:r>
      <w:r>
        <w:rPr>
          <w:rFonts w:ascii="Times New Roman;sans-serif" w:hAnsi="Times New Roman;sans-serif"/>
          <w:b w:val="false"/>
          <w:color w:val="000000"/>
          <w:sz w:val="20"/>
        </w:rPr>
        <w:t>)</w:t>
      </w:r>
      <w:r>
        <w:rPr>
          <w:rFonts w:ascii="Times New Roman;sans-serif" w:hAnsi="Times New Roman;sans-serif"/>
          <w:b w:val="false"/>
          <w:color w:val="000000"/>
          <w:sz w:val="20"/>
          <w:highlight w:val="white"/>
        </w:rPr>
        <w:t xml:space="preserve">. The Company recognized an unrealized loss on the change in fair value of the caplets of </w:t>
      </w:r>
      <w:r>
        <w:rPr>
          <w:rFonts w:ascii="Times New Roman;sans-serif" w:hAnsi="Times New Roman;sans-serif"/>
          <w:b w:val="false"/>
          <w:color w:val="000000"/>
          <w:sz w:val="20"/>
        </w:rPr>
        <w:t xml:space="preserve">$2.2 million </w:t>
      </w:r>
      <w:r>
        <w:rPr>
          <w:rFonts w:ascii="Times New Roman;sans-serif" w:hAnsi="Times New Roman;sans-serif"/>
          <w:b w:val="false"/>
          <w:color w:val="000000"/>
          <w:sz w:val="20"/>
          <w:highlight w:val="white"/>
        </w:rPr>
        <w:t xml:space="preserve">and an unrealized gain of $4.9 million, net of taxes, </w:t>
      </w:r>
      <w:r>
        <w:rPr>
          <w:rFonts w:ascii="Times New Roman;sans-serif" w:hAnsi="Times New Roman;sans-serif"/>
          <w:b w:val="false"/>
          <w:color w:val="000000"/>
          <w:sz w:val="20"/>
        </w:rPr>
        <w:t xml:space="preserve">for the three months ended </w:t>
      </w:r>
      <w:r>
        <w:rPr>
          <w:rFonts w:ascii="Times New Roman;sans-serif" w:hAnsi="Times New Roman;sans-serif"/>
          <w:b w:val="false"/>
          <w:color w:val="000000"/>
          <w:sz w:val="20"/>
          <w:highlight w:val="white"/>
        </w:rPr>
        <w:t xml:space="preserve">March 31, 2023 and 2022, respectively. For more information on how the Company determines the fair value of the caplets, see </w:t>
      </w:r>
      <w:r>
        <w:rPr>
          <w:rFonts w:ascii="Times New Roman;sans-serif" w:hAnsi="Times New Roman;sans-serif"/>
          <w:b w:val="false"/>
          <w:color w:val="000000"/>
          <w:sz w:val="20"/>
        </w:rPr>
        <w:t>Note 12. Fu</w:t>
      </w:r>
      <w:r>
        <w:rPr>
          <w:rFonts w:ascii="Times New Roman;sans-serif" w:hAnsi="Times New Roman;sans-serif"/>
          <w:b w:val="false"/>
          <w:color w:val="000000"/>
          <w:sz w:val="20"/>
          <w:highlight w:val="white"/>
        </w:rPr>
        <w:t xml:space="preserve">rther, as the 1-month LIBOR interest rate exceeded 2% beginning in the second half of 2022, the Company recognized interest income on the caplets of $1.9 million </w:t>
      </w:r>
      <w:r>
        <w:rPr>
          <w:rFonts w:ascii="Times New Roman;sans-serif" w:hAnsi="Times New Roman;sans-serif"/>
          <w:b w:val="false"/>
          <w:color w:val="000000"/>
          <w:sz w:val="20"/>
        </w:rPr>
        <w:t xml:space="preserve">for the three months ended </w:t>
      </w:r>
      <w:r>
        <w:rPr>
          <w:rFonts w:ascii="Times New Roman;sans-serif" w:hAnsi="Times New Roman;sans-serif"/>
          <w:b w:val="false"/>
          <w:color w:val="000000"/>
          <w:sz w:val="20"/>
          <w:highlight w:val="white"/>
        </w:rPr>
        <w:t xml:space="preserve">March 31, 2023, which is reflected in interest expense, net </w:t>
      </w:r>
      <w:r>
        <w:rPr>
          <w:rFonts w:ascii="Times New Roman;sans-serif" w:hAnsi="Times New Roman;sans-serif"/>
          <w:b w:val="false"/>
          <w:color w:val="000000"/>
          <w:sz w:val="20"/>
        </w:rPr>
        <w:t>in the condensed consolidated statements of operations and other comprehensive income.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283"/>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jc w:val="both"/>
        <w:rPr/>
      </w:pPr>
      <w:hyperlink w:anchor="i2e65ffc0a01a49368550f687b81d7587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spacing w:before="240" w:after="283"/>
        <w:rPr/>
      </w:pPr>
      <w:r>
        <w:rPr/>
      </w:r>
    </w:p>
    <w:p>
      <w:pPr>
        <w:pStyle w:val="TextBody"/>
        <w:spacing w:lineRule="auto" w:line="288" w:before="24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10. Business and Asset Acquisitions</w:t>
      </w:r>
    </w:p>
    <w:p>
      <w:pPr>
        <w:pStyle w:val="TextBody"/>
        <w:spacing w:lineRule="auto" w:line="345"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2023 Business Acquisitions</w:t>
      </w:r>
    </w:p>
    <w:p>
      <w:pPr>
        <w:pStyle w:val="TextBody"/>
        <w:spacing w:lineRule="auto" w:line="345" w:before="180" w:after="283"/>
        <w:ind w:left="0" w:right="0" w:firstLine="360"/>
        <w:jc w:val="both"/>
        <w:rPr/>
      </w:pPr>
      <w:r>
        <w:rPr>
          <w:rFonts w:ascii="Times New Roman;sans-serif" w:hAnsi="Times New Roman;sans-serif"/>
          <w:b w:val="false"/>
          <w:color w:val="000000"/>
          <w:sz w:val="20"/>
        </w:rPr>
        <w:t xml:space="preserve">On February 13, 2023, the Company acquired Rendezvous, a hospitality operation in Billings, Montana. The hospitality operation is set to be a Century vended location. </w:t>
      </w:r>
      <w:r>
        <w:rPr>
          <w:rFonts w:ascii="Times New Roman;sans-serif" w:hAnsi="Times New Roman;sans-serif"/>
          <w:b w:val="false"/>
          <w:color w:val="000000"/>
          <w:sz w:val="20"/>
          <w:highlight w:val="white"/>
        </w:rPr>
        <w:t>The acquisition was accounted for as a business combination using the acquisition method of accounting in accordance with ASC Topic 805, </w:t>
      </w:r>
      <w:r>
        <w:rPr>
          <w:rFonts w:ascii="Times New Roman;sans-serif" w:hAnsi="Times New Roman;sans-serif"/>
          <w:b w:val="false"/>
          <w:i/>
          <w:color w:val="000000"/>
          <w:sz w:val="20"/>
          <w:highlight w:val="white"/>
        </w:rPr>
        <w:t xml:space="preserve">Business Combinations </w:t>
      </w:r>
      <w:r>
        <w:rPr>
          <w:rFonts w:ascii="Times New Roman;sans-serif" w:hAnsi="Times New Roman;sans-serif"/>
          <w:b w:val="false"/>
          <w:color w:val="000000"/>
          <w:sz w:val="20"/>
          <w:highlight w:val="white"/>
        </w:rPr>
        <w:t>(</w:t>
      </w:r>
      <w:r>
        <w:rPr>
          <w:color w:val="000000"/>
        </w:rPr>
        <w:t>“</w:t>
      </w:r>
      <w:r>
        <w:rPr>
          <w:rFonts w:ascii="Times New Roman;sans-serif" w:hAnsi="Times New Roman;sans-serif"/>
          <w:b w:val="false"/>
          <w:color w:val="000000"/>
          <w:sz w:val="20"/>
          <w:highlight w:val="white"/>
        </w:rPr>
        <w:t>Topic 805</w:t>
      </w:r>
      <w:r>
        <w:rPr>
          <w:color w:val="000000"/>
        </w:rPr>
        <w:t>”</w:t>
      </w:r>
      <w:r>
        <w:rPr>
          <w:rFonts w:ascii="Times New Roman;sans-serif" w:hAnsi="Times New Roman;sans-serif"/>
          <w:b w:val="false"/>
          <w:color w:val="000000"/>
          <w:sz w:val="20"/>
          <w:highlight w:val="white"/>
        </w:rPr>
        <w:t xml:space="preserve">). </w:t>
      </w:r>
      <w:r>
        <w:rPr>
          <w:rFonts w:ascii="Times New Roman;sans-serif" w:hAnsi="Times New Roman;sans-serif"/>
          <w:b w:val="false"/>
          <w:color w:val="000000"/>
          <w:sz w:val="20"/>
        </w:rPr>
        <w:t xml:space="preserve">The total purchase price of $2.6 million was paid in cash at closing and was allocated to the following assets: i) indefinite-lived intangible assets totaling $0.8 million, ii) land totaling $0.5 million, iii) buildings totaling $0.4 million, iv) gaming equipment totaling $0.1 million, and v) goodwill totaling $0.8 million. </w:t>
      </w:r>
      <w:r>
        <w:rPr>
          <w:rFonts w:ascii="Times New Roman;sans-serif" w:hAnsi="Times New Roman;sans-serif"/>
          <w:b w:val="false"/>
          <w:color w:val="000000"/>
          <w:sz w:val="20"/>
          <w:highlight w:val="white"/>
        </w:rPr>
        <w:t xml:space="preserve">The results of operations for Rendezvous are included in the condensed consolidated financial statements of the Company from the date of acquisition and were not material. </w:t>
      </w:r>
    </w:p>
    <w:p>
      <w:pPr>
        <w:pStyle w:val="TextBody"/>
        <w:spacing w:lineRule="auto" w:line="345"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2022 Business Acquisitions</w:t>
      </w:r>
    </w:p>
    <w:p>
      <w:pPr>
        <w:pStyle w:val="TextBody"/>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Progressive</w:t>
      </w:r>
    </w:p>
    <w:p>
      <w:pPr>
        <w:pStyle w:val="TextBody"/>
        <w:spacing w:lineRule="auto" w:line="345" w:before="180" w:after="283"/>
        <w:ind w:left="0" w:right="0" w:firstLine="360"/>
        <w:jc w:val="both"/>
        <w:rPr/>
      </w:pPr>
      <w:r>
        <w:rPr>
          <w:rFonts w:ascii="Times New Roman;sans-serif" w:hAnsi="Times New Roman;sans-serif"/>
          <w:b w:val="false"/>
          <w:color w:val="000000"/>
          <w:sz w:val="20"/>
        </w:rPr>
        <w:t xml:space="preserve">On December 15, 2022, Century, the Company’s wholly owned subsidiary, acquired from DEP, Inc. </w:t>
      </w:r>
      <w:r>
        <w:rPr>
          <w:rFonts w:ascii="Times New Roman;sans-serif" w:hAnsi="Times New Roman;sans-serif"/>
          <w:b w:val="false"/>
          <w:color w:val="000000"/>
          <w:sz w:val="20"/>
          <w:highlight w:val="white"/>
        </w:rPr>
        <w:t>(</w:t>
      </w:r>
      <w:r>
        <w:rPr>
          <w:color w:val="000000"/>
        </w:rPr>
        <w:t>“</w:t>
      </w:r>
      <w:r>
        <w:rPr>
          <w:rFonts w:ascii="Times New Roman;sans-serif" w:hAnsi="Times New Roman;sans-serif"/>
          <w:b w:val="false"/>
          <w:color w:val="000000"/>
          <w:sz w:val="20"/>
        </w:rPr>
        <w:t>Progressive”</w:t>
      </w:r>
      <w:r>
        <w:rPr>
          <w:rFonts w:ascii="Times New Roman;sans-serif" w:hAnsi="Times New Roman;sans-serif"/>
          <w:b w:val="false"/>
          <w:color w:val="000000"/>
          <w:sz w:val="20"/>
          <w:highlight w:val="white"/>
        </w:rPr>
        <w:t>)</w:t>
      </w:r>
      <w:r>
        <w:rPr>
          <w:rFonts w:ascii="Times New Roman;sans-serif" w:hAnsi="Times New Roman;sans-serif"/>
          <w:b w:val="false"/>
          <w:color w:val="000000"/>
          <w:sz w:val="20"/>
        </w:rPr>
        <w:t xml:space="preserve">, a gaming operator in Montana, certain gaming assets and locations. The acquisition of Progressive adds 26 Montana gaming locations and approximately 300 gaming terminals to the Century portfolio. The total purchase price was $6.4 million, which Century paid in cash at closing. </w:t>
      </w:r>
      <w:r>
        <w:rPr>
          <w:rFonts w:ascii="Times New Roman;sans-serif" w:hAnsi="Times New Roman;sans-serif"/>
          <w:b w:val="false"/>
          <w:color w:val="000000"/>
          <w:sz w:val="20"/>
          <w:highlight w:val="white"/>
        </w:rPr>
        <w:t xml:space="preserve">The acquisition was accounted for as a business combination using the acquisition method of accounting in accordance with Topic 805. The purchase price was allocated to the following assets: i) gaming terminals and amusement equipment totaling </w:t>
      </w:r>
      <w:r>
        <w:rPr>
          <w:rFonts w:ascii="Times New Roman;sans-serif" w:hAnsi="Times New Roman;sans-serif"/>
          <w:b w:val="false"/>
          <w:color w:val="000000"/>
          <w:sz w:val="20"/>
        </w:rPr>
        <w:t>$0.9 million</w:t>
      </w:r>
      <w:r>
        <w:rPr>
          <w:rFonts w:ascii="Times New Roman;sans-serif" w:hAnsi="Times New Roman;sans-serif"/>
          <w:b w:val="false"/>
          <w:color w:val="000000"/>
          <w:sz w:val="20"/>
          <w:highlight w:val="white"/>
        </w:rPr>
        <w:t xml:space="preserve">; ii) location contracts totaling </w:t>
      </w:r>
      <w:r>
        <w:rPr>
          <w:rFonts w:ascii="Times New Roman;sans-serif" w:hAnsi="Times New Roman;sans-serif"/>
          <w:b w:val="false"/>
          <w:color w:val="000000"/>
          <w:sz w:val="20"/>
        </w:rPr>
        <w:t>$4.3 million</w:t>
      </w:r>
      <w:r>
        <w:rPr>
          <w:rFonts w:ascii="Times New Roman;sans-serif" w:hAnsi="Times New Roman;sans-serif"/>
          <w:b w:val="false"/>
          <w:color w:val="000000"/>
          <w:sz w:val="20"/>
          <w:highlight w:val="white"/>
        </w:rPr>
        <w:t xml:space="preserve">; and iii) goodwill totaling </w:t>
      </w:r>
      <w:r>
        <w:rPr>
          <w:rFonts w:ascii="Times New Roman;sans-serif" w:hAnsi="Times New Roman;sans-serif"/>
          <w:b w:val="false"/>
          <w:color w:val="000000"/>
          <w:sz w:val="20"/>
        </w:rPr>
        <w:t>$1.2 million</w:t>
      </w:r>
      <w:r>
        <w:rPr>
          <w:rFonts w:ascii="Times New Roman;sans-serif" w:hAnsi="Times New Roman;sans-serif"/>
          <w:b w:val="false"/>
          <w:color w:val="000000"/>
          <w:sz w:val="20"/>
          <w:highlight w:val="white"/>
        </w:rPr>
        <w:t xml:space="preserve">. The results of operations for Progressive are included in the condensed consolidated financial statements of the Company </w:t>
      </w:r>
      <w:r>
        <w:rPr>
          <w:rFonts w:ascii="Times New Roman;sans-serif" w:hAnsi="Times New Roman;sans-serif"/>
          <w:b w:val="false"/>
          <w:color w:val="000000"/>
          <w:sz w:val="20"/>
        </w:rPr>
        <w:t xml:space="preserve">for the three months ended </w:t>
      </w:r>
      <w:r>
        <w:rPr>
          <w:rFonts w:ascii="Times New Roman;sans-serif" w:hAnsi="Times New Roman;sans-serif"/>
          <w:b w:val="false"/>
          <w:color w:val="000000"/>
          <w:sz w:val="20"/>
          <w:highlight w:val="white"/>
        </w:rPr>
        <w:t xml:space="preserve">March 31, 2023 and were not material. </w:t>
      </w:r>
    </w:p>
    <w:p>
      <w:pPr>
        <w:pStyle w:val="TextBody"/>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River City</w:t>
      </w:r>
    </w:p>
    <w:p>
      <w:pPr>
        <w:pStyle w:val="TextBody"/>
        <w:spacing w:lineRule="auto" w:line="345" w:before="180" w:after="283"/>
        <w:ind w:left="0" w:right="0" w:firstLine="360"/>
        <w:jc w:val="both"/>
        <w:rPr/>
      </w:pPr>
      <w:r>
        <w:rPr>
          <w:rFonts w:ascii="Times New Roman;sans-serif" w:hAnsi="Times New Roman;sans-serif"/>
          <w:b w:val="false"/>
          <w:color w:val="000000"/>
          <w:sz w:val="20"/>
        </w:rPr>
        <w:t xml:space="preserve">On September 9, 2022, the Company acquired from River City Amusement Company (“River City”) all of its operating assets in Nebraska, Iowa and South Dakota. River City's operations in these states consist of the ownership and operation of MAD and amusement equipment, as well as ATMs in the approximately 120 locations it serves. The total purchase price was approximately $2.8 million, which the Company paid in cash at closing. The acquisition </w:t>
      </w:r>
      <w:r>
        <w:rPr>
          <w:rFonts w:ascii="Times New Roman;sans-serif" w:hAnsi="Times New Roman;sans-serif"/>
          <w:b w:val="false"/>
          <w:color w:val="000000"/>
          <w:sz w:val="20"/>
          <w:highlight w:val="white"/>
        </w:rPr>
        <w:t>was accounted for as a business combination using the acquisition method of accounting in accordance with Topic 805.</w:t>
      </w:r>
      <w:r>
        <w:rPr>
          <w:color w:val="000000"/>
        </w:rPr>
        <w:t xml:space="preserve"> </w:t>
      </w:r>
      <w:r>
        <w:rPr>
          <w:rFonts w:ascii="Times New Roman;sans-serif" w:hAnsi="Times New Roman;sans-serif"/>
          <w:b w:val="false"/>
          <w:color w:val="000000"/>
          <w:sz w:val="20"/>
          <w:highlight w:val="white"/>
        </w:rPr>
        <w:t xml:space="preserve">The purchase price was allocated to the following assets: i) gaming terminals and equipment totaling </w:t>
      </w:r>
      <w:r>
        <w:rPr>
          <w:rFonts w:ascii="Times New Roman;sans-serif" w:hAnsi="Times New Roman;sans-serif"/>
          <w:b w:val="false"/>
          <w:color w:val="000000"/>
          <w:sz w:val="20"/>
        </w:rPr>
        <w:t>$0.1 million</w:t>
      </w:r>
      <w:r>
        <w:rPr>
          <w:rFonts w:ascii="Times New Roman;sans-serif" w:hAnsi="Times New Roman;sans-serif"/>
          <w:b w:val="false"/>
          <w:color w:val="000000"/>
          <w:sz w:val="20"/>
          <w:highlight w:val="white"/>
        </w:rPr>
        <w:t xml:space="preserve">; ii) amusement and other equipment totaling </w:t>
      </w:r>
      <w:r>
        <w:rPr>
          <w:rFonts w:ascii="Times New Roman;sans-serif" w:hAnsi="Times New Roman;sans-serif"/>
          <w:b w:val="false"/>
          <w:color w:val="000000"/>
          <w:sz w:val="20"/>
        </w:rPr>
        <w:t>$0.9 million</w:t>
      </w:r>
      <w:r>
        <w:rPr>
          <w:rFonts w:ascii="Times New Roman;sans-serif" w:hAnsi="Times New Roman;sans-serif"/>
          <w:b w:val="false"/>
          <w:color w:val="000000"/>
          <w:sz w:val="20"/>
          <w:highlight w:val="white"/>
        </w:rPr>
        <w:t xml:space="preserve">; iii) location contracts totaling </w:t>
      </w:r>
      <w:r>
        <w:rPr>
          <w:rFonts w:ascii="Times New Roman;sans-serif" w:hAnsi="Times New Roman;sans-serif"/>
          <w:b w:val="false"/>
          <w:color w:val="000000"/>
          <w:sz w:val="20"/>
        </w:rPr>
        <w:t>$1.7 million</w:t>
      </w:r>
      <w:r>
        <w:rPr>
          <w:rFonts w:ascii="Times New Roman;sans-serif" w:hAnsi="Times New Roman;sans-serif"/>
          <w:b w:val="false"/>
          <w:color w:val="000000"/>
          <w:sz w:val="20"/>
          <w:highlight w:val="white"/>
        </w:rPr>
        <w:t xml:space="preserve">; and iv) cash totaling </w:t>
      </w:r>
      <w:r>
        <w:rPr>
          <w:rFonts w:ascii="Times New Roman;sans-serif" w:hAnsi="Times New Roman;sans-serif"/>
          <w:b w:val="false"/>
          <w:color w:val="000000"/>
          <w:sz w:val="20"/>
        </w:rPr>
        <w:t>$0.1 million</w:t>
      </w:r>
      <w:r>
        <w:rPr>
          <w:rFonts w:ascii="Times New Roman;sans-serif" w:hAnsi="Times New Roman;sans-serif"/>
          <w:b w:val="false"/>
          <w:color w:val="000000"/>
          <w:sz w:val="20"/>
          <w:highlight w:val="white"/>
        </w:rPr>
        <w:t xml:space="preserve">. The results of operations for River City are included in the condensed consolidated financial statements of the Company </w:t>
      </w:r>
      <w:r>
        <w:rPr>
          <w:rFonts w:ascii="Times New Roman;sans-serif" w:hAnsi="Times New Roman;sans-serif"/>
          <w:b w:val="false"/>
          <w:color w:val="000000"/>
          <w:sz w:val="20"/>
        </w:rPr>
        <w:t xml:space="preserve">for the three months ended </w:t>
      </w:r>
      <w:r>
        <w:rPr>
          <w:rFonts w:ascii="Times New Roman;sans-serif" w:hAnsi="Times New Roman;sans-serif"/>
          <w:b w:val="false"/>
          <w:color w:val="000000"/>
          <w:sz w:val="20"/>
          <w:highlight w:val="white"/>
        </w:rPr>
        <w:t xml:space="preserve">March 31, 2023 and were not material. </w:t>
      </w:r>
    </w:p>
    <w:p>
      <w:pPr>
        <w:pStyle w:val="TextBody"/>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VVS</w:t>
      </w:r>
    </w:p>
    <w:p>
      <w:pPr>
        <w:pStyle w:val="TextBody"/>
        <w:spacing w:lineRule="auto" w:line="345" w:before="180" w:after="283"/>
        <w:ind w:left="0" w:right="0" w:firstLine="360"/>
        <w:jc w:val="both"/>
        <w:rPr/>
      </w:pPr>
      <w:r>
        <w:rPr>
          <w:rFonts w:ascii="Times New Roman;sans-serif" w:hAnsi="Times New Roman;sans-serif"/>
          <w:b w:val="false"/>
          <w:color w:val="000000"/>
          <w:sz w:val="20"/>
        </w:rPr>
        <w:t xml:space="preserve">On August 1, 2022, the Company acquired from VVS, Inc. (“VVS”), a licensed distributor of MADs in Nebraska, substantially all of its MAD and ATM assets. The acquisition of VVS adds approximately 250 locations in the greater Lincoln area. The total purchase price was approximately $12.0 million, of which the Company paid approximately $9.5 million in cash at closing. The remaining $2.5 million of contingent consideration is to be paid in cash if a net revenue target is achieved as of the first anniversary of the consummation of the transaction. The fair value of the contingent consideration was $2.4 million as of </w:t>
      </w:r>
      <w:r>
        <w:rPr>
          <w:rFonts w:ascii="Times New Roman;sans-serif" w:hAnsi="Times New Roman;sans-serif"/>
          <w:b w:val="false"/>
          <w:color w:val="000000"/>
          <w:sz w:val="20"/>
          <w:highlight w:val="white"/>
        </w:rPr>
        <w:t xml:space="preserve">December 31, 2022 and is included within consideration payable on the consolidated balance sheet. </w:t>
      </w:r>
      <w:r>
        <w:rPr>
          <w:rFonts w:ascii="Times New Roman;sans-serif" w:hAnsi="Times New Roman;sans-serif"/>
          <w:b w:val="false"/>
          <w:color w:val="000000"/>
          <w:sz w:val="20"/>
        </w:rPr>
        <w:t xml:space="preserve">The acquisition </w:t>
      </w:r>
      <w:r>
        <w:rPr>
          <w:rFonts w:ascii="Times New Roman;sans-serif" w:hAnsi="Times New Roman;sans-serif"/>
          <w:b w:val="false"/>
          <w:color w:val="000000"/>
          <w:sz w:val="20"/>
          <w:highlight w:val="white"/>
        </w:rPr>
        <w:t>was accounted for as a business combination using the acquisition method of accounting in accordance with Topic 805.</w:t>
      </w:r>
      <w:r>
        <w:rPr>
          <w:color w:val="000000"/>
        </w:rPr>
        <w:t xml:space="preserve"> </w:t>
      </w:r>
      <w:r>
        <w:rPr>
          <w:rFonts w:ascii="Times New Roman;sans-serif" w:hAnsi="Times New Roman;sans-serif"/>
          <w:b w:val="false"/>
          <w:color w:val="000000"/>
          <w:sz w:val="20"/>
          <w:highlight w:val="white"/>
        </w:rPr>
        <w:t xml:space="preserve">The purchase price was allocated to the following assets: i) gaming terminals and equipment totaling </w:t>
      </w:r>
      <w:r>
        <w:rPr>
          <w:rFonts w:ascii="Times New Roman;sans-serif" w:hAnsi="Times New Roman;sans-serif"/>
          <w:b w:val="false"/>
          <w:color w:val="000000"/>
          <w:sz w:val="20"/>
        </w:rPr>
        <w:t>$0.9 million</w:t>
      </w:r>
      <w:r>
        <w:rPr>
          <w:rFonts w:ascii="Times New Roman;sans-serif" w:hAnsi="Times New Roman;sans-serif"/>
          <w:b w:val="false"/>
          <w:color w:val="000000"/>
          <w:sz w:val="20"/>
          <w:highlight w:val="white"/>
        </w:rPr>
        <w:t xml:space="preserve">; ii) amusement and other equipment totaling </w:t>
      </w:r>
      <w:r>
        <w:rPr>
          <w:rFonts w:ascii="Times New Roman;sans-serif" w:hAnsi="Times New Roman;sans-serif"/>
          <w:b w:val="false"/>
          <w:color w:val="000000"/>
          <w:sz w:val="20"/>
        </w:rPr>
        <w:t>$3.9 million</w:t>
      </w:r>
      <w:r>
        <w:rPr>
          <w:rFonts w:ascii="Times New Roman;sans-serif" w:hAnsi="Times New Roman;sans-serif"/>
          <w:b w:val="false"/>
          <w:color w:val="000000"/>
          <w:sz w:val="20"/>
          <w:highlight w:val="white"/>
        </w:rPr>
        <w:t xml:space="preserve">; and iii) location contracts totaling </w:t>
      </w:r>
      <w:r>
        <w:rPr>
          <w:rFonts w:ascii="Times New Roman;sans-serif" w:hAnsi="Times New Roman;sans-serif"/>
          <w:b w:val="false"/>
          <w:color w:val="000000"/>
          <w:sz w:val="20"/>
        </w:rPr>
        <w:t>$7.2 million</w:t>
      </w:r>
      <w:r>
        <w:rPr>
          <w:rFonts w:ascii="Times New Roman;sans-serif" w:hAnsi="Times New Roman;sans-serif"/>
          <w:b w:val="false"/>
          <w:color w:val="000000"/>
          <w:sz w:val="20"/>
          <w:highlight w:val="white"/>
        </w:rPr>
        <w:t xml:space="preserve">. The results of operations for VVS are included in the condensed consolidated financial statements of the Company </w:t>
      </w:r>
      <w:r>
        <w:rPr>
          <w:rFonts w:ascii="Times New Roman;sans-serif" w:hAnsi="Times New Roman;sans-serif"/>
          <w:b w:val="false"/>
          <w:color w:val="000000"/>
          <w:sz w:val="20"/>
        </w:rPr>
        <w:t xml:space="preserve">for the three months ended </w:t>
      </w:r>
      <w:r>
        <w:rPr>
          <w:rFonts w:ascii="Times New Roman;sans-serif" w:hAnsi="Times New Roman;sans-serif"/>
          <w:b w:val="false"/>
          <w:color w:val="000000"/>
          <w:sz w:val="20"/>
          <w:highlight w:val="white"/>
        </w:rPr>
        <w:t xml:space="preserve">March 31, 2023 and were not material.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jc w:val="both"/>
        <w:rPr/>
      </w:pPr>
      <w:hyperlink w:anchor="i2e65ffc0a01a49368550f687b81d7587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spacing w:before="240" w:after="283"/>
        <w:rPr/>
      </w:pPr>
      <w:r>
        <w:rPr/>
      </w:r>
    </w:p>
    <w:p>
      <w:pPr>
        <w:pStyle w:val="TextBody"/>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Century </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 2022, the Company completed its previously announced acquisition of all of the outstanding equity interests of Century pursuant to the terms of a Securities Purchase Agreement (the “Purchase Agreement”), dated March 2, 2021, by and among Century, the shareholders of Century, and the Company. Century is Montana’s largest gaming operator and a leader in the Nevada gaming market as well as a manufacturer of gaming terminals. </w:t>
      </w:r>
    </w:p>
    <w:p>
      <w:pPr>
        <w:pStyle w:val="TextBody"/>
        <w:spacing w:lineRule="auto" w:line="345" w:before="180" w:after="283"/>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acquisition aggregate purchase consideration transferred totaled $164.3 million, which included: i) a cash payment made at closing of $45.5 million to the equity holders of Century; ii) repayment of $113.2 million of Century's indebtedness; and iii) 515,622 shares of the Company’s Class A-1 common stock issued to certain members of Century’s management with a fair value of $5.6 million on the acquisition date. The cash payments were financed using cash from a draw of approximately $160 million from the Company’s revolving credit facility and delayed draw term loan facility under the Credit Agreement. </w:t>
      </w:r>
    </w:p>
    <w:p>
      <w:pPr>
        <w:pStyle w:val="TextBody"/>
        <w:spacing w:lineRule="auto" w:line="345" w:before="180" w:after="283"/>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acquisition was accounted for as a business combination using the acquisition method of accounting in accordance with ASC Topic 805. The purchase price has been preliminarily allocated to the tangible assets and identifiable intangible assets acquired and liabilities assumed based upon their estimated fair values. The areas of the purchase price allocation that are not yet finalized are primarily related to the valuation of location contracts, inventory, property and equipment, and final adjustments to working capital. The excess of the purchase price over the tangible and intangible assets acquired and liabilities assumed of $53.4 million has been recorded as goodwill. The Century acquisition resulted in recorded goodwill as a result of a higher consideration paid driven by the maturity and quality of Century's operations, industry and workforce. Management integrated Century into its existing business structure, which is comprised of a single reporting unit.</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jc w:val="both"/>
        <w:rPr/>
      </w:pPr>
      <w:hyperlink w:anchor="i2e65ffc0a01a49368550f687b81d7587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spacing w:before="240" w:after="283"/>
        <w:rPr/>
      </w:pPr>
      <w:r>
        <w:rPr/>
      </w:r>
    </w:p>
    <w:p>
      <w:pPr>
        <w:pStyle w:val="TextBody"/>
        <w:spacing w:lineRule="auto" w:line="345" w:before="180" w:after="283"/>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summarizes the fair value of consideration transferred and the fair values of the assets acquired and liabilities assumed at the date of acquisition (in thousands):</w:t>
      </w:r>
    </w:p>
    <w:tbl>
      <w:tblPr>
        <w:tblW w:w="5031" w:type="dxa"/>
        <w:jc w:val="center"/>
        <w:tblInd w:w="0" w:type="dxa"/>
        <w:tblCellMar>
          <w:top w:w="28" w:type="dxa"/>
          <w:left w:w="28" w:type="dxa"/>
          <w:bottom w:w="28" w:type="dxa"/>
          <w:right w:w="28" w:type="dxa"/>
        </w:tblCellMar>
      </w:tblPr>
      <w:tblGrid>
        <w:gridCol w:w="1388"/>
        <w:gridCol w:w="1217"/>
        <w:gridCol w:w="1235"/>
        <w:gridCol w:w="211"/>
        <w:gridCol w:w="826"/>
        <w:gridCol w:w="154"/>
      </w:tblGrid>
      <w:tr>
        <w:trPr/>
        <w:tc>
          <w:tcPr>
            <w:tcW w:w="1388"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stock issued</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 contracts acquired</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other accrued expenses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related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liability</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45" w:before="180" w:after="283"/>
        <w:ind w:left="0" w:right="0" w:firstLine="360"/>
        <w:jc w:val="both"/>
        <w:rPr/>
      </w:pPr>
      <w:r>
        <w:rPr>
          <w:rFonts w:ascii="Times New Roman;sans-serif" w:hAnsi="Times New Roman;sans-serif"/>
          <w:b w:val="false"/>
          <w:color w:val="000000"/>
          <w:sz w:val="20"/>
          <w:highlight w:val="white"/>
        </w:rPr>
        <w:t xml:space="preserve">The results of operations for Century are included in the condensed consolidated financial statements of the Company from the date of acquisition. Century's </w:t>
      </w:r>
      <w:r>
        <w:rPr>
          <w:rFonts w:ascii="Times New Roman;sans-serif" w:hAnsi="Times New Roman;sans-serif"/>
          <w:b w:val="false"/>
          <w:color w:val="000000"/>
          <w:sz w:val="20"/>
        </w:rPr>
        <w:t>acquired assets generated revenues and net income of $66.3 million and $1.7 million for the three months ended March 31, 2023.</w:t>
      </w:r>
    </w:p>
    <w:p>
      <w:pPr>
        <w:pStyle w:val="TextBody"/>
        <w:spacing w:lineRule="auto" w:line="345"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Pro Forma Results </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pro forma consolidated financial information reflects the results of operations of the Company for the three months ended March 31, 2022 as if the acquisition of Century had occurred as of January 1, 2021, after giving effect to certain purchase accounting adjustments. These amounts are based on available financial information of the acquiree prior to the acquisition date and are not necessarily indicative of what the Company’s operating results would have been had the acquisition actually taken place as of January 1, 2021. This unaudited pro forma information does not project revenues and net income post acquisition (in thousands).</w:t>
      </w:r>
    </w:p>
    <w:tbl>
      <w:tblPr>
        <w:tblW w:w="2871" w:type="dxa"/>
        <w:jc w:val="center"/>
        <w:tblInd w:w="0" w:type="dxa"/>
        <w:tblCellMar>
          <w:top w:w="28" w:type="dxa"/>
          <w:left w:w="28" w:type="dxa"/>
          <w:bottom w:w="28" w:type="dxa"/>
          <w:right w:w="28" w:type="dxa"/>
        </w:tblCellMar>
      </w:tblPr>
      <w:tblGrid>
        <w:gridCol w:w="380"/>
        <w:gridCol w:w="333"/>
        <w:gridCol w:w="336"/>
        <w:gridCol w:w="109"/>
        <w:gridCol w:w="109"/>
        <w:gridCol w:w="284"/>
        <w:gridCol w:w="1113"/>
        <w:gridCol w:w="207"/>
      </w:tblGrid>
      <w:tr>
        <w:trPr/>
        <w:tc>
          <w:tcPr>
            <w:tcW w:w="380"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r>
      <w:tr>
        <w:trPr/>
        <w:tc>
          <w:tcPr>
            <w:tcW w:w="1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1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r>
      <w:tr>
        <w:trPr/>
        <w:tc>
          <w:tcPr>
            <w:tcW w:w="10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196,891 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15,788 </w:t>
            </w:r>
          </w:p>
        </w:tc>
        <w:tc>
          <w:tcPr>
            <w:tcW w:w="2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i/>
          <w:color w:val="000000"/>
          <w:sz w:val="20"/>
          <w:highlight w:val="white"/>
          <w:u w:val="single"/>
        </w:rPr>
      </w:pPr>
      <w:r>
        <w:rPr>
          <w:rFonts w:ascii="Times New Roman;sans-serif" w:hAnsi="Times New Roman;sans-serif"/>
          <w:b w:val="false"/>
          <w:i/>
          <w:color w:val="000000"/>
          <w:sz w:val="20"/>
          <w:highlight w:val="white"/>
          <w:u w:val="single"/>
        </w:rPr>
        <w:t>Consideration Payable</w:t>
      </w:r>
    </w:p>
    <w:p>
      <w:pPr>
        <w:pStyle w:val="TextBody"/>
        <w:spacing w:lineRule="auto" w:line="345" w:before="180" w:after="283"/>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Company has a contingent consideration payable related to certain locations, as defined in each respective acquisition agreement, which are placed into operation during a specified period after the acquisition date. The fair value of contingent consideration is included in the consideration payable on the condensed consolidated balance sheets as of March 31, 2023 and December 31, 2022. The contingent consideration accrued is measured at fair value on a recurring basis. The Company presents on its statement of cash flows, payments for consideration payable within 90-days in investing activities, payments after 90-days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jc w:val="both"/>
        <w:rPr/>
      </w:pPr>
      <w:hyperlink w:anchor="i2e65ffc0a01a49368550f687b81d7587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spacing w:before="240" w:after="283"/>
        <w:rPr/>
      </w:pPr>
      <w:r>
        <w:rPr/>
      </w:r>
    </w:p>
    <w:p>
      <w:pPr>
        <w:pStyle w:val="TextBody"/>
        <w:spacing w:lineRule="auto" w:line="345" w:before="18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and up to the acquisition date fair value in financing activities, and payments in excess of the acquisition date fair value in operating activities. </w:t>
      </w:r>
    </w:p>
    <w:p>
      <w:pPr>
        <w:pStyle w:val="TextBody"/>
        <w:spacing w:lineRule="auto" w:line="288" w:before="180" w:after="283"/>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Current and long-term portions of consideration payable consist of the following at March 31, 2023 and December 31, 2022 (in thousands):</w:t>
      </w:r>
    </w:p>
    <w:tbl>
      <w:tblPr>
        <w:tblW w:w="6465" w:type="dxa"/>
        <w:jc w:val="center"/>
        <w:tblInd w:w="0" w:type="dxa"/>
        <w:tblCellMar>
          <w:top w:w="28" w:type="dxa"/>
          <w:left w:w="28" w:type="dxa"/>
          <w:bottom w:w="28" w:type="dxa"/>
          <w:right w:w="28" w:type="dxa"/>
        </w:tblCellMar>
      </w:tblPr>
      <w:tblGrid>
        <w:gridCol w:w="613"/>
        <w:gridCol w:w="536"/>
        <w:gridCol w:w="54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Long-Term</w:t>
            </w:r>
          </w:p>
        </w:tc>
      </w:tr>
      <w:tr>
        <w:trPr/>
        <w:tc>
          <w:tcPr>
            <w:tcW w:w="1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TAV</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Share Gaming</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Family Amusement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Skyhigh</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4,779 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G3</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VVS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Tom's Amusements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169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Island</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11. Contingent Earnout Share Liability</w:t>
      </w:r>
    </w:p>
    <w:p>
      <w:pPr>
        <w:pStyle w:val="TextBody"/>
        <w:spacing w:lineRule="auto" w:line="345" w:before="180" w:after="283"/>
        <w:ind w:left="0" w:right="0" w:firstLine="450"/>
        <w:jc w:val="both"/>
        <w:rPr/>
      </w:pPr>
      <w:r>
        <w:rPr>
          <w:rFonts w:ascii="Times New Roman;sans-serif" w:hAnsi="Times New Roman;sans-serif"/>
          <w:b w:val="false"/>
          <w:color w:val="222222"/>
          <w:sz w:val="20"/>
        </w:rPr>
        <w:t>P</w:t>
      </w:r>
      <w:r>
        <w:rPr>
          <w:rFonts w:ascii="Times New Roman;sans-serif" w:hAnsi="Times New Roman;sans-serif"/>
          <w:b w:val="false"/>
          <w:color w:val="000000"/>
          <w:sz w:val="20"/>
        </w:rPr>
        <w:t xml:space="preserve">ursuant to the terms of the Company’s Amended and Restated Certificate of Incorporation, the Company authorized and has available for issuance 10,000,000 shares of Class A-2 Common Stock. The holders of the Class A-2 Common Stock do not have voting rights and are not entitled to receive or participate in any dividends or distributions when and if declared from time to time. The Company concluded that the Class A-2 Common Stock should be reflected as a contingent earnout share liability due to the fact that such shares are not entitled to dividends, voting rights, or a stake in the Company in the case of liquidation. </w:t>
      </w:r>
    </w:p>
    <w:p>
      <w:pPr>
        <w:pStyle w:val="TextBody"/>
        <w:spacing w:lineRule="auto" w:line="345"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2019, 5,000,000 shares of Class A-2 Common Stock were issued, subject to the conditions set forth in a restricted stock agreement (the “Restricted Stock Agreement”), which sets forth the terms upon which the Class A-2 Common Stock will be exchanged for an equal number of validly issued, fully paid and non-assessable Class A-1 Common Stock. The exchange of Class A-2 Common Stock for Class A-1 Common Stock will be subject to the terms and conditions set forth in the Restricted Stock Agreement, with such exchanges occurring in three separate tranches upon the satisfaction of the specified triggers, based either on the Company achieving certain last twelve month EBITDA (“LTM EBITDA”) thresholds in certain periods or the closing sale price of Class A-1 Common Stock exceeding certain prices over certain trading periods. </w:t>
      </w:r>
    </w:p>
    <w:p>
      <w:pPr>
        <w:pStyle w:val="TextBody"/>
        <w:spacing w:lineRule="auto" w:line="345"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2020, the market condition for the settlement of Tranche I was satisfied. As a result, 1,666,636 shares of the 1,666,666 shares of Class A-2 Common Stock were converted into Class A-1 Common Stock.</w:t>
      </w:r>
    </w:p>
    <w:p>
      <w:pPr>
        <w:pStyle w:val="TextBody"/>
        <w:spacing w:lineRule="auto" w:line="345"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thresholds, as approved by a disinterested committee of the Company's board of directors made up of independent directors who do not hold any Class A-2 Common Stock, for the remaining two Tranches are as follows:</w:t>
      </w:r>
    </w:p>
    <w:p>
      <w:pPr>
        <w:pStyle w:val="TextBody"/>
        <w:spacing w:lineRule="auto" w:line="345" w:before="180" w:after="283"/>
        <w:ind w:left="0" w:right="0" w:hanging="360"/>
        <w:jc w:val="both"/>
        <w:rPr/>
      </w:pPr>
      <w:r>
        <w:rPr>
          <w:color w:val="000000"/>
        </w:rPr>
        <w:t>•</w:t>
      </w:r>
      <w:r>
        <w:rPr>
          <w:rFonts w:ascii="Times New Roman;sans-serif" w:hAnsi="Times New Roman;sans-serif"/>
          <w:b w:val="false"/>
          <w:color w:val="000000"/>
          <w:sz w:val="20"/>
        </w:rPr>
        <w:t>Tranche II, equal to 1,666,667 shares of Class A-2 Common Stock, will be exchanged for Class A-1 Common Stock if either (i) the LTM EBITDA threshold (A) as of March 31, 2023 is $172.4 million, and (B) as of June 30, 2023 is $177.4 million; (ii) the closing sale price of Class A-1 Common Stock on the New York Stock Exchange (“NYSE”) equals or exceeds $14.00 for at least twenty trading days in any consecutive thirty trading day period; and</w:t>
      </w:r>
    </w:p>
    <w:p>
      <w:pPr>
        <w:pStyle w:val="TextBody"/>
        <w:spacing w:lineRule="auto" w:line="345" w:before="180" w:after="283"/>
        <w:ind w:left="0" w:right="0" w:hanging="360"/>
        <w:jc w:val="both"/>
        <w:rPr/>
      </w:pPr>
      <w:r>
        <w:rPr>
          <w:color w:val="000000"/>
        </w:rPr>
        <w:t>•</w:t>
      </w:r>
      <w:r>
        <w:rPr>
          <w:rFonts w:ascii="Times New Roman;sans-serif" w:hAnsi="Times New Roman;sans-serif"/>
          <w:b w:val="false"/>
          <w:color w:val="000000"/>
          <w:sz w:val="20"/>
        </w:rPr>
        <w:t>Tranche III, equal to 1,666,667 shares of Class A-2 Common Stock, will be exchanged for Class A-1 Common Stock if either (i) the LTM EBITDA threshold (A) as of December 31, 2023 is $198.5 million and (B) March 31, 2024 or June 30, 2024 is $198.6 million or (ii) the closing sale price of Class A-1 Common Stock on the NYSE equals or exceeds $16.00 for at least twenty trading days in any consecutive thirty trading day period.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jc w:val="both"/>
        <w:rPr/>
      </w:pPr>
      <w:hyperlink w:anchor="i2e65ffc0a01a49368550f687b81d7587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spacing w:before="240" w:after="283"/>
        <w:rPr/>
      </w:pPr>
      <w:r>
        <w:rPr/>
      </w:r>
    </w:p>
    <w:p>
      <w:pPr>
        <w:pStyle w:val="TextBody"/>
        <w:spacing w:lineRule="auto" w:line="288" w:before="24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12. Fair Value Measurements</w:t>
      </w:r>
    </w:p>
    <w:p>
      <w:pPr>
        <w:pStyle w:val="TextBody"/>
        <w:spacing w:lineRule="auto" w:line="345" w:before="160" w:after="283"/>
        <w:ind w:left="0" w:right="0" w:firstLine="360"/>
        <w:jc w:val="both"/>
        <w:rPr/>
      </w:pPr>
      <w:r>
        <w:rPr>
          <w:rFonts w:ascii="Times New Roman;sans-serif" w:hAnsi="Times New Roman;sans-serif"/>
          <w:b w:val="false"/>
          <w:color w:val="000000"/>
          <w:sz w:val="20"/>
          <w:highlight w:val="white"/>
        </w:rPr>
        <w:t xml:space="preserve">ASC Topic 820, </w:t>
      </w:r>
      <w:r>
        <w:rPr>
          <w:rFonts w:ascii="Times New Roman;sans-serif" w:hAnsi="Times New Roman;sans-serif"/>
          <w:b w:val="false"/>
          <w:i/>
          <w:color w:val="000000"/>
          <w:sz w:val="20"/>
          <w:highlight w:val="white"/>
        </w:rPr>
        <w:t>Fair Value Measurements and Disclosures,</w:t>
      </w:r>
      <w:r>
        <w:rPr>
          <w:color w:val="000000"/>
          <w:highlight w:val="white"/>
        </w:rPr>
        <w:t xml:space="preserve"> </w:t>
      </w:r>
      <w:r>
        <w:rPr>
          <w:rFonts w:ascii="Times New Roman;sans-serif" w:hAnsi="Times New Roman;sans-serif"/>
          <w:b w:val="false"/>
          <w:color w:val="000000"/>
          <w:sz w:val="20"/>
          <w:highlight w:val="white"/>
        </w:rPr>
        <w:t>establishes a framework for measuring fair value and the corresponding disclosure requirements around fair value measurements. This topic applies to all financial instruments that are being measured and reported on a fair value basis.</w:t>
      </w:r>
    </w:p>
    <w:p>
      <w:pPr>
        <w:pStyle w:val="TextBody"/>
        <w:spacing w:lineRule="auto" w:line="345" w:before="160" w:after="283"/>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Fair value is the price that would be received to sell an asset or paid to transfer a liability in an orderly transaction between market participants at the measurement date. In determining fair value, various methods, including market, income and cost approaches, are used. Based on these approaches, certain assumptions are utilized that the market participants would use in pricing the asset or liability, including assumptions about risk and/or the risks inherent in the inputs to the valuation technique. These inputs can be readily observable, market corroborated, or generally unobservable inputs. Valuation techniques are utilized that maximize the use of observable inputs and minimize the use of unobservable inputs. Based on the observability of the inputs used in the valuation techniques, it is required to provide information according to the fair value hierarchy. The fair value hierarchy ranks the quality and reliability of the information used to determine fair values. Assets and liabilities carried at fair value will be classified and disclosed in one of the following three categories:</w:t>
      </w:r>
    </w:p>
    <w:p>
      <w:pPr>
        <w:pStyle w:val="TextBody"/>
        <w:spacing w:lineRule="auto" w:line="345" w:before="160" w:after="283"/>
        <w:jc w:val="both"/>
        <w:rPr/>
      </w:pPr>
      <w:r>
        <w:rPr>
          <w:rFonts w:ascii="Times New Roman;sans-serif" w:hAnsi="Times New Roman;sans-serif"/>
          <w:b w:val="false"/>
          <w:color w:val="000000"/>
          <w:sz w:val="20"/>
          <w:highlight w:val="white"/>
          <w:u w:val="single"/>
        </w:rPr>
        <w:t>Level 1</w:t>
      </w:r>
      <w:r>
        <w:rPr>
          <w:rFonts w:ascii="Times New Roman;sans-serif" w:hAnsi="Times New Roman;sans-serif"/>
          <w:b w:val="false"/>
          <w:color w:val="000000"/>
          <w:sz w:val="20"/>
          <w:highlight w:val="white"/>
        </w:rPr>
        <w:t>: Valuations for assets and liabilities traded in active exchange markets, such as the New York Stock Exchange. Level 1 also includes U.S. Treasury and federal agency securities and federal agency mortgage-backed securities, which are traded by dealers or brokers in active markets. Valuations are obtained from readily available pricing sources for market transactions involving identical assets or liabilities.</w:t>
      </w:r>
    </w:p>
    <w:p>
      <w:pPr>
        <w:pStyle w:val="TextBody"/>
        <w:spacing w:lineRule="auto" w:line="345" w:before="160" w:after="283"/>
        <w:jc w:val="both"/>
        <w:rPr/>
      </w:pPr>
      <w:r>
        <w:rPr>
          <w:rFonts w:ascii="Times New Roman;sans-serif" w:hAnsi="Times New Roman;sans-serif"/>
          <w:b w:val="false"/>
          <w:color w:val="000000"/>
          <w:sz w:val="20"/>
          <w:highlight w:val="white"/>
          <w:u w:val="single"/>
        </w:rPr>
        <w:t>Level 2</w:t>
      </w:r>
      <w:r>
        <w:rPr>
          <w:rFonts w:ascii="Times New Roman;sans-serif" w:hAnsi="Times New Roman;sans-serif"/>
          <w:b w:val="false"/>
          <w:color w:val="000000"/>
          <w:sz w:val="20"/>
          <w:highlight w:val="white"/>
        </w:rPr>
        <w:t>: Valuations for assets and liabilities traded in less active dealer or broker markets. Valuations are obtained from third-party pricing services for identical or similar assets or liabilities.</w:t>
      </w:r>
    </w:p>
    <w:p>
      <w:pPr>
        <w:pStyle w:val="TextBody"/>
        <w:spacing w:lineRule="auto" w:line="345" w:before="160" w:after="283"/>
        <w:jc w:val="both"/>
        <w:rPr/>
      </w:pPr>
      <w:r>
        <w:rPr>
          <w:rFonts w:ascii="Times New Roman;sans-serif" w:hAnsi="Times New Roman;sans-serif"/>
          <w:b w:val="false"/>
          <w:color w:val="000000"/>
          <w:sz w:val="20"/>
          <w:highlight w:val="white"/>
          <w:u w:val="single"/>
        </w:rPr>
        <w:t>Level 3</w:t>
      </w:r>
      <w:r>
        <w:rPr>
          <w:rFonts w:ascii="Times New Roman;sans-serif" w:hAnsi="Times New Roman;sans-serif"/>
          <w:b w:val="false"/>
          <w:color w:val="000000"/>
          <w:sz w:val="20"/>
          <w:highlight w:val="white"/>
        </w:rPr>
        <w:t>: Valuations for assets and liabilities that are derived from other valuation methodologies, including option pricing models, discounted cash flow models and similar techniques, and not based on market exchange, dealer, or broker traded transactions. Level 3 valuations incorporate certain assumptions and projections in determining the fair value assigned to such assets or liabilities.</w:t>
      </w:r>
    </w:p>
    <w:p>
      <w:pPr>
        <w:pStyle w:val="TextBody"/>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Assets measured at fair value</w:t>
      </w:r>
    </w:p>
    <w:p>
      <w:pPr>
        <w:pStyle w:val="TextBody"/>
        <w:spacing w:lineRule="auto" w:line="345" w:before="180" w:after="283"/>
        <w:ind w:left="0" w:right="0" w:firstLine="27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tables summarize the Company’s assets that are measured at fair value on a recurring basis (in thousands):</w:t>
      </w:r>
    </w:p>
    <w:tbl>
      <w:tblPr>
        <w:tblW w:w="10205" w:type="dxa"/>
        <w:jc w:val="center"/>
        <w:tblInd w:w="0" w:type="dxa"/>
        <w:tblCellMar>
          <w:top w:w="28" w:type="dxa"/>
          <w:left w:w="28" w:type="dxa"/>
          <w:bottom w:w="28" w:type="dxa"/>
          <w:right w:w="28" w:type="dxa"/>
        </w:tblCellMar>
      </w:tblPr>
      <w:tblGrid>
        <w:gridCol w:w="592"/>
        <w:gridCol w:w="521"/>
        <w:gridCol w:w="528"/>
        <w:gridCol w:w="226"/>
        <w:gridCol w:w="776"/>
        <w:gridCol w:w="117"/>
        <w:gridCol w:w="109"/>
        <w:gridCol w:w="109"/>
        <w:gridCol w:w="109"/>
        <w:gridCol w:w="687"/>
        <w:gridCol w:w="1325"/>
        <w:gridCol w:w="357"/>
        <w:gridCol w:w="111"/>
        <w:gridCol w:w="111"/>
        <w:gridCol w:w="111"/>
        <w:gridCol w:w="435"/>
        <w:gridCol w:w="1486"/>
        <w:gridCol w:w="225"/>
        <w:gridCol w:w="111"/>
        <w:gridCol w:w="111"/>
        <w:gridCol w:w="111"/>
        <w:gridCol w:w="373"/>
        <w:gridCol w:w="1278"/>
        <w:gridCol w:w="286"/>
      </w:tblGrid>
      <w:tr>
        <w:trPr/>
        <w:tc>
          <w:tcPr>
            <w:tcW w:w="592"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16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8"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Reporting Date Using</w:t>
            </w:r>
          </w:p>
        </w:tc>
      </w:tr>
      <w:tr>
        <w:trPr/>
        <w:tc>
          <w:tcPr>
            <w:tcW w:w="16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Quoted Prices in Active Markets for Identical Assets </w:t>
              <w:br/>
              <w:t>(Level 1)</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w:t>
            </w:r>
          </w:p>
        </w:tc>
      </w:tr>
      <w:tr>
        <w:trPr/>
        <w:tc>
          <w:tcPr>
            <w:tcW w:w="164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convertible notes</w:t>
            </w:r>
          </w:p>
        </w:tc>
        <w:tc>
          <w:tcPr>
            <w:tcW w:w="226"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32,065 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5" w:type="dxa"/>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6" w:type="dxa"/>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8"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32,065 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r>
              <w:rPr>
                <w:rFonts w:ascii="Times New Roman;sans-serif" w:hAnsi="Times New Roman;sans-serif"/>
                <w:b w:val="false"/>
                <w:color w:val="000000"/>
                <w:sz w:val="20"/>
              </w:rPr>
              <w:t>Interest rate caplets</w:t>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16,676 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16,676 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48,741 </w:t>
            </w:r>
          </w:p>
        </w:tc>
        <w:tc>
          <w:tcPr>
            <w:tcW w:w="11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5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16,676 </w:t>
            </w:r>
          </w:p>
        </w:tc>
        <w:tc>
          <w:tcPr>
            <w:tcW w:w="22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32,065 </w:t>
            </w:r>
          </w:p>
        </w:tc>
        <w:tc>
          <w:tcPr>
            <w:tcW w:w="28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jc w:val="both"/>
        <w:rPr/>
      </w:pPr>
      <w:hyperlink w:anchor="i2e65ffc0a01a49368550f687b81d7587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spacing w:before="240" w:after="283"/>
        <w:rPr/>
      </w:pPr>
      <w:r>
        <w:rPr/>
      </w:r>
    </w:p>
    <w:tbl>
      <w:tblPr>
        <w:tblW w:w="10205" w:type="dxa"/>
        <w:jc w:val="center"/>
        <w:tblInd w:w="0" w:type="dxa"/>
        <w:tblCellMar>
          <w:top w:w="28" w:type="dxa"/>
          <w:left w:w="28" w:type="dxa"/>
          <w:bottom w:w="28" w:type="dxa"/>
          <w:right w:w="28" w:type="dxa"/>
        </w:tblCellMar>
      </w:tblPr>
      <w:tblGrid>
        <w:gridCol w:w="587"/>
        <w:gridCol w:w="517"/>
        <w:gridCol w:w="523"/>
        <w:gridCol w:w="243"/>
        <w:gridCol w:w="833"/>
        <w:gridCol w:w="125"/>
        <w:gridCol w:w="109"/>
        <w:gridCol w:w="109"/>
        <w:gridCol w:w="109"/>
        <w:gridCol w:w="677"/>
        <w:gridCol w:w="1305"/>
        <w:gridCol w:w="351"/>
        <w:gridCol w:w="111"/>
        <w:gridCol w:w="111"/>
        <w:gridCol w:w="111"/>
        <w:gridCol w:w="431"/>
        <w:gridCol w:w="1475"/>
        <w:gridCol w:w="223"/>
        <w:gridCol w:w="111"/>
        <w:gridCol w:w="111"/>
        <w:gridCol w:w="111"/>
        <w:gridCol w:w="370"/>
        <w:gridCol w:w="1267"/>
        <w:gridCol w:w="285"/>
      </w:tblGrid>
      <w:tr>
        <w:trPr/>
        <w:tc>
          <w:tcPr>
            <w:tcW w:w="587"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475"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r>
      <w:tr>
        <w:trPr/>
        <w:tc>
          <w:tcPr>
            <w:tcW w:w="16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0"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Reporting Date Using</w:t>
            </w:r>
          </w:p>
        </w:tc>
      </w:tr>
      <w:tr>
        <w:trPr/>
        <w:tc>
          <w:tcPr>
            <w:tcW w:w="16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w:t>
              <w:br/>
              <w:t> (Level 1)</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w:t>
            </w:r>
          </w:p>
        </w:tc>
      </w:tr>
      <w:tr>
        <w:trPr/>
        <w:tc>
          <w:tcPr>
            <w:tcW w:w="162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convertible notes</w:t>
            </w:r>
          </w:p>
        </w:tc>
        <w:tc>
          <w:tcPr>
            <w:tcW w:w="24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32,065 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5"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5"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32,065 </w:t>
            </w:r>
          </w:p>
        </w:tc>
        <w:tc>
          <w:tcPr>
            <w:tcW w:w="2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r>
              <w:rPr>
                <w:rFonts w:ascii="Times New Roman;sans-serif" w:hAnsi="Times New Roman;sans-serif"/>
                <w:b w:val="false"/>
                <w:color w:val="000000"/>
                <w:sz w:val="20"/>
              </w:rPr>
              <w:t>Interest rate caplets</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19,919 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19,919 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51,984 </w:t>
            </w:r>
          </w:p>
        </w:tc>
        <w:tc>
          <w:tcPr>
            <w:tcW w:w="12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5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19,919 </w:t>
            </w:r>
          </w:p>
        </w:tc>
        <w:tc>
          <w:tcPr>
            <w:tcW w:w="22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32,065 </w:t>
            </w:r>
          </w:p>
        </w:tc>
        <w:tc>
          <w:tcPr>
            <w:tcW w:w="28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45" w:before="16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 in convertible notes</w:t>
      </w:r>
    </w:p>
    <w:p>
      <w:pPr>
        <w:pStyle w:val="TextBody"/>
        <w:spacing w:lineRule="auto" w:line="345" w:before="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 4, on July 30, 2021, the Company provided notice to Gold Rush that it was exercising its rights to convert the convertible notes into common stock of Gold Rush, subject to approval from the IGB to transfer the common stock to the Company. Accordingly, beginning in the third quarter of 2021, given the pending request for regulatory approval on the transfer of equity interest, the fair value of the convertible notes was estimated using a probability-weighted approach. Assuming regulatory approval was received, the fair value of the convertible notes was estimated on an as-converted basis by multiplying the equity value of Gold Rush by the ownership percentage as calculated pursuant to the terms of the convertible note agreements. In the scenario where regulatory approval was not received, the fair value of the convertible notes was estimated using a discounted cash flow approach assuming the Company would request immediate redemption of the principal and accrued interest and the discount rate was estimated based on comparable public debt rates. This assumption did not consider legal claims the Company may have under the convertible notes to receive the economic value of the conversion shares, even if transfer of the actual ownership interest in Gold Rush to Accel was not approved by the IGB. After the IGB Administrator’s denial of the transfer of the equity interest on December 2, 2021, the Company concluded that the fair value of the convertible notes should be calculated as principal plus interest accrued as of December 31, 2021. The Company has considered interest as an input to the accounting fair value for all periods and periodically reevaluates its impact, if any, based on developments including the pending lawsuit against Gold Rush. For the avoidance of doubt, this fair value is less than what Accel maintains Gold Rush owes Accel under the convertible notes, but is consistent with ASC Topic 820. This valuation of the Company's investment in convertible notes is considered to be a Level 3 fair value measurement as the significant inputs are unobservable and the Company is pursuing its legal remedies with respect to the amounts owed by Gold Rush. </w:t>
      </w:r>
    </w:p>
    <w:p>
      <w:pPr>
        <w:pStyle w:val="TextBody"/>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caplets</w:t>
      </w:r>
    </w:p>
    <w:p>
      <w:pPr>
        <w:pStyle w:val="TextBody"/>
        <w:spacing w:lineRule="auto" w:line="345" w:before="80" w:after="283"/>
        <w:ind w:left="0" w:right="0" w:firstLine="360"/>
        <w:jc w:val="both"/>
        <w:rPr/>
      </w:pPr>
      <w:r>
        <w:rPr>
          <w:rFonts w:ascii="Times New Roman;sans-serif" w:hAnsi="Times New Roman;sans-serif"/>
          <w:b w:val="false"/>
          <w:color w:val="000000"/>
          <w:sz w:val="20"/>
          <w:highlight w:val="white"/>
        </w:rPr>
        <w:t>The Company determines the fair value of the interest rate</w:t>
      </w:r>
      <w:r>
        <w:rPr>
          <w:color w:val="000000"/>
        </w:rPr>
        <w:t xml:space="preserve"> </w:t>
      </w:r>
      <w:r>
        <w:rPr>
          <w:rFonts w:ascii="Times New Roman;sans-serif" w:hAnsi="Times New Roman;sans-serif"/>
          <w:b w:val="false"/>
          <w:color w:val="000000"/>
          <w:sz w:val="20"/>
        </w:rPr>
        <w:t>caplets using quotes that are based on models whose inputs are observable LIBOR forward interest rate curves. The valuation of the interest rate caplets is considered to be a Level 2 fair value measurement as the significant inputs are observable.</w:t>
      </w:r>
      <w:r>
        <w:rPr>
          <w:color w:val="000000"/>
          <w:highlight w:val="white"/>
        </w:rPr>
        <w:t xml:space="preserve"> </w:t>
      </w:r>
      <w:r>
        <w:rPr>
          <w:rFonts w:ascii="Times New Roman;sans-serif" w:hAnsi="Times New Roman;sans-serif"/>
          <w:b w:val="false"/>
          <w:color w:val="000000"/>
          <w:sz w:val="20"/>
          <w:highlight w:val="white"/>
        </w:rPr>
        <w:t xml:space="preserve">Unrealized changes in the fair value of interest rate caplets are classified within other comprehensive income on the accompanying condensed consolidated statements of operations and comprehensive income. Realized gains on the interest rate caplets are recorded to interest expense, net on the accompanying condensed consolidated statements of operations and comprehensive income and included within cash payments for interest, net on the condensed consolidated statements of cash flow. </w:t>
      </w:r>
    </w:p>
    <w:p>
      <w:pPr>
        <w:pStyle w:val="TextBody"/>
        <w:spacing w:lineRule="auto" w:line="345" w:before="180" w:after="283"/>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Liabilities measured at fair value</w:t>
      </w:r>
    </w:p>
    <w:p>
      <w:pPr>
        <w:pStyle w:val="TextBody"/>
        <w:spacing w:lineRule="auto" w:line="345" w:before="180" w:after="283"/>
        <w:ind w:left="0" w:right="0" w:firstLine="27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tables summarizes the Company’s liabilities that are measured at fair value on a recurring basis (in thousands):</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jc w:val="both"/>
        <w:rPr/>
      </w:pPr>
      <w:hyperlink w:anchor="i2e65ffc0a01a49368550f687b81d7587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spacing w:before="240" w:after="283"/>
        <w:rPr/>
      </w:pPr>
      <w:r>
        <w:rPr/>
      </w:r>
    </w:p>
    <w:tbl>
      <w:tblPr>
        <w:tblW w:w="10205" w:type="dxa"/>
        <w:jc w:val="center"/>
        <w:tblInd w:w="0" w:type="dxa"/>
        <w:tblCellMar>
          <w:top w:w="28" w:type="dxa"/>
          <w:left w:w="28" w:type="dxa"/>
          <w:bottom w:w="28" w:type="dxa"/>
          <w:right w:w="28" w:type="dxa"/>
        </w:tblCellMar>
      </w:tblPr>
      <w:tblGrid>
        <w:gridCol w:w="569"/>
        <w:gridCol w:w="500"/>
        <w:gridCol w:w="505"/>
        <w:gridCol w:w="225"/>
        <w:gridCol w:w="772"/>
        <w:gridCol w:w="116"/>
        <w:gridCol w:w="109"/>
        <w:gridCol w:w="109"/>
        <w:gridCol w:w="109"/>
        <w:gridCol w:w="734"/>
        <w:gridCol w:w="1415"/>
        <w:gridCol w:w="381"/>
        <w:gridCol w:w="112"/>
        <w:gridCol w:w="112"/>
        <w:gridCol w:w="112"/>
        <w:gridCol w:w="425"/>
        <w:gridCol w:w="1453"/>
        <w:gridCol w:w="220"/>
        <w:gridCol w:w="112"/>
        <w:gridCol w:w="112"/>
        <w:gridCol w:w="112"/>
        <w:gridCol w:w="403"/>
        <w:gridCol w:w="1179"/>
        <w:gridCol w:w="309"/>
      </w:tblGrid>
      <w:tr>
        <w:trPr/>
        <w:tc>
          <w:tcPr>
            <w:tcW w:w="569"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41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45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r>
      <w:tr>
        <w:trPr/>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1"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Reporting Date Using</w:t>
            </w:r>
          </w:p>
        </w:tc>
      </w:tr>
      <w:tr>
        <w:trPr/>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 (Level 1)</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w:t>
            </w:r>
          </w:p>
        </w:tc>
      </w:tr>
      <w:tr>
        <w:trPr/>
        <w:tc>
          <w:tcPr>
            <w:tcW w:w="15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22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5"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3"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9,515 </w:t>
            </w:r>
          </w:p>
        </w:tc>
        <w:tc>
          <w:tcPr>
            <w:tcW w:w="3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shares</w:t>
            </w:r>
          </w:p>
        </w:tc>
        <w:tc>
          <w:tcPr>
            <w:tcW w:w="99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27,890 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9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27,903 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9,515 </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566"/>
        <w:gridCol w:w="497"/>
        <w:gridCol w:w="502"/>
        <w:gridCol w:w="241"/>
        <w:gridCol w:w="825"/>
        <w:gridCol w:w="124"/>
        <w:gridCol w:w="109"/>
        <w:gridCol w:w="109"/>
        <w:gridCol w:w="109"/>
        <w:gridCol w:w="725"/>
        <w:gridCol w:w="1398"/>
        <w:gridCol w:w="376"/>
        <w:gridCol w:w="112"/>
        <w:gridCol w:w="112"/>
        <w:gridCol w:w="112"/>
        <w:gridCol w:w="421"/>
        <w:gridCol w:w="1440"/>
        <w:gridCol w:w="218"/>
        <w:gridCol w:w="112"/>
        <w:gridCol w:w="112"/>
        <w:gridCol w:w="112"/>
        <w:gridCol w:w="399"/>
        <w:gridCol w:w="1167"/>
        <w:gridCol w:w="307"/>
      </w:tblGrid>
      <w:tr>
        <w:trPr/>
        <w:tc>
          <w:tcPr>
            <w:tcW w:w="566"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398"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r>
      <w:tr>
        <w:trPr/>
        <w:tc>
          <w:tcPr>
            <w:tcW w:w="1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3"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Reporting Date Using</w:t>
            </w:r>
          </w:p>
        </w:tc>
      </w:tr>
      <w:tr>
        <w:trPr/>
        <w:tc>
          <w:tcPr>
            <w:tcW w:w="1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 (Level 1)</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w:t>
            </w:r>
          </w:p>
        </w:tc>
      </w:tr>
      <w:tr>
        <w:trPr/>
        <w:tc>
          <w:tcPr>
            <w:tcW w:w="15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24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0"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9,543 </w:t>
            </w:r>
          </w:p>
        </w:tc>
        <w:tc>
          <w:tcPr>
            <w:tcW w:w="3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shares</w:t>
            </w:r>
          </w:p>
        </w:tc>
        <w:tc>
          <w:tcPr>
            <w:tcW w:w="10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23,288 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23,288 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10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32,844 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23,301 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9,543 </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45" w:before="180" w:after="283"/>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Contingent Consideration</w:t>
      </w:r>
    </w:p>
    <w:p>
      <w:pPr>
        <w:pStyle w:val="TextBody"/>
        <w:spacing w:lineRule="auto" w:line="345" w:before="180" w:after="283"/>
        <w:ind w:left="0" w:right="0" w:firstLine="360"/>
        <w:jc w:val="both"/>
        <w:rPr/>
      </w:pPr>
      <w:r>
        <w:rPr>
          <w:rFonts w:ascii="Times New Roman;sans-serif" w:hAnsi="Times New Roman;sans-serif"/>
          <w:b w:val="false"/>
          <w:color w:val="000000"/>
          <w:sz w:val="20"/>
          <w:highlight w:val="white"/>
        </w:rPr>
        <w:t xml:space="preserve">The Company uses a discounted cash flow analysis to determine the value of contingent consideration upon acquisition and updates this estimate on a recurring basis. The significant assumptions in the Company's cash flow analysis includes the probability adjusted projected revenues after state taxes, a discount rate as applicable to each acquisition, and the estimated number of locations that “go live” with the Company during the contingent consideration </w:t>
      </w:r>
      <w:r>
        <w:rPr>
          <w:rFonts w:ascii="Times New Roman;sans-serif" w:hAnsi="Times New Roman;sans-serif"/>
          <w:b w:val="false"/>
          <w:color w:val="000000"/>
          <w:sz w:val="20"/>
        </w:rPr>
        <w:t xml:space="preserve">period. The valuation of the Company's contingent consideration is considered to be a Level 3 fair value measurement as the significant inputs are unobservable and require significant judgment or estimation. </w:t>
      </w:r>
      <w:r>
        <w:rPr>
          <w:rFonts w:ascii="Times New Roman;sans-serif" w:hAnsi="Times New Roman;sans-serif"/>
          <w:b w:val="false"/>
          <w:color w:val="000000"/>
          <w:sz w:val="20"/>
          <w:highlight w:val="white"/>
        </w:rPr>
        <w:t>Changes in the fair value of contingent consideration liabilities are classified within other expenses, net on the accompanying condensed consolidated statements of operations and comprehensive income.</w:t>
      </w:r>
    </w:p>
    <w:p>
      <w:pPr>
        <w:pStyle w:val="TextBody"/>
        <w:spacing w:lineRule="auto" w:line="345" w:before="180" w:after="283"/>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Contingent earnout shares</w:t>
      </w:r>
    </w:p>
    <w:p>
      <w:pPr>
        <w:pStyle w:val="TextBody"/>
        <w:spacing w:lineRule="auto" w:line="345" w:before="180" w:after="283"/>
        <w:ind w:left="0" w:right="0" w:firstLine="360"/>
        <w:jc w:val="both"/>
        <w:rPr/>
      </w:pPr>
      <w:r>
        <w:rPr>
          <w:rFonts w:ascii="Times New Roman;sans-serif" w:hAnsi="Times New Roman;sans-serif"/>
          <w:b w:val="false"/>
          <w:color w:val="000000"/>
          <w:sz w:val="20"/>
          <w:highlight w:val="white"/>
        </w:rPr>
        <w:t xml:space="preserve">The Company determined the fair value of the contingent earnout shares based on the market price of the Company's A-1 Common Stock. The liability, by tranche, is then stated at present value based on i) an interest rate derived from the Company's borrowing rate and the applicable risk-free rate and ii) an estimate on when it expects the contingent earnout shares to convert to A-1 Common Stock. </w:t>
      </w:r>
      <w:r>
        <w:rPr>
          <w:rFonts w:ascii="Times New Roman;sans-serif" w:hAnsi="Times New Roman;sans-serif"/>
          <w:b w:val="false"/>
          <w:color w:val="000000"/>
          <w:sz w:val="20"/>
        </w:rPr>
        <w:t xml:space="preserve">The valuation of the Company's contingent consideration is considered to be a Level 2 fair value measurement. </w:t>
      </w:r>
      <w:r>
        <w:rPr>
          <w:rFonts w:ascii="Times New Roman;sans-serif" w:hAnsi="Times New Roman;sans-serif"/>
          <w:b w:val="false"/>
          <w:color w:val="000000"/>
          <w:sz w:val="20"/>
          <w:highlight w:val="white"/>
        </w:rPr>
        <w:t xml:space="preserve">Changes in the fair value of contingent earnout shares are included within loss (gain) on change in fair value of contingent earnout shares on the accompanying condensed consolidated </w:t>
      </w:r>
      <w:r>
        <w:rPr>
          <w:rFonts w:ascii="Times New Roman;sans-serif" w:hAnsi="Times New Roman;sans-serif"/>
          <w:b w:val="false"/>
          <w:color w:val="000000"/>
          <w:sz w:val="20"/>
        </w:rPr>
        <w:t>statements of operations and comprehensive income.</w:t>
      </w:r>
    </w:p>
    <w:p>
      <w:pPr>
        <w:pStyle w:val="TextBody"/>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Warrants</w:t>
      </w:r>
    </w:p>
    <w:p>
      <w:pPr>
        <w:pStyle w:val="TextBody"/>
        <w:spacing w:lineRule="auto" w:line="345" w:before="180" w:after="283"/>
        <w:ind w:left="0" w:right="0" w:firstLine="360"/>
        <w:jc w:val="both"/>
        <w:rPr/>
      </w:pPr>
      <w:r>
        <w:rPr>
          <w:rFonts w:ascii="Times New Roman;sans-serif" w:hAnsi="Times New Roman;sans-serif"/>
          <w:b w:val="false"/>
          <w:color w:val="000000"/>
          <w:sz w:val="20"/>
        </w:rPr>
        <w:t xml:space="preserve">The Company has 5,144 warrants outstanding as of March 31, 2023, the liability for which is included in other long-term liabilities on the condensed consolidated balance sheets. </w:t>
      </w:r>
      <w:r>
        <w:rPr>
          <w:rFonts w:ascii="Times New Roman;sans-serif" w:hAnsi="Times New Roman;sans-serif"/>
          <w:b w:val="false"/>
          <w:color w:val="000000"/>
          <w:sz w:val="20"/>
          <w:highlight w:val="white"/>
        </w:rPr>
        <w:t xml:space="preserve">The Company determined the </w:t>
      </w:r>
      <w:r>
        <w:rPr>
          <w:rFonts w:ascii="Times New Roman;sans-serif" w:hAnsi="Times New Roman;sans-serif"/>
          <w:b w:val="false"/>
          <w:color w:val="000000"/>
          <w:sz w:val="20"/>
        </w:rPr>
        <w:t xml:space="preserve">fair value of its warrants by using a Black-Scholes option-pricing model. The Black-Scholes option-pricing model requires inputs such as the fair value of the Company's A-1 Common Stock, the risk-free interest rate, expected term, expected dividend yield and expected volatility. The Company's valuation of its warrants is considered to be a Level 2 fair value measurement. </w:t>
      </w:r>
      <w:r>
        <w:rPr>
          <w:rFonts w:ascii="Times New Roman;sans-serif" w:hAnsi="Times New Roman;sans-serif"/>
          <w:b w:val="false"/>
          <w:color w:val="000000"/>
          <w:sz w:val="20"/>
          <w:highlight w:val="white"/>
        </w:rPr>
        <w:t xml:space="preserve">Changes in the fair value of the warrants are included within gain on change in fair value of warrants on the accompanying condensed consolidated </w:t>
      </w:r>
      <w:r>
        <w:rPr>
          <w:rFonts w:ascii="Times New Roman;sans-serif" w:hAnsi="Times New Roman;sans-serif"/>
          <w:b w:val="false"/>
          <w:color w:val="000000"/>
          <w:sz w:val="20"/>
        </w:rPr>
        <w:t xml:space="preserve">statements of operations and comprehensive income, if applicable. There was no change in the fair value </w:t>
      </w:r>
      <w:r>
        <w:rPr>
          <w:rFonts w:ascii="Times New Roman;sans-serif" w:hAnsi="Times New Roman;sans-serif"/>
          <w:b w:val="false"/>
          <w:color w:val="000000"/>
          <w:sz w:val="20"/>
          <w:highlight w:val="white"/>
        </w:rPr>
        <w:t xml:space="preserve">of the warrants </w:t>
      </w:r>
      <w:r>
        <w:rPr>
          <w:rFonts w:ascii="Times New Roman;sans-serif" w:hAnsi="Times New Roman;sans-serif"/>
          <w:b w:val="false"/>
          <w:color w:val="000000"/>
          <w:sz w:val="20"/>
        </w:rPr>
        <w:t>for the three months ended March 31, 2023 and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jc w:val="both"/>
        <w:rPr/>
      </w:pPr>
      <w:hyperlink w:anchor="i2e65ffc0a01a49368550f687b81d7587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spacing w:before="240" w:after="283"/>
        <w:rPr/>
      </w:pPr>
      <w:r>
        <w:rPr/>
      </w:r>
    </w:p>
    <w:p>
      <w:pPr>
        <w:pStyle w:val="TextBody"/>
        <w:spacing w:lineRule="auto" w:line="288" w:before="24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13. Stockholders’ Equity</w:t>
      </w:r>
    </w:p>
    <w:p>
      <w:pPr>
        <w:pStyle w:val="TextBody"/>
        <w:spacing w:lineRule="auto" w:line="345" w:before="180" w:after="100"/>
        <w:ind w:left="0" w:right="0" w:firstLine="360"/>
        <w:jc w:val="both"/>
        <w:rPr/>
      </w:pPr>
      <w:r>
        <w:rPr>
          <w:rFonts w:ascii="Times New Roman;sans-serif" w:hAnsi="Times New Roman;sans-serif"/>
          <w:b w:val="false"/>
          <w:color w:val="222222"/>
          <w:sz w:val="20"/>
        </w:rPr>
        <w:t>P</w:t>
      </w:r>
      <w:r>
        <w:rPr>
          <w:rFonts w:ascii="Times New Roman;sans-serif" w:hAnsi="Times New Roman;sans-serif"/>
          <w:b w:val="false"/>
          <w:color w:val="000000"/>
          <w:sz w:val="20"/>
        </w:rPr>
        <w:t xml:space="preserve">ursuant to the terms of the Company’s Amended and Restated Certificate of Incorporation, the Company authorized and has available for issuance the following shares: </w:t>
      </w:r>
    </w:p>
    <w:p>
      <w:pPr>
        <w:pStyle w:val="TextBody"/>
        <w:spacing w:lineRule="auto" w:line="345" w:before="180" w:after="10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A-1 Common Stock</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the Class A-1 Common Stock are entitled to one vote for each share. The holders of Class A-1 Common Stock are entitled to receive dividends or other distributions when and if declared from time to time and share equally on a per share basis in such dividends and distributions, subject to such rights of the holders of preferred stock.</w:t>
      </w:r>
    </w:p>
    <w:p>
      <w:pPr>
        <w:pStyle w:val="TextBody"/>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Treasury Stock</w:t>
      </w:r>
    </w:p>
    <w:p>
      <w:pPr>
        <w:pStyle w:val="TextBody"/>
        <w:spacing w:lineRule="auto" w:line="345" w:before="180" w:after="283"/>
        <w:ind w:left="0" w:right="0" w:firstLine="360"/>
        <w:jc w:val="both"/>
        <w:rPr/>
      </w:pPr>
      <w:r>
        <w:rPr>
          <w:rFonts w:ascii="Times New Roman;sans-serif" w:hAnsi="Times New Roman;sans-serif"/>
          <w:b w:val="false"/>
          <w:color w:val="000000"/>
          <w:sz w:val="20"/>
        </w:rPr>
        <w:t xml:space="preserve">On November 22, 2021, the Company’s Board of Directors approved a share repurchase program of up to $200 million of shares of common stock. The timing and actual number of shares repurchased will depend on a variety of factors, including price, general business and market conditions, and alternative investment opportunities. Under the repurchase program, repurchases can be made from time to time using a variety of methods, including open market purchases or privately negotiated transactions, in compliance with the rules of the United States Securities and Exchange Commission and other applicable legal requirements. The repurchase program does not obligate the Company to acquire any particular amount of shares, and the repurchase program may be suspended or discontinued at any time at the Company’s discretion. As of </w:t>
      </w:r>
      <w:r>
        <w:rPr>
          <w:rFonts w:ascii="Times New Roman;sans-serif" w:hAnsi="Times New Roman;sans-serif"/>
          <w:b w:val="false"/>
          <w:color w:val="000000"/>
          <w:sz w:val="20"/>
          <w:highlight w:val="white"/>
        </w:rPr>
        <w:t xml:space="preserve">March 31, 2023, the Company purchased a total of 8,822,001 shares under the plan at a total cost of $92.2 million, of which 476,718 shares at a cost of $4.2 million were purchased during the </w:t>
      </w:r>
      <w:r>
        <w:rPr>
          <w:rFonts w:ascii="Times New Roman;sans-serif" w:hAnsi="Times New Roman;sans-serif"/>
          <w:b w:val="false"/>
          <w:color w:val="000000"/>
          <w:sz w:val="20"/>
        </w:rPr>
        <w:t>three months ended March 31, 2023</w:t>
      </w:r>
      <w:r>
        <w:rPr>
          <w:rFonts w:ascii="Times New Roman;sans-serif" w:hAnsi="Times New Roman;sans-serif"/>
          <w:b w:val="false"/>
          <w:color w:val="000000"/>
          <w:sz w:val="20"/>
          <w:highlight w:val="white"/>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14. Stock-based Compensation</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grants various types of stock-based compensation awards. The Company measures its stock-based compensation expense based on the grant date fair value of the award and recognizes the expense over the requisite service period for the respective award. </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Accel Entertainment, Inc. Long Term Incentive Plan, the Company issued 356,786 restricted stock units (“RSUs”) to the Board of Directors and certain eligible employees during the first quarter of 2023, which will vest over a period of 3 years for employees and a period of approximately 9 months for Board of Directors. The Company also issued 182,494 performance-based restricted stock units (“PSUs”) to certain eligible employees during the first quarter of 2023, which will vest after 3 years. The numbers of shares earned upon vesting of the PSUs, if any, is based on the attainment of performance goals over the performance period, subject to continued service, except for employees who are retirement eligible and in certain other limited circumstances. The estimated grant date fair value of these RSUs and PSUs totaled $4.8 million. </w:t>
      </w:r>
    </w:p>
    <w:p>
      <w:pPr>
        <w:pStyle w:val="TextBody"/>
        <w:spacing w:lineRule="auto" w:line="345" w:before="180" w:after="283"/>
        <w:ind w:left="0" w:right="0" w:firstLine="360"/>
        <w:jc w:val="both"/>
        <w:rPr/>
      </w:pPr>
      <w:r>
        <w:rPr>
          <w:rFonts w:ascii="Times New Roman;sans-serif" w:hAnsi="Times New Roman;sans-serif"/>
          <w:b w:val="false"/>
          <w:color w:val="000000"/>
          <w:sz w:val="20"/>
        </w:rPr>
        <w:t xml:space="preserve">Stock-based compensation expense, which pertains to the Company’s stock options, RSUs and PSUs, was $1.7 million and $1.6 million for the three months ended March 31, 2023, and 2022, respectively. Stock-based compensation expense is included within </w:t>
      </w:r>
      <w:r>
        <w:rPr>
          <w:rFonts w:ascii="Times New Roman;sans-serif" w:hAnsi="Times New Roman;sans-serif"/>
          <w:b w:val="false"/>
          <w:color w:val="000000"/>
          <w:sz w:val="20"/>
          <w:highlight w:val="white"/>
        </w:rPr>
        <w:t>general and administrative expenses in the condensed consolidated statements of operations and other comprehensive income.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15. Income Taxes</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income tax expense of $6.0 million and $4.8 million for the three months ended March 31, 2023 and 2022, respectively. </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calculates its provision for income taxes during interim reporting periods by applying an estimate of the annual effective tax rate to its year-to-date pretax book income or loss. The effective tax rate (income taxes as a percentage of income before income taxes) was 39.5% and 23.4% for the three months ended March 31, 2023 and 2022, respectively. The Company’s effective income tax rate can vary from period to period depending on, among other factors, the amount of permanent tax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jc w:val="both"/>
        <w:rPr/>
      </w:pPr>
      <w:hyperlink w:anchor="i2e65ffc0a01a49368550f687b81d7587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spacing w:before="240" w:after="283"/>
        <w:rPr/>
      </w:pPr>
      <w:r>
        <w:rPr/>
      </w:r>
    </w:p>
    <w:p>
      <w:pPr>
        <w:pStyle w:val="TextBody"/>
        <w:spacing w:lineRule="auto" w:line="345"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adjustments and discrete items. The change in the fair value of the contingent earnout shares is considered a discrete item for tax purposes and was the primary driver for the fluctuations in the tax rate year over year.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16. Commitments and Contingencies</w:t>
      </w:r>
    </w:p>
    <w:p>
      <w:pPr>
        <w:pStyle w:val="TextBody"/>
        <w:spacing w:lineRule="auto" w:line="345" w:before="180" w:after="283"/>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Lawsuits and claims are filed against the Company from time to time in the ordinary course of business, including related to employee matters, employment of professionals and non-compete clauses and agreements. Other than settled matters explained as follows, these actions are in various stages, and no judgments or decisions have been rendered. Management, after reviewing matters with legal counsel, believes that the outcome of such matters will not have a material adverse effect on the Company’s financial position or results of operations.</w:t>
      </w:r>
    </w:p>
    <w:p>
      <w:pPr>
        <w:pStyle w:val="TextBody"/>
        <w:spacing w:lineRule="auto" w:line="345" w:before="18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Accel has been involved in a series of related litigated matters stemming from claims that Accel wrongly contracted with 10 different licensed establishments (the “Defendant Establishments”) in 2012 in violation of the contractual rights held by J&amp;J Ventures Gaming, LLC (“J&amp;J”), as further described below.</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21, 2012, one of the Company’s operating subsidiaries entered into certain agreements with Jason Rowell (“Rowell”), a member of Action Gaming LLC (“Action Gaming”), which was an unlicensed terminal operator that had exclusive rights to place and operate gaming terminals within a number of establishments, including the Defendant Establishments. Under agreements with Rowell, the Company agreed to pay him for each licensed establishment which decided to enter into an exclusive location agreement with Accel. In late August and early September 2012, each of the Defendant Establishments signed a separate location agreement with the Company, purporting to grant the Company the exclusive right to operate gaming terminals in those establishments. Separately, on August 24, 2012, Action Gaming sold and assigned its rights to all its location agreements to J&amp;J, including its exclusive rights with the Defendant Establishments (the “J&amp;J Assigned Agreements”). At the time of the assignment of such rights to J&amp;J, the Defendant Establishments were not yet licensed by the IGB.</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Action Gaming, J&amp;J, and other parties, collectively, the Plaintiffs, filed a complaint against the Company, Rowell, and other parties in the Circuit Court of Cook County, Illinois (the “Circuit Court”), on August 31, 2012, as amended on November 1, 2012, December 19, 2012, and October 3, 2013, alleging, among other things, that Accel aided and abetted Rowell in breaches of his fiduciary duties and contractual obligations with Action Gaming and tortiously interfered with Action Gaming’s contracts with Rowell and agreements assigned to J&amp;J. The complaint seeks damages and injunctive and equitable relief. On January 24, 2018, the Company filed a motion to dismiss for lack of subject matter jurisdiction, as further described below. On May 14, 2018, the Circuit Court denied the Company’s motion to dismiss and granted a stay to the case, pending a ruling from the IGB on the validity of the J&amp;J Assigned Agreements.</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2013 to 2015, the Plaintiffs filed additional claims, including J&amp;J Ventures Gaming, LLC et al. v. Wild, Inc. (“Wild”), in various circuit courts seeking declaratory judgments with a number of establishments, including each of the Defendant Establishments, requesting declarations that, among other things, J&amp;J held the exclusive right to operate gaming terminals at each of the Defendant Establishments as a result of the J&amp;J Assigned Agreements. The Company was granted leave to intervene in all of the declaratory judgments. The circuit courts found that the J&amp;J Assigned Agreements were valid because each of the underlying location agreements were between an unlicensed establishment and an unlicensed terminal operator, and therefore did not constitute use agreements that were otherwise precluded from assignment under the IGB’s regulations. Upon the Company’s appeal, the Illinois Appellate Court, Fifth District (the “District Court”), vacated the circuit courts’ judgments and dismissed the appeals, holding that the IGB had exclusive jurisdiction over the matter that formed the basis of the parties’ claims, and declined to consider the merits of the parties’ disputes. On September 22, 2016, and after the IGB intervened, the Supreme Court of Illinois issued a judgment in Wild, affirming the District Court’s decision vacating the circuit courts’ judgments for lack of subject matter jurisdiction and dismissing the appeals, determining that the IGB has exclusive jurisdiction to decide the validity and enforceability of gaming terminal use agreements.</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jc w:val="both"/>
        <w:rPr/>
      </w:pPr>
      <w:hyperlink w:anchor="i2e65ffc0a01a49368550f687b81d7587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spacing w:before="240" w:after="283"/>
        <w:rPr/>
      </w:pPr>
      <w:r>
        <w:rPr/>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Between May 2017 and September 2017, both the Company and J&amp;J filed petitions with the IGB seeking adjudication of the rights of the parties and the validity of the use agreements. Those petitions were recently adjudicated by the IGB, largely in the Company’s favor, and J&amp;J has filed a new lawsuit to challenge the IGB’s rulings. The Company does not have a present estimate regarding the potential damages, if any, that could potentially be awarded in this litigation and, accordingly, has established no reserves relating to such matters. There are also petitions pending with the IGB which could lead to the Company obtaining new locations.</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7, 2019, the Company filed a lawsuit in the Circuit Court of Cook County, Illinois against Jason Rowell and other parties related to Mr. Rowell’s breaches of his non-compete agreement with Accel. The Company alleged that Mr. Rowell and a competitor were working together to interfere with the Company’s customer relationships. On November 7, 2019, Mr. Rowell filed a lawsuit in the Circuit Court of Cook County, Illinois against the Company alleging that he had not received certain equity interests in the Company to which he was allegedly entitled under his agreement. The Company has answered the complaint and asserted a counterclaim and intends to defend itself against the allegations. Pre-trial discovery is ongoing as of the date of this report. Mr. Rowell's claims and the Company's claims are both being litigated in this lawsuit, while the original lawsuit remains pending against the other defendants. </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 2019, Illinois Gaming Investors, LLC filed a lawsuit against the Company. The lawsuit alleges that a current employee violated his non-competition agreement with Illinois Gaming Investors, LLC, and together with the Company, wrongfully solicited prohibited licensed video gaming locations. The parties settled this dispute in April 2022. </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18, 2020, the Company received a disciplinary complaint from the IGB alleging violations of the Video Gaming Act and the IGB’s Adopted Rules for Video Gaming. The disciplinary complaint seeks to fine the Company in the amount of $5 million. The Company filed its initial answer to the IGB’s complaint on January 11, 2021. On July 22, 2022, both parties filed motions for summary judgment. The Company expects decisions on the motions in the second quarter of 2023.</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9, 2022, the Company filed a lawsuit in the Circuit Court of Cook County, Illinois against Gold Rush relating to the Gold Rush convertible notes. The complaint sought damages for breach of contract and the implied covenant of good faith and fair dealing as well as unjust enrichment. The Court granted Gold Rush’s motion to dismiss, with leave to amend, on November 16, 2022. The Company filed an amended complaint on December 22, 2022, and asked the court to summarily dismiss the repealed claims to allow the Company to seek appeal of their dismissal by the Circuit Court. On June 22, 2022, Gold Rush filed a lawsuit in the Circuit Court of Cook County, Illinois against the Company. The lawsuit alleges that the Company tortiously interfered with Gold Rush’s business activities and engaged in misconduct with respect to the Gold Rush convertible notes. The complaint seeks declaratory judgment and damages related to the allegations. Following the Company's motion to dismiss, on November 16, 2022, the Court dismissed two of Gold Rush’s claims against the Company, but allowed four claims to proceed. The Company answered the complaint on December 14, 2022. The parties are currently engaged in the discovery process and no trial date has been set. The Company intends to vigorously defend itself against the allegations in the complaint and denies any allegations of wrongdoing. On April 22, 2022, the Company filed a petition in the Circuit Court of Cook County, Illinois to judicially review the IGB's decision to deny the requested transfer of Gold Rush common stock in respect of the Company’s conversion of the convertible notes. </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25, 2022, Midwest Electronics Gaming LLC (“Midwest”) filed an administrative review action against the Illinois Gaming Board, the Company and J&amp;J in the Circuit Court of Cook County, Illinois seeking administrative review of decisions of the IGB ruling in favor of the Company and J&amp;J and against Midwest regarding the validity of certain use agreements covering locations currently serviced by Midwest. No monetary damages are sought against the Company. A responsive pleading is not yet due. </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2022, an enforcement action was brought against the Company by an Illinois municipality related to an alleged violation of an ordinance requiring the collection of an additional tax, the enforceability of which is currently being contested by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jc w:val="both"/>
        <w:rPr/>
      </w:pPr>
      <w:hyperlink w:anchor="i2e65ffc0a01a49368550f687b81d7587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spacing w:before="240" w:after="283"/>
        <w:rPr/>
      </w:pPr>
      <w:r>
        <w:rPr/>
      </w:r>
    </w:p>
    <w:p>
      <w:pPr>
        <w:pStyle w:val="TextBody"/>
        <w:spacing w:lineRule="auto" w:line="345"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Illinois Gaming Machine Operators Association. Rather than litigate the alleged violation, the Company pled no contest and paid an initial penalty to the municipality in October 2022. The Company will pay a similar penalty each month for the remaining months of 2022 and anticipates such payments to continue in 2023.</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an Illinois municipality issued an order against the Company for the alleged failure to pay a terminal operator tax (“TO Tax”) for the privilege of operating gaming terminals within the municipality. The TO Tax was adopted by the municipality on June 8, 2021, but there was no enforcement of this tax until the Company was issued a notice of hearing in February 2023. In April 2023, the Company, along with numerous other terminal operators, filed a complaint in the Circuit Court of Cook County, Illinois contesting the validity and enforceability of the TO Tax.</w:t>
      </w:r>
    </w:p>
    <w:p>
      <w:pPr>
        <w:pStyle w:val="TextBody"/>
        <w:spacing w:lineRule="auto" w:line="345" w:before="180" w:after="283"/>
        <w:ind w:left="0" w:right="0" w:firstLine="360"/>
        <w:jc w:val="both"/>
        <w:rPr/>
      </w:pPr>
      <w:r>
        <w:rPr>
          <w:rFonts w:ascii="Times New Roman;sans-serif" w:hAnsi="Times New Roman;sans-serif"/>
          <w:b w:val="false"/>
          <w:color w:val="000000"/>
          <w:sz w:val="20"/>
        </w:rPr>
        <w:t xml:space="preserve">The results for the three months ended March 31, 2022 included a loss of $1.0 million related to these matters and is included within other expenses, net </w:t>
      </w:r>
      <w:r>
        <w:rPr>
          <w:rFonts w:ascii="Times New Roman;sans-serif" w:hAnsi="Times New Roman;sans-serif"/>
          <w:b w:val="false"/>
          <w:color w:val="000000"/>
          <w:sz w:val="20"/>
          <w:highlight w:val="white"/>
        </w:rPr>
        <w:t>in the condensed consolidated statements of operations and other comprehensive income</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17. Related-Party Transactions</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Subsequent to the Company's acquisition of certain assets of Fair Share Gaming, LLC (“Fair Share”), G3 Gaming, LLC (“G3”), and Tom’s Amusement Company, Inc., (“Tom's Amusements”), the sellers became employees of the Company. </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Consideration payable to the Fair Share seller was $1.0 million and $1.1 million as of March 31, 2023 and December 31, 2022, respectively. Payments to the Fair Share seller under the acquisition agreement were $0.3 million and $0.5 million during the three months ended March 31, 2023 and 2022, respectively. </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Consideration payable to the G3 sellers was $0.4 million as of both March 31, 2023 and December 31, 2022. There were no payments to the G3 sellers under the acquisition agreement during the three months ended March 31, 2023 and 2022. </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Consideration payable to the Tom's Amusements seller was $0.1 million as of both March 31, 2023 and December 31, 2022. There were no payments to the Tom's Amusements seller during the three months ended March 31, 2023 and 2022. </w:t>
      </w:r>
    </w:p>
    <w:p>
      <w:pPr>
        <w:pStyle w:val="TextBody"/>
        <w:spacing w:lineRule="auto" w:line="345" w:before="180" w:after="283"/>
        <w:ind w:left="0" w:right="0" w:firstLine="360"/>
        <w:jc w:val="both"/>
        <w:rPr/>
      </w:pPr>
      <w:r>
        <w:rPr>
          <w:rFonts w:ascii="Times New Roman;sans-serif" w:hAnsi="Times New Roman;sans-serif"/>
          <w:b w:val="false"/>
          <w:color w:val="000000"/>
          <w:sz w:val="20"/>
        </w:rPr>
        <w:t xml:space="preserve">The Company engaged Much Shelist, P.C. (“Much Shelist”), as its legal counsel for general legal and business matters. An attorney at Much Shelist is a related party to management of the Company. Accel paid Much Shelist $0.1 million and less than $0.1 million for the three months ended March 31, 2023 and 2022, respectively. These payments were included in general and administrative expenses within the </w:t>
      </w:r>
      <w:r>
        <w:rPr>
          <w:rFonts w:ascii="Times New Roman;sans-serif" w:hAnsi="Times New Roman;sans-serif"/>
          <w:b w:val="false"/>
          <w:color w:val="000000"/>
          <w:sz w:val="20"/>
          <w:highlight w:val="white"/>
        </w:rPr>
        <w:t xml:space="preserve">condensed </w:t>
      </w:r>
      <w:r>
        <w:rPr>
          <w:rFonts w:ascii="Times New Roman;sans-serif" w:hAnsi="Times New Roman;sans-serif"/>
          <w:b w:val="false"/>
          <w:color w:val="000000"/>
          <w:sz w:val="20"/>
        </w:rPr>
        <w:t>consolidated statements of operations and comprehensive income.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283"/>
        <w:rPr/>
      </w:pPr>
      <w:r>
        <w:rPr/>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jc w:val="both"/>
        <w:rPr/>
      </w:pPr>
      <w:hyperlink w:anchor="i2e65ffc0a01a49368550f687b81d7587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spacing w:before="240" w:after="283"/>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18. Earnings Per Share</w:t>
      </w:r>
    </w:p>
    <w:p>
      <w:pPr>
        <w:pStyle w:val="TextBody"/>
        <w:spacing w:lineRule="auto" w:line="345" w:before="180" w:after="283"/>
        <w:ind w:left="0" w:right="0" w:firstLine="360"/>
        <w:jc w:val="both"/>
        <w:rPr/>
      </w:pPr>
      <w:r>
        <w:rPr>
          <w:rFonts w:ascii="Times New Roman;sans-serif" w:hAnsi="Times New Roman;sans-serif"/>
          <w:b w:val="false"/>
          <w:color w:val="000000"/>
          <w:sz w:val="20"/>
        </w:rPr>
        <w:t xml:space="preserve">The components of basic and diluted earnings per share </w:t>
      </w:r>
      <w:r>
        <w:rPr>
          <w:rFonts w:ascii="Times New Roman;sans-serif" w:hAnsi="Times New Roman;sans-serif"/>
          <w:b w:val="false"/>
          <w:color w:val="000000"/>
          <w:sz w:val="20"/>
          <w:highlight w:val="white"/>
        </w:rPr>
        <w:t>(“EPS”)</w:t>
      </w:r>
      <w:r>
        <w:rPr>
          <w:color w:val="000000"/>
        </w:rPr>
        <w:t xml:space="preserve"> </w:t>
      </w:r>
      <w:r>
        <w:rPr>
          <w:rFonts w:ascii="Times New Roman;sans-serif" w:hAnsi="Times New Roman;sans-serif"/>
          <w:b w:val="false"/>
          <w:color w:val="000000"/>
          <w:sz w:val="20"/>
        </w:rPr>
        <w:t>were as follows for the three months ended March 31 (in thousands, except per share amounts):</w:t>
      </w:r>
    </w:p>
    <w:tbl>
      <w:tblPr>
        <w:tblW w:w="8710" w:type="dxa"/>
        <w:jc w:val="center"/>
        <w:tblInd w:w="0" w:type="dxa"/>
        <w:tblCellMar>
          <w:top w:w="28" w:type="dxa"/>
          <w:left w:w="28" w:type="dxa"/>
          <w:bottom w:w="28" w:type="dxa"/>
          <w:right w:w="28" w:type="dxa"/>
        </w:tblCellMar>
      </w:tblPr>
      <w:tblGrid>
        <w:gridCol w:w="1880"/>
        <w:gridCol w:w="1652"/>
        <w:gridCol w:w="1672"/>
        <w:gridCol w:w="109"/>
        <w:gridCol w:w="109"/>
        <w:gridCol w:w="149"/>
        <w:gridCol w:w="149"/>
        <w:gridCol w:w="149"/>
        <w:gridCol w:w="149"/>
        <w:gridCol w:w="288"/>
        <w:gridCol w:w="842"/>
        <w:gridCol w:w="149"/>
        <w:gridCol w:w="109"/>
        <w:gridCol w:w="109"/>
        <w:gridCol w:w="109"/>
        <w:gridCol w:w="211"/>
        <w:gridCol w:w="721"/>
        <w:gridCol w:w="154"/>
      </w:tblGrid>
      <w:tr>
        <w:trPr/>
        <w:tc>
          <w:tcPr>
            <w:tcW w:w="1880" w:type="dxa"/>
            <w:tcBorders/>
            <w:shd w:fill="auto" w:val="clear"/>
            <w:vAlign w:val="center"/>
          </w:tcPr>
          <w:p>
            <w:pPr>
              <w:pStyle w:val="TableContents"/>
              <w:spacing w:before="0" w:after="283"/>
              <w:rPr>
                <w:sz w:val="4"/>
                <w:szCs w:val="4"/>
              </w:rPr>
            </w:pPr>
            <w:r>
              <w:rPr>
                <w:sz w:val="4"/>
                <w:szCs w:val="4"/>
              </w:rPr>
            </w:r>
          </w:p>
        </w:tc>
        <w:tc>
          <w:tcPr>
            <w:tcW w:w="1652" w:type="dxa"/>
            <w:tcBorders/>
            <w:shd w:fill="auto" w:val="clear"/>
            <w:vAlign w:val="center"/>
          </w:tcPr>
          <w:p>
            <w:pPr>
              <w:pStyle w:val="TableContents"/>
              <w:spacing w:before="0" w:after="283"/>
              <w:rPr>
                <w:sz w:val="4"/>
                <w:szCs w:val="4"/>
              </w:rPr>
            </w:pPr>
            <w:r>
              <w:rPr>
                <w:sz w:val="4"/>
                <w:szCs w:val="4"/>
              </w:rPr>
            </w:r>
          </w:p>
        </w:tc>
        <w:tc>
          <w:tcPr>
            <w:tcW w:w="16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7"/>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5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2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447" w:type="dxa"/>
            <w:gridSpan w:val="3"/>
            <w:tcBorders/>
            <w:shd w:fill="auto" w:val="clear"/>
            <w:vAlign w:val="center"/>
          </w:tcPr>
          <w:p>
            <w:pPr>
              <w:pStyle w:val="TableContents"/>
              <w:spacing w:before="0" w:after="283"/>
              <w:rPr>
                <w:sz w:val="4"/>
                <w:szCs w:val="4"/>
              </w:rPr>
            </w:pPr>
            <w:r>
              <w:rPr>
                <w:sz w:val="4"/>
                <w:szCs w:val="4"/>
              </w:rPr>
            </w:r>
          </w:p>
        </w:tc>
        <w:tc>
          <w:tcPr>
            <w:tcW w:w="12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9,182 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447" w:type="dxa"/>
            <w:gridSpan w:val="3"/>
            <w:tcBorders/>
            <w:shd w:fill="auto" w:val="clear"/>
            <w:vAlign w:val="center"/>
          </w:tcPr>
          <w:p>
            <w:pPr>
              <w:pStyle w:val="TableContents"/>
              <w:spacing w:before="0" w:after="283"/>
              <w:rPr>
                <w:sz w:val="4"/>
                <w:szCs w:val="4"/>
              </w:rPr>
            </w:pPr>
            <w:r>
              <w:rPr>
                <w:sz w:val="4"/>
                <w:szCs w:val="4"/>
              </w:rPr>
            </w:r>
          </w:p>
        </w:tc>
        <w:tc>
          <w:tcPr>
            <w:tcW w:w="12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52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447" w:type="dxa"/>
            <w:gridSpan w:val="3"/>
            <w:tcBorders/>
            <w:shd w:fill="auto" w:val="clear"/>
            <w:vAlign w:val="center"/>
          </w:tcPr>
          <w:p>
            <w:pPr>
              <w:pStyle w:val="TableContents"/>
              <w:spacing w:before="0" w:after="283"/>
              <w:rPr>
                <w:sz w:val="4"/>
                <w:szCs w:val="4"/>
              </w:rPr>
            </w:pPr>
            <w:r>
              <w:rPr>
                <w:sz w:val="4"/>
                <w:szCs w:val="4"/>
              </w:rPr>
            </w:r>
          </w:p>
        </w:tc>
        <w:tc>
          <w:tcPr>
            <w:tcW w:w="12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outstanding shares of common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86,885 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stock-based awards for common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447" w:type="dxa"/>
            <w:gridSpan w:val="3"/>
            <w:tcBorders/>
            <w:shd w:fill="auto" w:val="clear"/>
            <w:vAlign w:val="center"/>
          </w:tcPr>
          <w:p>
            <w:pPr>
              <w:pStyle w:val="TableContents"/>
              <w:spacing w:before="0" w:after="283"/>
              <w:rPr>
                <w:sz w:val="4"/>
                <w:szCs w:val="4"/>
              </w:rPr>
            </w:pPr>
            <w:r>
              <w:rPr>
                <w:sz w:val="4"/>
                <w:szCs w:val="4"/>
              </w:rPr>
            </w:r>
          </w:p>
        </w:tc>
        <w:tc>
          <w:tcPr>
            <w:tcW w:w="12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52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447" w:type="dxa"/>
            <w:gridSpan w:val="3"/>
            <w:tcBorders/>
            <w:shd w:fill="auto" w:val="clear"/>
            <w:vAlign w:val="center"/>
          </w:tcPr>
          <w:p>
            <w:pPr>
              <w:pStyle w:val="TableContents"/>
              <w:spacing w:before="0" w:after="283"/>
              <w:rPr>
                <w:sz w:val="4"/>
                <w:szCs w:val="4"/>
              </w:rPr>
            </w:pPr>
            <w:r>
              <w:rPr>
                <w:sz w:val="4"/>
                <w:szCs w:val="4"/>
              </w:rPr>
            </w:r>
          </w:p>
        </w:tc>
        <w:tc>
          <w:tcPr>
            <w:tcW w:w="12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52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447" w:type="dxa"/>
            <w:gridSpan w:val="3"/>
            <w:tcBorders/>
            <w:shd w:fill="auto" w:val="clear"/>
            <w:vAlign w:val="center"/>
          </w:tcPr>
          <w:p>
            <w:pPr>
              <w:pStyle w:val="TableContents"/>
              <w:spacing w:before="0" w:after="283"/>
              <w:rPr>
                <w:sz w:val="4"/>
                <w:szCs w:val="4"/>
              </w:rPr>
            </w:pPr>
            <w:r>
              <w:rPr>
                <w:sz w:val="4"/>
                <w:szCs w:val="4"/>
              </w:rPr>
            </w:r>
          </w:p>
        </w:tc>
        <w:tc>
          <w:tcPr>
            <w:tcW w:w="12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outstanding shares of common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87,132 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Anti-dilutive stock-based awards, contingent earnout shares and warrants excluded from the calculations of diluted EPS were 4,907,216 and 4,729,800 as of March 31, 2023 and 2022, respectively.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19. Subsequent Events</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11, 2023, the Company entered into an agreement to acquire an operator in the state of Louisiana and an option to acquire a second operator in the state of Louisiana. In connection therewith, the Company paid $3.5 million as an advance against a portion of the purchase price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2e65ffc0a01a49368550f687b81d7587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90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the following discussion and analysis of our financial condition and results of operations in conjunction with our unaudited condensed consolidated financial statements and the related notes and other financial information included in this Quarterly Report on Form 10-Q. This discussion and analysis contains forward-looking statements that involve risks and uncertainties. Our actual results could differ materially from the forward-looking statements. Factors that could cause or contribute to such differences include, but are not limited to, those identified below, those discussed in “Risk Factors” in this Quarterly Report on Form 10-Q, and those discussed in the section titled “Risk Factors” included in our Annual Report on Form 10-K for the year ended December 31, 2022. This discussion and analysis should also be read in conjunction with “Management’s Discussion and Analysis of Financial Condition and Results of Operations”, set forth in our Annual Report on Form 10-K for the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45" w:before="24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Company Overview</w:t>
      </w:r>
    </w:p>
    <w:p>
      <w:pPr>
        <w:pStyle w:val="TextBody"/>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we are a leading distributed gaming operator in the United States on an Adjusted EBITDA basis, and a preferred partner for local business owners in the markets we serve. Our business consists of the installation, maintenance and operation of gaming terminals, redemption devices that disburse winnings and contain automated teller machine (“ATM”) functionality, and other amusement devices in authorized non-casino locations such as restaurants, bars, taverns, convenience stores, liquor stores, truck stops, and grocery stores. We also operate stand-alone ATMs in gaming and non-gaming locations. We currently operate as a distributed gaming operator in the following states: </w:t>
      </w:r>
    </w:p>
    <w:p>
      <w:pPr>
        <w:pStyle w:val="TextBody"/>
        <w:spacing w:lineRule="auto" w:line="345" w:before="160" w:after="283"/>
        <w:ind w:left="0" w:right="0" w:hanging="270"/>
        <w:jc w:val="both"/>
        <w:rPr/>
      </w:pPr>
      <w:r>
        <w:rPr>
          <w:color w:val="000000"/>
        </w:rPr>
        <w:t>•</w:t>
      </w:r>
      <w:r>
        <w:rPr>
          <w:rFonts w:ascii="Times New Roman;sans-serif" w:hAnsi="Times New Roman;sans-serif"/>
          <w:b w:val="false"/>
          <w:color w:val="000000"/>
          <w:sz w:val="20"/>
        </w:rPr>
        <w:t xml:space="preserve">Illinois - we have been a licensed terminal operator by the Illinois Gaming Board (“IGB”) since 2012, </w:t>
      </w:r>
    </w:p>
    <w:p>
      <w:pPr>
        <w:pStyle w:val="TextBody"/>
        <w:spacing w:lineRule="auto" w:line="345" w:before="160" w:after="283"/>
        <w:ind w:left="0" w:right="0" w:hanging="270"/>
        <w:jc w:val="both"/>
        <w:rPr/>
      </w:pPr>
      <w:r>
        <w:rPr>
          <w:color w:val="000000"/>
        </w:rPr>
        <w:t>•</w:t>
      </w:r>
      <w:r>
        <w:rPr>
          <w:rFonts w:ascii="Times New Roman;sans-serif" w:hAnsi="Times New Roman;sans-serif"/>
          <w:b w:val="false"/>
          <w:color w:val="000000"/>
          <w:sz w:val="20"/>
        </w:rPr>
        <w:t>Montana - we were granted a manufacturer, distributor and route operator license in June 2022 by the Gambling Control Division of the Montana Department of Justice effective through June 2023,</w:t>
      </w:r>
    </w:p>
    <w:p>
      <w:pPr>
        <w:pStyle w:val="TextBody"/>
        <w:spacing w:lineRule="auto" w:line="345" w:before="160" w:after="283"/>
        <w:ind w:left="0" w:right="0" w:hanging="270"/>
        <w:jc w:val="both"/>
        <w:rPr/>
      </w:pPr>
      <w:r>
        <w:rPr>
          <w:color w:val="000000"/>
        </w:rPr>
        <w:t>•</w:t>
      </w:r>
      <w:r>
        <w:rPr>
          <w:rFonts w:ascii="Times New Roman;sans-serif" w:hAnsi="Times New Roman;sans-serif"/>
          <w:b w:val="false"/>
          <w:color w:val="000000"/>
          <w:sz w:val="20"/>
        </w:rPr>
        <w:t>Nevada - we were granted a two-year terminal operator license in June 2022 by the Nevada Gaming Commission,</w:t>
      </w:r>
    </w:p>
    <w:p>
      <w:pPr>
        <w:pStyle w:val="TextBody"/>
        <w:spacing w:lineRule="auto" w:line="345" w:before="160" w:after="283"/>
        <w:ind w:left="0" w:right="0" w:hanging="270"/>
        <w:jc w:val="both"/>
        <w:rPr/>
      </w:pPr>
      <w:r>
        <w:rPr>
          <w:color w:val="000000"/>
        </w:rPr>
        <w:t>•</w:t>
      </w:r>
      <w:r>
        <w:rPr>
          <w:rFonts w:ascii="Times New Roman;sans-serif" w:hAnsi="Times New Roman;sans-serif"/>
          <w:b w:val="false"/>
          <w:color w:val="000000"/>
          <w:sz w:val="20"/>
        </w:rPr>
        <w:t xml:space="preserve">Georgia - we received approval from the Georgia Lottery Corporation as a Master Licensee in July 2020, </w:t>
      </w:r>
    </w:p>
    <w:p>
      <w:pPr>
        <w:pStyle w:val="TextBody"/>
        <w:spacing w:lineRule="auto" w:line="345" w:before="160" w:after="283"/>
        <w:ind w:left="0" w:right="0" w:hanging="270"/>
        <w:jc w:val="both"/>
        <w:rPr/>
      </w:pPr>
      <w:r>
        <w:rPr>
          <w:color w:val="000000"/>
        </w:rPr>
        <w:t>•</w:t>
      </w:r>
      <w:r>
        <w:rPr>
          <w:rFonts w:ascii="Times New Roman;sans-serif" w:hAnsi="Times New Roman;sans-serif"/>
          <w:b w:val="false"/>
          <w:color w:val="000000"/>
          <w:sz w:val="20"/>
        </w:rPr>
        <w:t>Iowa - we are registered with the Iowa Department of Inspections and Appeals to conduct operations in Iowa,</w:t>
      </w:r>
    </w:p>
    <w:p>
      <w:pPr>
        <w:pStyle w:val="TextBody"/>
        <w:spacing w:lineRule="auto" w:line="345" w:before="160" w:after="283"/>
        <w:ind w:left="0" w:right="0" w:hanging="270"/>
        <w:jc w:val="both"/>
        <w:rPr/>
      </w:pPr>
      <w:r>
        <w:rPr>
          <w:color w:val="000000"/>
        </w:rPr>
        <w:t>•</w:t>
      </w:r>
      <w:r>
        <w:rPr>
          <w:rFonts w:ascii="Times New Roman;sans-serif" w:hAnsi="Times New Roman;sans-serif"/>
          <w:b w:val="false"/>
          <w:color w:val="000000"/>
          <w:sz w:val="20"/>
        </w:rPr>
        <w:t>Nebraska - we became a licensed distributor of mechanical amusement devices in Nebraska in June 2022, and commenced operations in this market,</w:t>
      </w:r>
    </w:p>
    <w:p>
      <w:pPr>
        <w:pStyle w:val="TextBody"/>
        <w:spacing w:lineRule="auto" w:line="345" w:before="160" w:after="283"/>
        <w:ind w:left="0" w:right="0" w:hanging="270"/>
        <w:jc w:val="both"/>
        <w:rPr/>
      </w:pPr>
      <w:r>
        <w:rPr>
          <w:color w:val="000000"/>
        </w:rPr>
        <w:t>•</w:t>
      </w:r>
      <w:r>
        <w:rPr>
          <w:rFonts w:ascii="Times New Roman;sans-serif" w:hAnsi="Times New Roman;sans-serif"/>
          <w:b w:val="false"/>
          <w:color w:val="000000"/>
          <w:sz w:val="20"/>
        </w:rPr>
        <w:t xml:space="preserve">Pennsylvania - we have held a license from the Pennsylvania Gaming Control Board </w:t>
      </w:r>
      <w:r>
        <w:rPr>
          <w:rFonts w:ascii="Times New Roman;sans-serif" w:hAnsi="Times New Roman;sans-serif"/>
          <w:b w:val="false"/>
          <w:color w:val="000000"/>
          <w:sz w:val="20"/>
          <w:highlight w:val="white"/>
        </w:rPr>
        <w:t>since November 2020.</w:t>
      </w:r>
    </w:p>
    <w:p>
      <w:pPr>
        <w:pStyle w:val="TextBody"/>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our wholly owned subsidiary, Grand Vision Gaming, we are also a manufacturer of gaming terminals in the Montana, Nevada, South Dakota, Louisiana and West Virginia markets. </w:t>
      </w:r>
    </w:p>
    <w:p>
      <w:pPr>
        <w:pStyle w:val="TextBody"/>
        <w:spacing w:lineRule="auto" w:line="345" w:before="160" w:after="283"/>
        <w:ind w:left="0" w:right="0" w:firstLine="360"/>
        <w:jc w:val="both"/>
        <w:rPr/>
      </w:pPr>
      <w:r>
        <w:rPr>
          <w:rFonts w:ascii="Times New Roman;sans-serif" w:hAnsi="Times New Roman;sans-serif"/>
          <w:b w:val="false"/>
          <w:color w:val="000000"/>
          <w:sz w:val="20"/>
        </w:rPr>
        <w:t>W</w:t>
      </w:r>
      <w:r>
        <w:rPr>
          <w:rFonts w:ascii="Times New Roman;sans-serif" w:hAnsi="Times New Roman;sans-serif"/>
          <w:b w:val="false"/>
          <w:color w:val="000000"/>
          <w:sz w:val="20"/>
          <w:highlight w:val="white"/>
        </w:rPr>
        <w:t xml:space="preserve">e are also subject to various other federal, state and local laws and regulations in addition to gaming regulations. </w:t>
      </w:r>
    </w:p>
    <w:p>
      <w:pPr>
        <w:pStyle w:val="TextBody"/>
        <w:spacing w:lineRule="auto" w:line="345" w:before="160" w:after="283"/>
        <w:jc w:val="both"/>
        <w:rPr>
          <w:rFonts w:ascii="Times New Roman;sans-serif" w:hAnsi="Times New Roman;sans-serif"/>
          <w:b/>
          <w:color w:val="000000"/>
          <w:sz w:val="20"/>
        </w:rPr>
      </w:pPr>
      <w:r>
        <w:rPr>
          <w:rFonts w:ascii="Times New Roman;sans-serif" w:hAnsi="Times New Roman;sans-serif"/>
          <w:b/>
          <w:color w:val="000000"/>
          <w:sz w:val="20"/>
        </w:rPr>
        <w:t>Century Acquisition</w:t>
      </w:r>
    </w:p>
    <w:p>
      <w:pPr>
        <w:pStyle w:val="TextBody"/>
        <w:spacing w:lineRule="auto" w:line="345" w:before="180" w:after="283"/>
        <w:ind w:left="0" w:right="0" w:firstLine="360"/>
        <w:jc w:val="both"/>
        <w:rPr/>
      </w:pPr>
      <w:r>
        <w:rPr>
          <w:rFonts w:ascii="Times New Roman;sans-serif" w:hAnsi="Times New Roman;sans-serif"/>
          <w:b w:val="false"/>
          <w:color w:val="000000"/>
          <w:sz w:val="20"/>
        </w:rPr>
        <w:t xml:space="preserve">On June 1, 2022, we completed our previously announced acquisition of all of the outstanding equity interests of Century Gaming, Inc., a Montana corporation. The aggregate purchase consideration was $164.3 million, which included: (i) a cash payment made at closing of $45.5 million to the equity holders of Century; (ii) repayment of $113.2 million of Century's indebtedness; and (iii) 515,622 shares of our Class A-1 common stock issued to certain members of Century’s management with a fair value of $5.6 million on the acquisition date. The cash payments were financed using cash from a draw of approximately $160 million from our revolving credit facility and delayed draw term loan facility under our senior secured credit facility. Our financial results for the three months ended </w:t>
      </w:r>
      <w:r>
        <w:rPr>
          <w:rFonts w:ascii="Times New Roman;sans-serif" w:hAnsi="Times New Roman;sans-serif"/>
          <w:b w:val="false"/>
          <w:color w:val="000000"/>
          <w:sz w:val="20"/>
          <w:highlight w:val="white"/>
        </w:rPr>
        <w:t xml:space="preserve">March 31, 2023 </w:t>
      </w:r>
      <w:r>
        <w:rPr>
          <w:rFonts w:ascii="Times New Roman;sans-serif" w:hAnsi="Times New Roman;sans-serif"/>
          <w:b w:val="false"/>
          <w:color w:val="000000"/>
          <w:sz w:val="20"/>
        </w:rPr>
        <w:t xml:space="preserve">includes the results of Century. </w:t>
      </w:r>
    </w:p>
    <w:p>
      <w:pPr>
        <w:pStyle w:val="TextBody"/>
        <w:spacing w:before="180" w:after="283"/>
        <w:jc w:val="both"/>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2e65ffc0a01a49368550f687b81d7587_7">
        <w:r>
          <w:rPr>
            <w:rStyle w:val="InternetLink"/>
            <w:rFonts w:ascii="Times New Roman;sans-serif" w:hAnsi="Times New Roman;sans-serif"/>
            <w:b w:val="false"/>
            <w:color w:val="0000FF"/>
            <w:sz w:val="20"/>
            <w:u w:val="single"/>
          </w:rPr>
          <w:t>Table of Contents</w:t>
        </w:r>
      </w:hyperlink>
    </w:p>
    <w:p>
      <w:pPr>
        <w:pStyle w:val="TextBody"/>
        <w:spacing w:lineRule="auto" w:line="345"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Macroeconomic Factors </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Ongoing interest rate increases, persistent inflation and actual or perceived instability in the U.S. and global banking systems may increase the risk of an economic recession and volatility and dislocation in the capital or credit markets in the United States and other markets globally. Our location partners may be adversely impacted by changes in overall economic and financial conditions, and certain location partners may cease operations in the event of a recession or inability to access financing. Furthermore, our revenue is largely driven by players’ disposable incomes and level of gaming activity, and economic conditions that adversely impact players’ ability and desire to spend disposable income at our locations partners may adversely affect our results of operations and cash flows. To date, we have not observed material impacts in our business or outlook, but there can be no assurance that, in the event of a recession, levels of gaming activity would not be adversely affected. Further, as described in more detail below, we have observed certain increases in our costs, particularly higher wages and increased fuel costs, as well as increased interest expense on our debt. In addition, during the first quarter of 2023, we accelerated certain of our capital expenditures related to gaming machine components to manage our supply chain. We intend to continue to monitor macroeconomic conditions closely and may determine to take certain financial or operational actions in response to such conditions to the extent our business begins to be adversely impacted.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Components of Performance</w:t>
      </w:r>
    </w:p>
    <w:p>
      <w:pPr>
        <w:pStyle w:val="TextBody"/>
        <w:spacing w:lineRule="auto" w:line="288" w:before="24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Revenues</w:t>
      </w:r>
    </w:p>
    <w:p>
      <w:pPr>
        <w:pStyle w:val="TextBody"/>
        <w:spacing w:lineRule="auto" w:line="345" w:before="160" w:after="283"/>
        <w:jc w:val="both"/>
        <w:rPr/>
      </w:pPr>
      <w:r>
        <w:rPr>
          <w:rFonts w:ascii="Times New Roman;sans-serif" w:hAnsi="Times New Roman;sans-serif"/>
          <w:b w:val="false"/>
          <w:i/>
          <w:color w:val="000000"/>
          <w:sz w:val="20"/>
          <w:highlight w:val="white"/>
        </w:rPr>
        <w:t xml:space="preserve">Net gaming. </w:t>
      </w:r>
      <w:r>
        <w:rPr>
          <w:rFonts w:ascii="Times New Roman;sans-serif" w:hAnsi="Times New Roman;sans-serif"/>
          <w:b w:val="false"/>
          <w:color w:val="000000"/>
          <w:sz w:val="20"/>
          <w:highlight w:val="white"/>
        </w:rPr>
        <w:t xml:space="preserve">Net gaming revenue represents net cash received from gaming activities, which is the difference between gaming wins and losses. Net gaming revenue includes the amounts earned by our </w:t>
      </w:r>
      <w:r>
        <w:rPr>
          <w:rFonts w:ascii="Times New Roman;sans-serif" w:hAnsi="Times New Roman;sans-serif"/>
          <w:b w:val="false"/>
          <w:color w:val="000000"/>
          <w:sz w:val="20"/>
        </w:rPr>
        <w:t>location</w:t>
      </w:r>
      <w:r>
        <w:rPr>
          <w:color w:val="000000"/>
          <w:highlight w:val="white"/>
        </w:rPr>
        <w:t xml:space="preserve"> </w:t>
      </w:r>
      <w:r>
        <w:rPr>
          <w:rFonts w:ascii="Times New Roman;sans-serif" w:hAnsi="Times New Roman;sans-serif"/>
          <w:b w:val="false"/>
          <w:color w:val="000000"/>
          <w:sz w:val="20"/>
          <w:highlight w:val="white"/>
        </w:rPr>
        <w:t>partners and is recognized at the time of gaming play.</w:t>
      </w:r>
    </w:p>
    <w:p>
      <w:pPr>
        <w:pStyle w:val="TextBody"/>
        <w:spacing w:lineRule="auto" w:line="345" w:before="160" w:after="283"/>
        <w:jc w:val="both"/>
        <w:rPr/>
      </w:pPr>
      <w:r>
        <w:rPr>
          <w:rFonts w:ascii="Times New Roman;sans-serif" w:hAnsi="Times New Roman;sans-serif"/>
          <w:b w:val="false"/>
          <w:i/>
          <w:color w:val="000000"/>
          <w:sz w:val="20"/>
        </w:rPr>
        <w:t xml:space="preserve">Amusement. </w:t>
      </w:r>
      <w:r>
        <w:rPr>
          <w:rFonts w:ascii="Times New Roman;sans-serif" w:hAnsi="Times New Roman;sans-serif"/>
          <w:b w:val="false"/>
          <w:color w:val="000000"/>
          <w:sz w:val="20"/>
        </w:rPr>
        <w:t>Amusement revenue represents amounts collected from amusement devices operated at various location</w:t>
      </w:r>
      <w:r>
        <w:rPr>
          <w:color w:val="000000"/>
          <w:highlight w:val="white"/>
        </w:rPr>
        <w:t xml:space="preserve"> </w:t>
      </w:r>
      <w:r>
        <w:rPr>
          <w:rFonts w:ascii="Times New Roman;sans-serif" w:hAnsi="Times New Roman;sans-serif"/>
          <w:b w:val="false"/>
          <w:color w:val="000000"/>
          <w:sz w:val="20"/>
          <w:highlight w:val="white"/>
        </w:rPr>
        <w:t>partners</w:t>
      </w:r>
      <w:r>
        <w:rPr>
          <w:color w:val="000000"/>
        </w:rPr>
        <w:t xml:space="preserve"> </w:t>
      </w:r>
      <w:r>
        <w:rPr>
          <w:rFonts w:ascii="Times New Roman;sans-serif" w:hAnsi="Times New Roman;sans-serif"/>
          <w:b w:val="false"/>
          <w:color w:val="000000"/>
          <w:sz w:val="20"/>
        </w:rPr>
        <w:t>and is recognized at the point the amusement device is used.</w:t>
      </w:r>
    </w:p>
    <w:p>
      <w:pPr>
        <w:pStyle w:val="TextBody"/>
        <w:spacing w:lineRule="auto" w:line="345" w:before="160" w:after="283"/>
        <w:jc w:val="both"/>
        <w:rPr/>
      </w:pPr>
      <w:r>
        <w:rPr>
          <w:rFonts w:ascii="Times New Roman;sans-serif" w:hAnsi="Times New Roman;sans-serif"/>
          <w:b w:val="false"/>
          <w:i/>
          <w:color w:val="000000"/>
          <w:sz w:val="20"/>
        </w:rPr>
        <w:t xml:space="preserve">Manufacturing. </w:t>
      </w:r>
      <w:r>
        <w:rPr>
          <w:rFonts w:ascii="Times New Roman;sans-serif" w:hAnsi="Times New Roman;sans-serif"/>
          <w:b w:val="false"/>
          <w:color w:val="000000"/>
          <w:sz w:val="20"/>
        </w:rPr>
        <w:t>Manufacturing revenue represents sales of gaming terminals by Grand Vision Gaming, a wholly owned subsidiary of Century, which is a designer and manufacturer of gaming terminals and related equipment.</w:t>
      </w:r>
    </w:p>
    <w:p>
      <w:pPr>
        <w:pStyle w:val="TextBody"/>
        <w:spacing w:lineRule="auto" w:line="345" w:before="160" w:after="283"/>
        <w:jc w:val="both"/>
        <w:rPr/>
      </w:pPr>
      <w:r>
        <w:rPr>
          <w:rFonts w:ascii="Times New Roman;sans-serif" w:hAnsi="Times New Roman;sans-serif"/>
          <w:b w:val="false"/>
          <w:i/>
          <w:color w:val="000000"/>
          <w:sz w:val="20"/>
        </w:rPr>
        <w:t xml:space="preserve">ATM fees and other revenue. </w:t>
      </w:r>
      <w:r>
        <w:rPr>
          <w:rFonts w:ascii="Times New Roman;sans-serif" w:hAnsi="Times New Roman;sans-serif"/>
          <w:b w:val="false"/>
          <w:color w:val="000000"/>
          <w:sz w:val="20"/>
        </w:rPr>
        <w:t>ATM fees and other revenue represents fees charged for the withdrawal of funds from our redemption devices and stand-alone ATMs and is recognized at the time of the ATM transaction.</w:t>
      </w:r>
    </w:p>
    <w:p>
      <w:pPr>
        <w:pStyle w:val="TextBody"/>
        <w:spacing w:lineRule="auto" w:line="288" w:before="24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Operating Expenses</w:t>
      </w:r>
    </w:p>
    <w:p>
      <w:pPr>
        <w:pStyle w:val="TextBody"/>
        <w:spacing w:lineRule="auto" w:line="345" w:before="160" w:after="283"/>
        <w:jc w:val="both"/>
        <w:rPr/>
      </w:pPr>
      <w:r>
        <w:rPr>
          <w:rFonts w:ascii="Times New Roman;sans-serif" w:hAnsi="Times New Roman;sans-serif"/>
          <w:b w:val="false"/>
          <w:i/>
          <w:color w:val="000000"/>
          <w:sz w:val="20"/>
        </w:rPr>
        <w:t xml:space="preserve">Cost of revenue. </w:t>
      </w:r>
      <w:r>
        <w:rPr>
          <w:rFonts w:ascii="Times New Roman;sans-serif" w:hAnsi="Times New Roman;sans-serif"/>
          <w:b w:val="false"/>
          <w:color w:val="000000"/>
          <w:sz w:val="20"/>
        </w:rPr>
        <w:t>Cost of revenue consists of (i) taxes on net gaming revenue that is payable to the appropriate jurisdiction, (ii) licenses, permits and other fees required for the operation of gaming terminals and other equipment, (iii) location revenue share, which is governed by local governing bodies and location contracts, (iv) ATM and amusement commissions payable to locations, (v) ATM and amusement fees, and (vi) costs associated with the sale of gaming terminals.</w:t>
      </w:r>
    </w:p>
    <w:p>
      <w:pPr>
        <w:pStyle w:val="TextBody"/>
        <w:spacing w:lineRule="auto" w:line="345" w:before="160" w:after="283"/>
        <w:jc w:val="both"/>
        <w:rPr/>
      </w:pPr>
      <w:r>
        <w:rPr>
          <w:rFonts w:ascii="Times New Roman;sans-serif" w:hAnsi="Times New Roman;sans-serif"/>
          <w:b w:val="false"/>
          <w:i/>
          <w:color w:val="000000"/>
          <w:sz w:val="20"/>
        </w:rPr>
        <w:t xml:space="preserve">General and administrative. </w:t>
      </w:r>
      <w:r>
        <w:rPr>
          <w:rFonts w:ascii="Times New Roman;sans-serif" w:hAnsi="Times New Roman;sans-serif"/>
          <w:b w:val="false"/>
          <w:color w:val="000000"/>
          <w:sz w:val="20"/>
        </w:rPr>
        <w:t>General and administrative expenses consist of operating expense and general and administrative (“</w:t>
      </w:r>
      <w:r>
        <w:rPr>
          <w:rFonts w:ascii="Times New Roman;sans-serif" w:hAnsi="Times New Roman;sans-serif"/>
          <w:b w:val="false"/>
          <w:i/>
          <w:color w:val="000000"/>
          <w:sz w:val="20"/>
        </w:rPr>
        <w:t>G&amp;A</w:t>
      </w:r>
      <w:r>
        <w:rPr>
          <w:color w:val="000000"/>
        </w:rPr>
        <w:t>”</w:t>
      </w:r>
      <w:r>
        <w:rPr>
          <w:rFonts w:ascii="Times New Roman;sans-serif" w:hAnsi="Times New Roman;sans-serif"/>
          <w:b w:val="false"/>
          <w:color w:val="000000"/>
          <w:sz w:val="20"/>
        </w:rPr>
        <w:t>) expense. Operating expense includes payroll and related expense for service technicians, route technicians, route security, and preventative maintenance personnel. Operating expense also includes vehicle fuel and maintenance, and non-capitalizable parts expenses. Operating expenses are generally proportionate to the number of locations and gaming terminals. G&amp;A expense includes payroll and related expense for account managers, business development managers, marketing, and other corporate personnel. In addition, G&amp;A expense also includes marketing, information technology, insurance, rent and professional fees.</w:t>
      </w:r>
    </w:p>
    <w:p>
      <w:pPr>
        <w:pStyle w:val="TextBody"/>
        <w:spacing w:lineRule="auto" w:line="345" w:before="160" w:after="283"/>
        <w:jc w:val="both"/>
        <w:rPr/>
      </w:pPr>
      <w:r>
        <w:rPr>
          <w:rFonts w:ascii="Times New Roman;sans-serif" w:hAnsi="Times New Roman;sans-serif"/>
          <w:b w:val="false"/>
          <w:i/>
          <w:color w:val="000000"/>
          <w:sz w:val="20"/>
        </w:rPr>
        <w:t xml:space="preserve">Depreciation and amortization of property and equipment. </w:t>
      </w:r>
      <w:r>
        <w:rPr>
          <w:rFonts w:ascii="Times New Roman;sans-serif" w:hAnsi="Times New Roman;sans-serif"/>
          <w:b w:val="false"/>
          <w:color w:val="000000"/>
          <w:sz w:val="20"/>
        </w:rPr>
        <w:t xml:space="preserve">Depreciation is computed using the straight-line method over the estimated useful lives of the individual assets. Leasehold improvements are amortized over the shorter of the useful life or the lease. </w:t>
      </w:r>
    </w:p>
    <w:p>
      <w:pPr>
        <w:pStyle w:val="TextBody"/>
        <w:spacing w:lineRule="auto" w:line="345" w:before="160" w:after="283"/>
        <w:jc w:val="both"/>
        <w:rPr/>
      </w:pPr>
      <w:r>
        <w:rPr>
          <w:rFonts w:ascii="Times New Roman;sans-serif" w:hAnsi="Times New Roman;sans-serif"/>
          <w:b w:val="false"/>
          <w:i/>
          <w:color w:val="000000"/>
          <w:sz w:val="20"/>
        </w:rPr>
        <w:t xml:space="preserve">Amortization of intangible assets and route and customer acquisition costs. </w:t>
      </w:r>
      <w:r>
        <w:rPr>
          <w:rFonts w:ascii="Times New Roman;sans-serif" w:hAnsi="Times New Roman;sans-serif"/>
          <w:b w:val="false"/>
          <w:color w:val="000000"/>
          <w:sz w:val="20"/>
        </w:rPr>
        <w:t xml:space="preserve">Route and customer acquisition costs consist of fees paid at the inception of contracts entered into with third parties and the gaming locations in the states we serve, which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2e65ffc0a01a49368550f687b81d7587_7">
        <w:r>
          <w:rPr>
            <w:rStyle w:val="InternetLink"/>
            <w:rFonts w:ascii="Times New Roman;sans-serif" w:hAnsi="Times New Roman;sans-serif"/>
            <w:b w:val="false"/>
            <w:color w:val="0000FF"/>
            <w:sz w:val="20"/>
            <w:u w:val="single"/>
          </w:rPr>
          <w:t>Table of Contents</w:t>
        </w:r>
      </w:hyperlink>
    </w:p>
    <w:p>
      <w:pPr>
        <w:pStyle w:val="TextBody"/>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allows us to install and operate gaming terminals. The route and customer acquisition costs and route and customer acquisition costs payable are recorded at the net present value of the future payments using a discount rate equal to our incremental borrowing rate associated with its long-term debt. Route and customer acquisition costs are amortized on a straight-line basis over 18 years, which is the expected estimated life of the contract, including expected renewals.</w:t>
      </w:r>
    </w:p>
    <w:p>
      <w:pPr>
        <w:pStyle w:val="TextBody"/>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Location contracts acquired in a business combination are recorded at fair value and then amortized as an intangible asset on a straight-line basis over the expected useful life of 15 years.</w:t>
      </w:r>
    </w:p>
    <w:p>
      <w:pPr>
        <w:pStyle w:val="TextBody"/>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intangible assets acquired in a business acquisition are recorded at fair value and then amortized as an intangible asset on a straight-line basis over their estimated 7 to 20-year useful lives.</w:t>
      </w:r>
    </w:p>
    <w:p>
      <w:pPr>
        <w:pStyle w:val="TextBody"/>
        <w:spacing w:lineRule="auto" w:line="288" w:before="24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Interest expense, net</w:t>
      </w:r>
    </w:p>
    <w:p>
      <w:pPr>
        <w:pStyle w:val="TextBody"/>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net consists of interest on our current credit facilities, amortization of financing fees, accretion of interest on route and customer acquisition costs payable, and interest (income) expense on the interest rate caplets. Interest on the current credit facility is payable monthly on unpaid balances at the variable per annum LIBOR rate plus an applicable margin, as defined under the terms of the credit facility, ranging from 1.75% to 2.75% depending on the first lien net leverage ratio. </w:t>
      </w:r>
    </w:p>
    <w:p>
      <w:pPr>
        <w:pStyle w:val="TextBody"/>
        <w:spacing w:lineRule="auto" w:line="288" w:before="24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Income tax expense </w:t>
      </w:r>
    </w:p>
    <w:p>
      <w:pPr>
        <w:pStyle w:val="TextBody"/>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consists mainly of taxes payable to federal, state and local authorities. Deferred income taxes are recognized for the tax consequences of temporary differences between the financial statement carrying amounts and the tax basis of the assets and liabilities.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2e65ffc0a01a49368550f687b81d7587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345" w:before="240" w:after="283"/>
        <w:ind w:left="0" w:right="0" w:firstLine="360"/>
        <w:rPr/>
      </w:pPr>
      <w:r>
        <w:rPr>
          <w:rFonts w:ascii="Times New Roman;sans-serif" w:hAnsi="Times New Roman;sans-serif"/>
          <w:b w:val="false"/>
          <w:color w:val="000000"/>
          <w:sz w:val="20"/>
          <w:highlight w:val="white"/>
        </w:rPr>
        <w:t>The following table summarizes our results of operations on a consolidated basis for the three</w:t>
      </w:r>
      <w:r>
        <w:rPr>
          <w:color w:val="000000"/>
        </w:rPr>
        <w:t xml:space="preserve"> </w:t>
      </w:r>
      <w:r>
        <w:rPr>
          <w:rFonts w:ascii="Times New Roman;sans-serif" w:hAnsi="Times New Roman;sans-serif"/>
          <w:b w:val="false"/>
          <w:color w:val="000000"/>
          <w:sz w:val="20"/>
        </w:rPr>
        <w:t xml:space="preserve">months ended </w:t>
      </w:r>
      <w:r>
        <w:rPr>
          <w:rFonts w:ascii="Times New Roman;sans-serif" w:hAnsi="Times New Roman;sans-serif"/>
          <w:b w:val="false"/>
          <w:color w:val="000000"/>
          <w:sz w:val="20"/>
          <w:highlight w:val="white"/>
        </w:rPr>
        <w:t>March 31, 2023 and 2022:</w:t>
      </w:r>
    </w:p>
    <w:tbl>
      <w:tblPr>
        <w:tblW w:w="10205" w:type="dxa"/>
        <w:jc w:val="center"/>
        <w:tblInd w:w="0" w:type="dxa"/>
        <w:tblCellMar>
          <w:top w:w="28" w:type="dxa"/>
          <w:left w:w="28" w:type="dxa"/>
          <w:bottom w:w="28" w:type="dxa"/>
          <w:right w:w="28" w:type="dxa"/>
        </w:tblCellMar>
      </w:tblPr>
      <w:tblGrid>
        <w:gridCol w:w="1812"/>
        <w:gridCol w:w="1499"/>
        <w:gridCol w:w="1475"/>
        <w:gridCol w:w="211"/>
        <w:gridCol w:w="826"/>
        <w:gridCol w:w="109"/>
        <w:gridCol w:w="109"/>
        <w:gridCol w:w="109"/>
        <w:gridCol w:w="109"/>
        <w:gridCol w:w="211"/>
        <w:gridCol w:w="826"/>
        <w:gridCol w:w="109"/>
        <w:gridCol w:w="109"/>
        <w:gridCol w:w="109"/>
        <w:gridCol w:w="109"/>
        <w:gridCol w:w="211"/>
        <w:gridCol w:w="668"/>
        <w:gridCol w:w="109"/>
        <w:gridCol w:w="109"/>
        <w:gridCol w:w="109"/>
        <w:gridCol w:w="109"/>
        <w:gridCol w:w="307"/>
        <w:gridCol w:w="309"/>
        <w:gridCol w:w="542"/>
      </w:tblGrid>
      <w:tr>
        <w:trPr/>
        <w:tc>
          <w:tcPr>
            <w:tcW w:w="1812" w:type="dxa"/>
            <w:tcBorders/>
            <w:shd w:fill="auto" w:val="clear"/>
            <w:vAlign w:val="center"/>
          </w:tcPr>
          <w:p>
            <w:pPr>
              <w:pStyle w:val="TableContents"/>
              <w:spacing w:before="0" w:after="283"/>
              <w:rPr>
                <w:sz w:val="4"/>
                <w:szCs w:val="4"/>
              </w:rPr>
            </w:pPr>
            <w:r>
              <w:rPr>
                <w:sz w:val="4"/>
                <w:szCs w:val="4"/>
              </w:rPr>
            </w:r>
          </w:p>
        </w:tc>
        <w:tc>
          <w:tcPr>
            <w:tcW w:w="1499" w:type="dxa"/>
            <w:tcBorders/>
            <w:shd w:fill="auto" w:val="clear"/>
            <w:vAlign w:val="center"/>
          </w:tcPr>
          <w:p>
            <w:pPr>
              <w:pStyle w:val="TableContents"/>
              <w:spacing w:before="0" w:after="283"/>
              <w:rPr>
                <w:sz w:val="4"/>
                <w:szCs w:val="4"/>
              </w:rPr>
            </w:pPr>
            <w:r>
              <w:rPr>
                <w:sz w:val="4"/>
                <w:szCs w:val="4"/>
              </w:rPr>
            </w:r>
          </w:p>
        </w:tc>
        <w:tc>
          <w:tcPr>
            <w:tcW w:w="147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r>
      <w:tr>
        <w:trPr/>
        <w:tc>
          <w:tcPr>
            <w:tcW w:w="47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%'s)</w:t>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Increase / (Decrease)</w:t>
            </w:r>
          </w:p>
        </w:tc>
      </w:tr>
      <w:tr>
        <w:trPr/>
        <w:tc>
          <w:tcPr>
            <w:tcW w:w="4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 (%)</w:t>
            </w:r>
          </w:p>
        </w:tc>
      </w:tr>
      <w:tr>
        <w:trPr/>
        <w:tc>
          <w:tcPr>
            <w:tcW w:w="47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gaming</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54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Amusement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54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47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ATM fees and other revenue</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54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54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 expense shown below)</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54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54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54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and route and customer acquisition costs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54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54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54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54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54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change in fair value of contingent earnout shares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234.7 </w:t>
            </w:r>
          </w:p>
        </w:tc>
        <w:tc>
          <w:tcPr>
            <w:tcW w:w="54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86"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8" w:type="dxa"/>
            <w:gridSpan w:val="3"/>
            <w:tcBorders/>
            <w:shd w:fill="auto" w:val="clear"/>
            <w:vAlign w:val="center"/>
          </w:tcPr>
          <w:p>
            <w:pPr>
              <w:pStyle w:val="TableContents"/>
              <w:spacing w:before="0" w:after="283"/>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54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54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54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345"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2e65ffc0a01a49368550f687b81d7587_7">
        <w:r>
          <w:rPr>
            <w:rStyle w:val="InternetLink"/>
            <w:rFonts w:ascii="Times New Roman;sans-serif" w:hAnsi="Times New Roman;sans-serif"/>
            <w:b w:val="false"/>
            <w:color w:val="0000FF"/>
            <w:sz w:val="20"/>
            <w:u w:val="single"/>
          </w:rPr>
          <w:t>Table of Contents</w:t>
        </w:r>
      </w:hyperlink>
    </w:p>
    <w:p>
      <w:pPr>
        <w:pStyle w:val="TextBody"/>
        <w:spacing w:lineRule="auto" w:line="345" w:before="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Revenues</w:t>
      </w:r>
    </w:p>
    <w:p>
      <w:pPr>
        <w:pStyle w:val="TextBody"/>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revenues for the three months ended March 31, 2023 were $293.2 million, an increase of $96.3 million, or 48.9%, compared to the prior-year period. This increase was driven by higher net gaming revenue of $90.9 million, or 48.2%, and manufacturing revenue of $2.1 million. Higher net gaming revenue for the three months ended March 31, 2023 was attributable to an increase in gaming terminals and locations due primarily to the acquisition of Century. Net revenues by state are presented below (in thousands):</w:t>
      </w:r>
    </w:p>
    <w:tbl>
      <w:tblPr>
        <w:tblW w:w="4613" w:type="dxa"/>
        <w:jc w:val="center"/>
        <w:tblInd w:w="0" w:type="dxa"/>
        <w:tblCellMar>
          <w:top w:w="28" w:type="dxa"/>
          <w:left w:w="28" w:type="dxa"/>
          <w:bottom w:w="28" w:type="dxa"/>
          <w:right w:w="28" w:type="dxa"/>
        </w:tblCellMar>
      </w:tblPr>
      <w:tblGrid>
        <w:gridCol w:w="705"/>
        <w:gridCol w:w="620"/>
        <w:gridCol w:w="624"/>
        <w:gridCol w:w="211"/>
        <w:gridCol w:w="826"/>
        <w:gridCol w:w="109"/>
        <w:gridCol w:w="109"/>
        <w:gridCol w:w="109"/>
        <w:gridCol w:w="109"/>
        <w:gridCol w:w="211"/>
        <w:gridCol w:w="826"/>
        <w:gridCol w:w="154"/>
      </w:tblGrid>
      <w:tr>
        <w:trPr/>
        <w:tc>
          <w:tcPr>
            <w:tcW w:w="705"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1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9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revenues by state: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45" w:before="16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p>
      <w:pPr>
        <w:pStyle w:val="TextBody"/>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for the three months ended March 31, 2023 was $205.0 million, an increase of $72.3 million, or 54.5%, compared to the prior-year period due primarily to higher revenue, as described above.</w:t>
      </w:r>
    </w:p>
    <w:p>
      <w:pPr>
        <w:pStyle w:val="TextBody"/>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for the three months ended March 31, 2023 were $43.0 million, an increase of $11.9 million, or 38.2%, compared to the prior-year period. The increase reflected additional operating costs from Century as well as higher payroll-related costs as we continue to grow our operations and higher professional fees. </w:t>
      </w:r>
    </w:p>
    <w:p>
      <w:pPr>
        <w:pStyle w:val="TextBody"/>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 of property and equipment</w:t>
      </w:r>
    </w:p>
    <w:p>
      <w:pPr>
        <w:pStyle w:val="TextBody"/>
        <w:spacing w:lineRule="auto" w:line="345" w:before="160" w:after="283"/>
        <w:ind w:left="0" w:right="0" w:firstLine="360"/>
        <w:jc w:val="both"/>
        <w:rPr/>
      </w:pPr>
      <w:r>
        <w:rPr>
          <w:rFonts w:ascii="Times New Roman;sans-serif" w:hAnsi="Times New Roman;sans-serif"/>
          <w:b w:val="false"/>
          <w:color w:val="000000"/>
          <w:sz w:val="20"/>
        </w:rPr>
        <w:t xml:space="preserve">Depreciation and amortization of property and equipment for the three months ended March 31, 2023 was $9.1 million, an increase of $3.2 million, or 55.2%, compared to the prior-year period due to an increased number of locations and gaming terminals </w:t>
      </w:r>
      <w:r>
        <w:rPr>
          <w:rFonts w:ascii="Times New Roman;sans-serif" w:hAnsi="Times New Roman;sans-serif"/>
          <w:b w:val="false"/>
          <w:color w:val="000000"/>
          <w:sz w:val="20"/>
          <w:highlight w:val="white"/>
        </w:rPr>
        <w:t>primarily attributable to the acquisition of Century</w:t>
      </w:r>
      <w:r>
        <w:rPr>
          <w:rFonts w:ascii="Times New Roman;sans-serif" w:hAnsi="Times New Roman;sans-serif"/>
          <w:b w:val="false"/>
          <w:color w:val="000000"/>
          <w:sz w:val="20"/>
        </w:rPr>
        <w:t xml:space="preserve">. </w:t>
      </w:r>
    </w:p>
    <w:p>
      <w:pPr>
        <w:pStyle w:val="TextBody"/>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Amortization of intangible assets and route and customer acquisition costs</w:t>
      </w:r>
    </w:p>
    <w:p>
      <w:pPr>
        <w:pStyle w:val="TextBody"/>
        <w:spacing w:lineRule="auto" w:line="345" w:before="16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and route and customer acquisition costs for the three months ended March 31, 2023 was $5.2 million, an increase of $1.7 million, or 47.7%, compared to the prior-year period due to an increase in location contracts acquired and amortization expense on other intangible assets acquired with Century.</w:t>
      </w:r>
    </w:p>
    <w:p>
      <w:pPr>
        <w:pStyle w:val="TextBody"/>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expenses, net</w:t>
      </w:r>
    </w:p>
    <w:p>
      <w:pPr>
        <w:pStyle w:val="TextBody"/>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expenses, net for the three months ended March 31, 2023 were $3.3 million, an increase of $0.7 million, or 27.2%, compared to the prior-year period due to higher fair value adjustments associated with the revaluation of contingent consideration liabilities and higher non-recurring costs on acquisition-related matters, partially offset by a $1.0 million loss associated with a legal settlement that was recorded in the prior year. </w:t>
      </w:r>
    </w:p>
    <w:p>
      <w:pPr>
        <w:pStyle w:val="TextBody"/>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net</w:t>
      </w:r>
    </w:p>
    <w:p>
      <w:pPr>
        <w:pStyle w:val="TextBody"/>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for the three months ended March 31, 2023 was $7.9 million, an increase of $3.9 million, or 97.2%, compared to the prior-year period primarily due to an increase in average outstanding debt and higher interest rates, partially offset by the benefit realized on our interest rate caplets. The weighted average interest rate, excluding the impact of the interest rate caplets, was approximately 6.8% for the three months ended March 31, 2023 compared to 3.6% in the prior-year period.</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2e65ffc0a01a49368550f687b81d7587_7">
        <w:r>
          <w:rPr>
            <w:rStyle w:val="InternetLink"/>
            <w:rFonts w:ascii="Times New Roman;sans-serif" w:hAnsi="Times New Roman;sans-serif"/>
            <w:b w:val="false"/>
            <w:color w:val="0000FF"/>
            <w:sz w:val="20"/>
            <w:u w:val="single"/>
          </w:rPr>
          <w:t>Table of Contents</w:t>
        </w:r>
      </w:hyperlink>
    </w:p>
    <w:p>
      <w:pPr>
        <w:pStyle w:val="TextBody"/>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Loss (gain) on change in fair value of contingent earnout shares</w:t>
      </w:r>
    </w:p>
    <w:p>
      <w:pPr>
        <w:pStyle w:val="TextBody"/>
        <w:spacing w:lineRule="auto" w:line="345" w:before="160" w:after="283"/>
        <w:ind w:left="0" w:right="0" w:firstLine="360"/>
        <w:jc w:val="both"/>
        <w:rPr/>
      </w:pPr>
      <w:r>
        <w:rPr>
          <w:rFonts w:ascii="Times New Roman;sans-serif" w:hAnsi="Times New Roman;sans-serif"/>
          <w:b w:val="false"/>
          <w:color w:val="000000"/>
          <w:sz w:val="20"/>
        </w:rPr>
        <w:t>Loss on the change in fair value of contingent earnout shares for the three months ended March 31, 2023 was $4.6 million, compared to the prior-</w:t>
      </w:r>
      <w:r>
        <w:rPr>
          <w:rFonts w:ascii="Times New Roman;sans-serif" w:hAnsi="Times New Roman;sans-serif"/>
          <w:b w:val="false"/>
          <w:color w:val="000000"/>
          <w:sz w:val="20"/>
          <w:highlight w:val="white"/>
        </w:rPr>
        <w:t xml:space="preserve">year period, which had a gain of </w:t>
      </w:r>
      <w:r>
        <w:rPr>
          <w:rFonts w:ascii="Times New Roman;sans-serif" w:hAnsi="Times New Roman;sans-serif"/>
          <w:b w:val="false"/>
          <w:color w:val="000000"/>
          <w:sz w:val="20"/>
        </w:rPr>
        <w:t xml:space="preserve">$3.4 million. The changes in fair value are primarily due to the change in the market value of our A-1 common stock, which was the primary input to the valuation of the contingent earnout shares. </w:t>
      </w:r>
    </w:p>
    <w:p>
      <w:pPr>
        <w:pStyle w:val="TextBody"/>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Income tax expense </w:t>
      </w:r>
    </w:p>
    <w:p>
      <w:pPr>
        <w:pStyle w:val="TextBody"/>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for the three months ended March 31, 2023 was $6.0 million, an increase of $1.2 million, or 24.1%, compared to the prior-year period. The effective tax rate for the three months ended March 31, 2023 was 39.5% compared to 23.4% in the prior year period. Our effective income tax rate can vary from period to period depending on, among other factors, the amount of permanent tax adjustments and discrete items. The change in the fair value of the contingent earnout shares is considered a discrete item for tax purposes and was the primary driver for the fluctuations in the tax rate year over year.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Key Business Metrics</w:t>
      </w:r>
    </w:p>
    <w:p>
      <w:pPr>
        <w:pStyle w:val="TextBody"/>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statistical data and comparative information commonly used in the gaming industry to monitor the performance of the business, none of which are prepared in accordance with U.S. GAAP, and therefore should not be viewed as indicators of operational performance. Our management uses these key business metrics for financial planning, strategic planning and employee compensation decisions. The key business metrics include:</w:t>
      </w:r>
    </w:p>
    <w:p>
      <w:pPr>
        <w:pStyle w:val="TextBody"/>
        <w:spacing w:lineRule="auto" w:line="345" w:before="160" w:after="283"/>
        <w:ind w:left="0" w:right="0" w:firstLine="360"/>
        <w:jc w:val="both"/>
        <w:rPr/>
      </w:pPr>
      <w:r>
        <w:rPr>
          <w:color w:val="000000"/>
        </w:rPr>
        <w:t>•</w:t>
      </w:r>
      <w:r>
        <w:rPr>
          <w:rFonts w:ascii="Times New Roman;sans-serif" w:hAnsi="Times New Roman;sans-serif"/>
          <w:b w:val="false"/>
          <w:color w:val="000000"/>
          <w:sz w:val="20"/>
        </w:rPr>
        <w:t>Number of locations and;</w:t>
      </w:r>
    </w:p>
    <w:p>
      <w:pPr>
        <w:pStyle w:val="TextBody"/>
        <w:spacing w:lineRule="auto" w:line="345" w:before="160" w:after="283"/>
        <w:ind w:left="0" w:right="0" w:firstLine="360"/>
        <w:jc w:val="both"/>
        <w:rPr/>
      </w:pPr>
      <w:r>
        <w:rPr>
          <w:color w:val="000000"/>
        </w:rPr>
        <w:t>•</w:t>
      </w:r>
      <w:r>
        <w:rPr>
          <w:rFonts w:ascii="Times New Roman;sans-serif" w:hAnsi="Times New Roman;sans-serif"/>
          <w:b w:val="false"/>
          <w:color w:val="000000"/>
          <w:sz w:val="20"/>
        </w:rPr>
        <w:t>Number of gaming terminals</w:t>
      </w:r>
    </w:p>
    <w:p>
      <w:pPr>
        <w:pStyle w:val="TextBody"/>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periodically review and revise our key business metrics to reflect changes in our business.</w:t>
      </w:r>
    </w:p>
    <w:p>
      <w:pPr>
        <w:pStyle w:val="TextBody"/>
        <w:spacing w:lineRule="auto" w:line="288" w:before="240" w:after="283"/>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Number of locations</w:t>
      </w:r>
    </w:p>
    <w:p>
      <w:pPr>
        <w:pStyle w:val="TextBody"/>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locations is based on a combination of third-party portal data and data from our internal systems. We utilize this metric to continually monitor growth from existing locations, organic openings, purchased locations, and competitor conversions. Competitor conversions occur when a location chooses to change terminal operators. </w:t>
      </w:r>
    </w:p>
    <w:p>
      <w:pPr>
        <w:pStyle w:val="TextBody"/>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with respect to our primary locations:</w:t>
      </w:r>
    </w:p>
    <w:tbl>
      <w:tblPr>
        <w:tblW w:w="6254" w:type="dxa"/>
        <w:jc w:val="center"/>
        <w:tblInd w:w="0" w:type="dxa"/>
        <w:tblCellMar>
          <w:top w:w="28" w:type="dxa"/>
          <w:left w:w="28" w:type="dxa"/>
          <w:bottom w:w="28" w:type="dxa"/>
          <w:right w:w="28" w:type="dxa"/>
        </w:tblCellMar>
      </w:tblPr>
      <w:tblGrid>
        <w:gridCol w:w="487"/>
        <w:gridCol w:w="428"/>
        <w:gridCol w:w="435"/>
        <w:gridCol w:w="308"/>
        <w:gridCol w:w="308"/>
        <w:gridCol w:w="176"/>
        <w:gridCol w:w="160"/>
        <w:gridCol w:w="160"/>
        <w:gridCol w:w="160"/>
        <w:gridCol w:w="308"/>
        <w:gridCol w:w="308"/>
        <w:gridCol w:w="176"/>
        <w:gridCol w:w="109"/>
        <w:gridCol w:w="109"/>
        <w:gridCol w:w="109"/>
        <w:gridCol w:w="308"/>
        <w:gridCol w:w="308"/>
        <w:gridCol w:w="251"/>
        <w:gridCol w:w="174"/>
        <w:gridCol w:w="174"/>
        <w:gridCol w:w="174"/>
        <w:gridCol w:w="265"/>
        <w:gridCol w:w="246"/>
        <w:gridCol w:w="613"/>
      </w:tblGrid>
      <w:tr>
        <w:trPr/>
        <w:tc>
          <w:tcPr>
            <w:tcW w:w="487"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r>
      <w:tr>
        <w:trPr/>
        <w:tc>
          <w:tcPr>
            <w:tcW w:w="1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4"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1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52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13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3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3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locations</w:t>
            </w:r>
          </w:p>
        </w:tc>
        <w:tc>
          <w:tcPr>
            <w:tcW w:w="61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3,628 </w:t>
            </w:r>
          </w:p>
        </w:tc>
        <w:tc>
          <w:tcPr>
            <w:tcW w:w="1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2,565 </w:t>
            </w:r>
          </w:p>
        </w:tc>
        <w:tc>
          <w:tcPr>
            <w:tcW w:w="1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25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613"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2e65ffc0a01a49368550f687b81d7587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 xml:space="preserve">Number of gaming terminals </w:t>
      </w:r>
    </w:p>
    <w:p>
      <w:pPr>
        <w:pStyle w:val="TextBody"/>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gaming terminals in operation is based on a combination of third-party portal data and data from our internal systems. We utilize this metric to continually monitor growth from existing locations, organic openings, purchased locations, and competitor conversions.</w:t>
      </w:r>
    </w:p>
    <w:p>
      <w:pPr>
        <w:pStyle w:val="TextBody"/>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with respect to the number of gaming terminals in the primary locations:</w:t>
      </w:r>
    </w:p>
    <w:tbl>
      <w:tblPr>
        <w:tblW w:w="7123" w:type="dxa"/>
        <w:jc w:val="center"/>
        <w:tblInd w:w="0" w:type="dxa"/>
        <w:tblCellMar>
          <w:top w:w="28" w:type="dxa"/>
          <w:left w:w="28" w:type="dxa"/>
          <w:bottom w:w="28" w:type="dxa"/>
          <w:right w:w="28" w:type="dxa"/>
        </w:tblCellMar>
      </w:tblPr>
      <w:tblGrid>
        <w:gridCol w:w="724"/>
        <w:gridCol w:w="637"/>
        <w:gridCol w:w="648"/>
        <w:gridCol w:w="360"/>
        <w:gridCol w:w="361"/>
        <w:gridCol w:w="176"/>
        <w:gridCol w:w="160"/>
        <w:gridCol w:w="160"/>
        <w:gridCol w:w="160"/>
        <w:gridCol w:w="360"/>
        <w:gridCol w:w="361"/>
        <w:gridCol w:w="176"/>
        <w:gridCol w:w="109"/>
        <w:gridCol w:w="109"/>
        <w:gridCol w:w="109"/>
        <w:gridCol w:w="308"/>
        <w:gridCol w:w="308"/>
        <w:gridCol w:w="251"/>
        <w:gridCol w:w="174"/>
        <w:gridCol w:w="174"/>
        <w:gridCol w:w="174"/>
        <w:gridCol w:w="265"/>
        <w:gridCol w:w="246"/>
        <w:gridCol w:w="613"/>
      </w:tblGrid>
      <w:tr>
        <w:trPr/>
        <w:tc>
          <w:tcPr>
            <w:tcW w:w="724"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52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20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6,247 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6,247 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7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gaming terminals</w:t>
            </w:r>
          </w:p>
        </w:tc>
        <w:tc>
          <w:tcPr>
            <w:tcW w:w="721"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23,497 </w:t>
            </w:r>
          </w:p>
        </w:tc>
        <w:tc>
          <w:tcPr>
            <w:tcW w:w="1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13,663 </w:t>
            </w:r>
          </w:p>
        </w:tc>
        <w:tc>
          <w:tcPr>
            <w:tcW w:w="1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9,834 </w:t>
            </w:r>
          </w:p>
        </w:tc>
        <w:tc>
          <w:tcPr>
            <w:tcW w:w="25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613"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Non-GAAP Financial Measures</w:t>
      </w:r>
    </w:p>
    <w:p>
      <w:pPr>
        <w:pStyle w:val="TextBody"/>
        <w:spacing w:lineRule="auto" w:line="345" w:before="180" w:after="283"/>
        <w:ind w:left="0" w:right="0" w:firstLine="360"/>
        <w:jc w:val="both"/>
        <w:rPr/>
      </w:pPr>
      <w:r>
        <w:rPr>
          <w:rFonts w:ascii="Times New Roman;sans-serif" w:hAnsi="Times New Roman;sans-serif"/>
          <w:b w:val="false"/>
          <w:color w:val="000000"/>
          <w:sz w:val="20"/>
        </w:rPr>
        <w:t>Adjusted EBITDA and Adjusted net income are non-GAAP financial measures and are key metrics used to monitor ongoing core operations. Our management believes Adjusted EBITDA and Adjusted net income enhance the understanding of our underlying drivers of profitability and trends in our business and facilitate company-to-company and period-to-period comparisons, because these non-GAAP financial measures exclude the effects of certain non-cash items or represent certain nonrecurring items that are unrelated to core performance. Management also believes that these non-GAAP financial measures are used by investors, analysts and other interested parties as measures of financial performance and to evaluate our ability to fund capital expenditures, service debt obligations and meet working capital requirements</w:t>
      </w:r>
      <w:r>
        <w:rPr>
          <w:rFonts w:ascii="Times New Roman;sans-serif" w:hAnsi="Times New Roman;sans-serif"/>
          <w:b w:val="false"/>
          <w:color w:val="000000"/>
          <w:sz w:val="20"/>
          <w:highlight w:val="white"/>
        </w:rPr>
        <w:t>.</w:t>
      </w:r>
    </w:p>
    <w:p>
      <w:pPr>
        <w:pStyle w:val="TextBody"/>
        <w:spacing w:before="240" w:after="283"/>
        <w:rPr/>
      </w:pPr>
      <w:r>
        <w:rPr/>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2e65ffc0a01a49368550f687b81d7587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pPr>
      <w:r>
        <w:rPr>
          <w:rFonts w:ascii="Times New Roman;sans-serif" w:hAnsi="Times New Roman;sans-serif"/>
          <w:b/>
          <w:i/>
          <w:color w:val="000000"/>
          <w:sz w:val="20"/>
          <w:highlight w:val="white"/>
        </w:rPr>
        <w:t xml:space="preserve">Adjusted </w:t>
      </w:r>
      <w:r>
        <w:rPr>
          <w:rFonts w:ascii="Times New Roman;sans-serif" w:hAnsi="Times New Roman;sans-serif"/>
          <w:b/>
          <w:i/>
          <w:color w:val="000000"/>
          <w:sz w:val="20"/>
        </w:rPr>
        <w:t>net income</w:t>
      </w:r>
      <w:r>
        <w:rPr>
          <w:color w:val="000000"/>
          <w:highlight w:val="white"/>
        </w:rPr>
        <w:t xml:space="preserve"> </w:t>
      </w:r>
      <w:r>
        <w:rPr>
          <w:rFonts w:ascii="Times New Roman;sans-serif" w:hAnsi="Times New Roman;sans-serif"/>
          <w:b/>
          <w:i/>
          <w:color w:val="000000"/>
          <w:sz w:val="20"/>
          <w:highlight w:val="white"/>
        </w:rPr>
        <w:t>and Adjusted EBITDA</w:t>
      </w:r>
    </w:p>
    <w:tbl>
      <w:tblPr>
        <w:tblW w:w="9819" w:type="dxa"/>
        <w:jc w:val="center"/>
        <w:tblInd w:w="0" w:type="dxa"/>
        <w:tblCellMar>
          <w:top w:w="28" w:type="dxa"/>
          <w:left w:w="28" w:type="dxa"/>
          <w:bottom w:w="28" w:type="dxa"/>
          <w:right w:w="28" w:type="dxa"/>
        </w:tblCellMar>
      </w:tblPr>
      <w:tblGrid>
        <w:gridCol w:w="2282"/>
        <w:gridCol w:w="2003"/>
        <w:gridCol w:w="2029"/>
        <w:gridCol w:w="109"/>
        <w:gridCol w:w="109"/>
        <w:gridCol w:w="162"/>
        <w:gridCol w:w="162"/>
        <w:gridCol w:w="314"/>
        <w:gridCol w:w="1074"/>
        <w:gridCol w:w="162"/>
        <w:gridCol w:w="109"/>
        <w:gridCol w:w="109"/>
        <w:gridCol w:w="109"/>
        <w:gridCol w:w="211"/>
        <w:gridCol w:w="721"/>
        <w:gridCol w:w="154"/>
      </w:tblGrid>
      <w:tr>
        <w:trPr/>
        <w:tc>
          <w:tcPr>
            <w:tcW w:w="2282" w:type="dxa"/>
            <w:tcBorders/>
            <w:shd w:fill="auto" w:val="clear"/>
            <w:vAlign w:val="center"/>
          </w:tcPr>
          <w:p>
            <w:pPr>
              <w:pStyle w:val="TableContents"/>
              <w:spacing w:before="0" w:after="283"/>
              <w:rPr>
                <w:sz w:val="4"/>
                <w:szCs w:val="4"/>
              </w:rPr>
            </w:pPr>
            <w:r>
              <w:rPr>
                <w:sz w:val="4"/>
                <w:szCs w:val="4"/>
              </w:rPr>
            </w:r>
          </w:p>
        </w:tc>
        <w:tc>
          <w:tcPr>
            <w:tcW w:w="2003" w:type="dxa"/>
            <w:tcBorders/>
            <w:shd w:fill="auto" w:val="clear"/>
            <w:vAlign w:val="center"/>
          </w:tcPr>
          <w:p>
            <w:pPr>
              <w:pStyle w:val="TableContents"/>
              <w:spacing w:before="0" w:after="283"/>
              <w:rPr>
                <w:sz w:val="4"/>
                <w:szCs w:val="4"/>
              </w:rPr>
            </w:pPr>
            <w:r>
              <w:rPr>
                <w:sz w:val="4"/>
                <w:szCs w:val="4"/>
              </w:rPr>
            </w:r>
          </w:p>
        </w:tc>
        <w:tc>
          <w:tcPr>
            <w:tcW w:w="20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4"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6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5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3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55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9,182 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Amortization of intangible assets and route and customer acquisition costs</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Stock-based compensation </w:t>
            </w:r>
            <w:r>
              <w:rPr>
                <w:rFonts w:ascii="Times New Roman;sans-serif" w:hAnsi="Times New Roman;sans-serif"/>
                <w:b w:val="false"/>
                <w:color w:val="000000"/>
                <w:sz w:val="11"/>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Loss (gain) on change in fair value of contingent earnout shares </w:t>
            </w:r>
            <w:r>
              <w:rPr>
                <w:rFonts w:ascii="Times New Roman;sans-serif" w:hAnsi="Times New Roman;sans-serif"/>
                <w:b w:val="false"/>
                <w:color w:val="000000"/>
                <w:sz w:val="10"/>
              </w:rPr>
              <w:t>(3)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5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Other expenses, net </w:t>
            </w:r>
            <w:r>
              <w:rPr>
                <w:rFonts w:ascii="Times New Roman;sans-serif" w:hAnsi="Times New Roman;sans-serif"/>
                <w:b w:val="false"/>
                <w:color w:val="000000"/>
                <w:sz w:val="11"/>
              </w:rPr>
              <w:t>(4)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Tax effect of adjustments </w:t>
            </w:r>
            <w:r>
              <w:rPr>
                <w:rFonts w:ascii="Times New Roman;sans-serif" w:hAnsi="Times New Roman;sans-serif"/>
                <w:b w:val="false"/>
                <w:color w:val="000000"/>
                <w:sz w:val="11"/>
              </w:rPr>
              <w:t>(5)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3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7,888 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Emerging markets </w:t>
            </w:r>
            <w:r>
              <w:rPr>
                <w:rFonts w:ascii="Times New Roman;sans-serif" w:hAnsi="Times New Roman;sans-serif"/>
                <w:b w:val="false"/>
                <w:color w:val="000000"/>
                <w:sz w:val="11"/>
              </w:rPr>
              <w:t>(6)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8,901 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46,118 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45" w:before="180" w:after="283"/>
        <w:ind w:left="0" w:right="0" w:hanging="36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Amortization of intangible assets and route and customer acquisition costs consist of upfront cash payments and future cash payments to third-party sales agents to acquire the location partners that are not connected with a business acquisition, as well as the amortization of other intangible assets. We amortize the upfront cash payment over the life of the contract, including expected renewals, beginning on the date the location goes live, and recognize non-cash amortization charges with respect to such items. Future or deferred cash payments, which may occur based on terms of the underlying contract, are generally lower in the aggregate as compared to established practice of providing higher upfront payments, and are also capitalized and amortized over the remaining life of the contract. Future cash payments do not include cash costs associated with renewing customer contracts as we do not generally incur significant costs as a result of extension or renewal of an existing contract. Location contracts acquired in a business combination are recorded at fair value as part of the business combination accounting and then amortized as an intangible asset on a straight-line basis over the expected useful life of the contract of 15 years. “Amortization of intangible assets and route and customer acquisition costs” aggregates the non-cash amortization charges relating to upfront route and customer acquisition cost payments and location contracts acquired, as well as the amortization of other intangible assets.</w:t>
      </w:r>
    </w:p>
    <w:p>
      <w:pPr>
        <w:pStyle w:val="TextBody"/>
        <w:spacing w:lineRule="auto" w:line="345" w:before="0" w:after="0"/>
        <w:ind w:left="0" w:right="0" w:hanging="36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Stock-based compensation consists of options, restricted stock units, and performance-based restricted stock units.</w:t>
      </w:r>
    </w:p>
    <w:p>
      <w:pPr>
        <w:pStyle w:val="TextBody"/>
        <w:spacing w:lineRule="auto" w:line="345" w:before="0" w:after="0"/>
        <w:ind w:left="0" w:right="0" w:hanging="360"/>
        <w:jc w:val="both"/>
        <w:rPr/>
      </w:pPr>
      <w:r>
        <w:rPr>
          <w:rFonts w:ascii="Times New Roman;sans-serif" w:hAnsi="Times New Roman;sans-serif"/>
          <w:b w:val="false"/>
          <w:color w:val="000000"/>
          <w:sz w:val="10"/>
        </w:rPr>
        <w:t>(3)</w:t>
      </w:r>
      <w:r>
        <w:rPr>
          <w:rFonts w:ascii="Times New Roman;sans-serif" w:hAnsi="Times New Roman;sans-serif"/>
          <w:b w:val="false"/>
          <w:color w:val="000000"/>
          <w:sz w:val="16"/>
        </w:rPr>
        <w:t>Loss (gain) on change in fair value of contingent earnout shares represents a non-cash fair value adjustment at each reporting period end related to the value of these contingent shares. Upon achieving such contingency, shares of Class A-2 common stock convert to Class A-1 common stock resulting in a non-cash settlement of the obligation.</w:t>
      </w:r>
    </w:p>
    <w:p>
      <w:pPr>
        <w:pStyle w:val="TextBody"/>
        <w:spacing w:lineRule="auto" w:line="345" w:before="0" w:after="0"/>
        <w:ind w:left="0" w:right="0" w:hanging="360"/>
        <w:jc w:val="both"/>
        <w:rPr/>
      </w:pPr>
      <w:r>
        <w:rPr>
          <w:rFonts w:ascii="Times New Roman;sans-serif" w:hAnsi="Times New Roman;sans-serif"/>
          <w:b w:val="false"/>
          <w:color w:val="000000"/>
          <w:sz w:val="10"/>
        </w:rPr>
        <w:t>(4)</w:t>
      </w:r>
      <w:r>
        <w:rPr>
          <w:rFonts w:ascii="Times New Roman;sans-serif" w:hAnsi="Times New Roman;sans-serif"/>
          <w:b w:val="false"/>
          <w:color w:val="000000"/>
          <w:sz w:val="16"/>
        </w:rPr>
        <w:t>Other expenses, net consists of (i) non-cash expenses including the remeasurement of contingent consideration liabilities, (ii) non-recurring lobbying and legal expenses related to distributed gaming expansion in current or prospective markets, and (iii) other non-recurring expenses.</w:t>
      </w:r>
    </w:p>
    <w:p>
      <w:pPr>
        <w:pStyle w:val="TextBody"/>
        <w:spacing w:lineRule="auto" w:line="345" w:before="0" w:after="0"/>
        <w:ind w:left="0" w:right="0" w:hanging="360"/>
        <w:jc w:val="both"/>
        <w:rPr/>
      </w:pPr>
      <w:r>
        <w:rPr>
          <w:rFonts w:ascii="Times New Roman;sans-serif" w:hAnsi="Times New Roman;sans-serif"/>
          <w:b w:val="false"/>
          <w:color w:val="000000"/>
          <w:sz w:val="10"/>
        </w:rPr>
        <w:t>(5)</w:t>
      </w:r>
      <w:r>
        <w:rPr>
          <w:rFonts w:ascii="Times New Roman;sans-serif" w:hAnsi="Times New Roman;sans-serif"/>
          <w:b w:val="false"/>
          <w:color w:val="000000"/>
          <w:sz w:val="16"/>
        </w:rPr>
        <w:t>Calculated by excluding the impact of the non-GAAP adjustments from the current period tax provision calculations.</w:t>
      </w:r>
    </w:p>
    <w:p>
      <w:pPr>
        <w:pStyle w:val="TextBody"/>
        <w:spacing w:lineRule="auto" w:line="345" w:before="0" w:after="0"/>
        <w:ind w:left="0" w:right="0" w:hanging="360"/>
        <w:jc w:val="both"/>
        <w:rPr/>
      </w:pPr>
      <w:r>
        <w:rPr>
          <w:rFonts w:ascii="Times New Roman;sans-serif" w:hAnsi="Times New Roman;sans-serif"/>
          <w:b w:val="false"/>
          <w:color w:val="000000"/>
          <w:sz w:val="10"/>
        </w:rPr>
        <w:t>(6)</w:t>
      </w:r>
      <w:r>
        <w:rPr>
          <w:rFonts w:ascii="Times New Roman;sans-serif" w:hAnsi="Times New Roman;sans-serif"/>
          <w:b w:val="false"/>
          <w:color w:val="000000"/>
          <w:sz w:val="16"/>
        </w:rPr>
        <w:t>Emerging markets consist of the results, on an Adjusted EBITDA basis, for non-core jurisdictions where our operations are developing. Markets are no longer considered emerging when we have installed or acquired at least 500 gaming terminals in the jurisdiction, or when 24 months have elapsed from the date we first install or acquire gaming terminals in the jurisdiction, whichever occurs first. We currently view Nebraska, Iowa and Pennsylvania as emerging markets. Prior to July 2022, Georgia was considered an emerging market.</w:t>
      </w:r>
    </w:p>
    <w:p>
      <w:pPr>
        <w:pStyle w:val="TextBody"/>
        <w:spacing w:lineRule="auto" w:line="345" w:before="180" w:after="283"/>
        <w:ind w:left="0" w:right="0" w:firstLine="360"/>
        <w:jc w:val="both"/>
        <w:rPr/>
      </w:pPr>
      <w:r>
        <w:rPr>
          <w:rFonts w:ascii="Times New Roman;sans-serif" w:hAnsi="Times New Roman;sans-serif"/>
          <w:b w:val="false"/>
          <w:color w:val="000000"/>
          <w:sz w:val="20"/>
          <w:highlight w:val="white"/>
        </w:rPr>
        <w:t>Adjusted EBITDA for the three</w:t>
      </w:r>
      <w:r>
        <w:rPr>
          <w:color w:val="000000"/>
        </w:rPr>
        <w:t xml:space="preserve"> </w:t>
      </w:r>
      <w:r>
        <w:rPr>
          <w:rFonts w:ascii="Times New Roman;sans-serif" w:hAnsi="Times New Roman;sans-serif"/>
          <w:b w:val="false"/>
          <w:color w:val="000000"/>
          <w:sz w:val="20"/>
        </w:rPr>
        <w:t>months ended</w:t>
      </w:r>
      <w:r>
        <w:rPr>
          <w:color w:val="000000"/>
          <w:highlight w:val="white"/>
        </w:rPr>
        <w:t xml:space="preserve"> </w:t>
      </w:r>
      <w:r>
        <w:rPr>
          <w:rFonts w:ascii="Times New Roman;sans-serif" w:hAnsi="Times New Roman;sans-serif"/>
          <w:b w:val="false"/>
          <w:color w:val="000000"/>
          <w:sz w:val="20"/>
          <w:highlight w:val="white"/>
        </w:rPr>
        <w:t>March 31, 2023, was $46.1 million,</w:t>
      </w:r>
      <w:r>
        <w:rPr>
          <w:color w:val="000000"/>
        </w:rPr>
        <w:t xml:space="preserve"> </w:t>
      </w:r>
      <w:r>
        <w:rPr>
          <w:rFonts w:ascii="Times New Roman;sans-serif" w:hAnsi="Times New Roman;sans-serif"/>
          <w:b w:val="false"/>
          <w:color w:val="000000"/>
          <w:sz w:val="20"/>
        </w:rPr>
        <w:t>an increase of $10.9 million, or 30.9%</w:t>
      </w:r>
      <w:r>
        <w:rPr>
          <w:rFonts w:ascii="Times New Roman;sans-serif" w:hAnsi="Times New Roman;sans-serif"/>
          <w:b w:val="false"/>
          <w:color w:val="000000"/>
          <w:sz w:val="20"/>
          <w:highlight w:val="white"/>
        </w:rPr>
        <w:t>, compared to the prior-year period. The increase in performance for the three</w:t>
      </w:r>
      <w:r>
        <w:rPr>
          <w:color w:val="000000"/>
        </w:rPr>
        <w:t xml:space="preserve"> </w:t>
      </w:r>
      <w:r>
        <w:rPr>
          <w:rFonts w:ascii="Times New Roman;sans-serif" w:hAnsi="Times New Roman;sans-serif"/>
          <w:b w:val="false"/>
          <w:color w:val="000000"/>
          <w:sz w:val="20"/>
        </w:rPr>
        <w:t>months ended</w:t>
      </w:r>
      <w:r>
        <w:rPr>
          <w:color w:val="000000"/>
          <w:highlight w:val="white"/>
        </w:rPr>
        <w:t xml:space="preserve"> </w:t>
      </w:r>
      <w:r>
        <w:rPr>
          <w:rFonts w:ascii="Times New Roman;sans-serif" w:hAnsi="Times New Roman;sans-serif"/>
          <w:b w:val="false"/>
          <w:color w:val="000000"/>
          <w:sz w:val="20"/>
          <w:highlight w:val="white"/>
        </w:rPr>
        <w:t>March 31, 2023 was attributable to an</w:t>
      </w:r>
      <w:r>
        <w:rPr>
          <w:color w:val="000000"/>
        </w:rPr>
        <w:t xml:space="preserve"> </w:t>
      </w:r>
      <w:r>
        <w:rPr>
          <w:rFonts w:ascii="Times New Roman;sans-serif" w:hAnsi="Times New Roman;sans-serif"/>
          <w:b w:val="false"/>
          <w:color w:val="000000"/>
          <w:sz w:val="20"/>
        </w:rPr>
        <w:t>increase in the number of locations and gaming terminals, due primarily to the acquisition of Century.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283"/>
        <w:rPr/>
      </w:pPr>
      <w:r>
        <w:rPr/>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2e65ffc0a01a49368550f687b81d7587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maintain sufficient liquidity, we review our cash flow projections and available funds with our Board of Directors to consider modifying our capital structure and seeking additional sources of liquidity, if needed. The availability of additional liquidity options will depend on the economic and financial environment, our creditworthiness, our historical and projected financial and operating performance, and our continued compliance with financial covenants. As a result of possible future economic, financial and operating declines, possible declines in our creditworthiness and potential non-compliance with financial covenants, we may have less liquidity than anticipated, fewer sources of liquidity than anticipated, less attractive financing terms and less flexibility in determining when and how to use the liquidity that is available.</w:t>
      </w:r>
    </w:p>
    <w:p>
      <w:pPr>
        <w:pStyle w:val="TextBody"/>
        <w:spacing w:lineRule="auto" w:line="345" w:before="180" w:after="283"/>
        <w:ind w:left="0" w:right="0" w:firstLine="360"/>
        <w:jc w:val="both"/>
        <w:rPr/>
      </w:pPr>
      <w:r>
        <w:rPr>
          <w:rFonts w:ascii="Times New Roman;sans-serif" w:hAnsi="Times New Roman;sans-serif"/>
          <w:b w:val="false"/>
          <w:color w:val="000000"/>
          <w:sz w:val="20"/>
        </w:rPr>
        <w:t xml:space="preserve">We believe that our cash and cash equivalents, cash flows from operations and borrowing availability under our senior secured credit facility will be sufficient to meet our capital requirements for the next twelve months. Our primary short-term cash needs are paying operating expenses and contingent earnout payments, servicing outstanding indebtedness, and funding our Board of Directors approved share repurchase program and near term acquisitions. As of </w:t>
      </w:r>
      <w:r>
        <w:rPr>
          <w:rFonts w:ascii="Times New Roman;sans-serif" w:hAnsi="Times New Roman;sans-serif"/>
          <w:b w:val="false"/>
          <w:color w:val="000000"/>
          <w:sz w:val="20"/>
          <w:highlight w:val="white"/>
        </w:rPr>
        <w:t>March 31, 2023</w:t>
      </w:r>
      <w:r>
        <w:rPr>
          <w:rFonts w:ascii="Times New Roman;sans-serif" w:hAnsi="Times New Roman;sans-serif"/>
          <w:b w:val="false"/>
          <w:color w:val="000000"/>
          <w:sz w:val="20"/>
        </w:rPr>
        <w:t>, we had $228.5 million in cash and cash equivalents.</w:t>
      </w:r>
    </w:p>
    <w:p>
      <w:pPr>
        <w:pStyle w:val="TextBody"/>
        <w:spacing w:lineRule="auto" w:line="345" w:before="24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Senior Secured Credit Facility</w:t>
      </w:r>
    </w:p>
    <w:p>
      <w:pPr>
        <w:pStyle w:val="TextBody"/>
        <w:spacing w:lineRule="auto" w:line="345" w:before="160" w:after="283"/>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November 13, 2019, we entered into a credit agreement (the “Credit Agreement”) as borrower, with our wholly-owned domestic subsidiaries, as guarantors, the banks, financial institutions and other lending institutions from time to time party thereto, as lenders, the other parties from time to time party thereto and Capital One, National Association, as administrative agent (in such capacity, the “Agent”), collateral agent, issuing bank and swingline lender, providing for a:</w:t>
      </w:r>
    </w:p>
    <w:p>
      <w:pPr>
        <w:pStyle w:val="TextBody"/>
        <w:spacing w:lineRule="auto" w:line="345" w:before="160" w:after="283"/>
        <w:ind w:left="0" w:right="0" w:hanging="360"/>
        <w:jc w:val="both"/>
        <w:rPr/>
      </w:pPr>
      <w:r>
        <w:rPr>
          <w:color w:val="000000"/>
          <w:highlight w:val="white"/>
        </w:rPr>
        <w:t>•</w:t>
      </w:r>
      <w:r>
        <w:rPr>
          <w:rFonts w:ascii="Times New Roman;sans-serif" w:hAnsi="Times New Roman;sans-serif"/>
          <w:b w:val="false"/>
          <w:color w:val="000000"/>
          <w:sz w:val="20"/>
          <w:highlight w:val="white"/>
        </w:rPr>
        <w:t xml:space="preserve">$100.0 million revolving credit facility, including a letter of credit facility with a $10.0 million sublimit and a swing line facility with a $10.0 million sublimit, </w:t>
      </w:r>
    </w:p>
    <w:p>
      <w:pPr>
        <w:pStyle w:val="TextBody"/>
        <w:spacing w:lineRule="auto" w:line="345" w:before="160" w:after="283"/>
        <w:ind w:left="0" w:right="0" w:hanging="360"/>
        <w:jc w:val="both"/>
        <w:rPr/>
      </w:pPr>
      <w:r>
        <w:rPr>
          <w:color w:val="000000"/>
          <w:highlight w:val="white"/>
        </w:rPr>
        <w:t>•</w:t>
      </w:r>
      <w:r>
        <w:rPr>
          <w:rFonts w:ascii="Times New Roman;sans-serif" w:hAnsi="Times New Roman;sans-serif"/>
          <w:b w:val="false"/>
          <w:color w:val="000000"/>
          <w:sz w:val="20"/>
          <w:highlight w:val="white"/>
        </w:rPr>
        <w:t xml:space="preserve">$240.0 million initial term loan facility and </w:t>
      </w:r>
    </w:p>
    <w:p>
      <w:pPr>
        <w:pStyle w:val="TextBody"/>
        <w:spacing w:lineRule="auto" w:line="345" w:before="160" w:after="283"/>
        <w:ind w:left="0" w:right="0" w:hanging="360"/>
        <w:jc w:val="both"/>
        <w:rPr/>
      </w:pPr>
      <w:r>
        <w:rPr>
          <w:color w:val="000000"/>
          <w:highlight w:val="white"/>
        </w:rPr>
        <w:t>•</w:t>
      </w:r>
      <w:r>
        <w:rPr>
          <w:rFonts w:ascii="Times New Roman;sans-serif" w:hAnsi="Times New Roman;sans-serif"/>
          <w:b w:val="false"/>
          <w:color w:val="000000"/>
          <w:sz w:val="20"/>
          <w:highlight w:val="white"/>
        </w:rPr>
        <w:t>$125.0 million additional term loan facility.</w:t>
      </w:r>
    </w:p>
    <w:p>
      <w:pPr>
        <w:pStyle w:val="TextBody"/>
        <w:spacing w:lineRule="auto" w:line="345" w:before="160" w:after="283"/>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additional term loan facility was available for borrowings until November 13, 2020. Each of the revolving loans and the term loans were scheduled to mature on November 13, 2024. </w:t>
      </w:r>
    </w:p>
    <w:p>
      <w:pPr>
        <w:pStyle w:val="TextBody"/>
        <w:spacing w:lineRule="auto" w:line="345" w:before="160" w:after="283"/>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Given the uncertainty of COVID-19 and the resulting potential impact to the gaming industry and our future assumptions, as well as to provide additional financial flexibility, we and the other parties thereto amended the Credit Agreement on August 4, 2020 to provide a waiver of financial covenant breach for the periods ended September 30, 2020 through March 31, 2021 of the First Lien Net Leverage Ratio and Fixed Charge Coverage Ratio (each as defined under the Credit Agreement). The amendment also raised the floor for the adjusted LIBOR rate to 0.50% and the floor for the Base Rate to 1.50%. We incurred costs of $0.4 million associated with the amendment of the Credit Agreement, of which $0.3 million was capitalized and will be amortized over the remaining life of the facility. The waivers of financial covenant breach were never utilized as we remained in compliance with all debt covenants during these periods.</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2e65ffc0a01a49368550f687b81d7587_7">
        <w:r>
          <w:rPr>
            <w:rStyle w:val="InternetLink"/>
            <w:rFonts w:ascii="Times New Roman;sans-serif" w:hAnsi="Times New Roman;sans-serif"/>
            <w:b w:val="false"/>
            <w:color w:val="0000FF"/>
            <w:sz w:val="20"/>
            <w:u w:val="single"/>
          </w:rPr>
          <w:t>Table of Contents</w:t>
        </w:r>
      </w:hyperlink>
    </w:p>
    <w:p>
      <w:pPr>
        <w:pStyle w:val="TextBody"/>
        <w:spacing w:lineRule="auto" w:line="34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22, 2021, in order to increase the borrowing capacity under the Credit Agreement, we and the other parties thereto entered into Amendment No. 2 to the Credit Agreement (“Amendment No. 2”). Amendment No. 2, among other things, provides for: </w:t>
      </w:r>
    </w:p>
    <w:p>
      <w:pPr>
        <w:pStyle w:val="TextBody"/>
        <w:spacing w:lineRule="auto" w:line="348" w:before="180" w:after="283"/>
        <w:jc w:val="both"/>
        <w:rPr/>
      </w:pPr>
      <w:r>
        <w:rPr>
          <w:color w:val="000000"/>
        </w:rPr>
        <w:t>•</w:t>
      </w:r>
      <w:r>
        <w:rPr>
          <w:rFonts w:ascii="Times New Roman;sans-serif" w:hAnsi="Times New Roman;sans-serif"/>
          <w:b w:val="false"/>
          <w:color w:val="000000"/>
          <w:sz w:val="20"/>
        </w:rPr>
        <w:t xml:space="preserve">an increase in the amount of the revolving credit facility from $100.0 million to $150.0 million, </w:t>
      </w:r>
    </w:p>
    <w:p>
      <w:pPr>
        <w:pStyle w:val="TextBody"/>
        <w:spacing w:lineRule="auto" w:line="348" w:before="180" w:after="283"/>
        <w:jc w:val="both"/>
        <w:rPr/>
      </w:pPr>
      <w:r>
        <w:rPr>
          <w:color w:val="000000"/>
        </w:rPr>
        <w:t>•</w:t>
      </w:r>
      <w:r>
        <w:rPr>
          <w:rFonts w:ascii="Times New Roman;sans-serif" w:hAnsi="Times New Roman;sans-serif"/>
          <w:b w:val="false"/>
          <w:color w:val="000000"/>
          <w:sz w:val="20"/>
        </w:rPr>
        <w:t xml:space="preserve">a $350.0 million initial term loan facility, the proceeds of which were applied to refinancing existing indebtedness and </w:t>
      </w:r>
    </w:p>
    <w:p>
      <w:pPr>
        <w:pStyle w:val="TextBody"/>
        <w:spacing w:lineRule="auto" w:line="348" w:before="180" w:after="283"/>
        <w:jc w:val="both"/>
        <w:rPr/>
      </w:pPr>
      <w:r>
        <w:rPr>
          <w:color w:val="000000"/>
        </w:rPr>
        <w:t>•</w:t>
      </w:r>
      <w:r>
        <w:rPr>
          <w:rFonts w:ascii="Times New Roman;sans-serif" w:hAnsi="Times New Roman;sans-serif"/>
          <w:b w:val="false"/>
          <w:color w:val="000000"/>
          <w:sz w:val="20"/>
        </w:rPr>
        <w:t xml:space="preserve">a new $400.0 million delayed draw term loan facility. </w:t>
      </w:r>
    </w:p>
    <w:p>
      <w:pPr>
        <w:pStyle w:val="TextBody"/>
        <w:spacing w:lineRule="auto" w:line="34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maturity date of the Credit Agreement was extended to October 22, 2026. The interest rate and covenants remain unchanged.</w:t>
      </w:r>
    </w:p>
    <w:p>
      <w:pPr>
        <w:pStyle w:val="TextBody"/>
        <w:spacing w:lineRule="auto" w:line="345" w:before="160" w:after="283"/>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As of March 31, 2023, there remained $328 million of availability under the Credit Agreement. </w:t>
      </w:r>
    </w:p>
    <w:p>
      <w:pPr>
        <w:pStyle w:val="TextBody"/>
        <w:spacing w:lineRule="auto" w:line="345" w:before="160" w:after="283"/>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obligations under the Credit Agreement are guaranteed by us and our wholly-owned domestic subsidiaries, subject to certain exceptions (collectively, the “Guarantors”). The obligations under the Credit Agreement are secured by substantially all of the assets of the Guarantors, subject to certain exceptions. Certain future-formed or acquired wholly-owned domestic subsidiaries by us will also be required to guarantee the Credit Agreement and grant a security interest in substantially all of our assets (subject to certain exceptions) to secure the obligations under the Credit Agreement.</w:t>
      </w:r>
    </w:p>
    <w:p>
      <w:pPr>
        <w:pStyle w:val="TextBody"/>
        <w:spacing w:lineRule="auto" w:line="345" w:before="160" w:after="283"/>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Borrowings under the Credit Agreement bear interest, at our option, at a rate per annum equal to either (a) the adjusted LIBOR rate (“LIBOR”) (which cannot be less than 0.5%) for interest periods of 1, 2, 3 or 6 months (or if consented to by (i) each applicable Lender, 12 months or any period shorter than 1 month or (ii) the Agent, a shorter period necessary to ensure that the end of the relevant interest period would coincide with any required amortization payment ) plus the applicable LIBOR margin or (b) the alternative base rate (“ABR”) plus the applicable ABR margin. ABR is a fluctuating rate per annum equal to the highest of (i) the Federal Funds Effective Rate plus 1/2 of 1.0%, (ii) the prime rate announced from time to time by Capital One, National Association and (iii) LIBOR for a 1-month Interest Period on such day plus 1.0%. The Credit Agreement also includes provisions for determining a replacement rate when LIBOR is no longer available. As of March 31, 2023, the weighted-average interest rate was approximately 6.8%.</w:t>
      </w:r>
    </w:p>
    <w:p>
      <w:pPr>
        <w:pStyle w:val="TextBody"/>
        <w:spacing w:lineRule="auto" w:line="345" w:before="160" w:after="283"/>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Interest is payable quarterly in arrears for ABR loans, at the end of the applicable interest period for LIBOR loans (but not less frequently than quarterly) and upon the prepayment or maturity of the underlying loans. We are required to pay a commitment fee quarterly in arrears in respect of unused commitments under the revolving credit facility and the additional term loan facility. </w:t>
      </w:r>
    </w:p>
    <w:p>
      <w:pPr>
        <w:pStyle w:val="TextBody"/>
        <w:spacing w:lineRule="auto" w:line="345" w:before="160" w:after="283"/>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applicable LIBOR and ABR margins and the commitment fee rate are calculated based upon the first lien net leverage ratio of us and our restricted subsidiaries on a consolidated basis, as defined in the Credit Agreement. The revolving loans and term loans bear interest at either (a) ABR (150 bps floor) plus a margin up to 1.75% or (b) LIBOR (50bps floor) plus a margin up to 2.75%, at our option.</w:t>
      </w:r>
    </w:p>
    <w:p>
      <w:pPr>
        <w:pStyle w:val="TextBody"/>
        <w:spacing w:lineRule="auto" w:line="345" w:before="160" w:after="283"/>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term loans and, once drawn, the additional term loans will amortize at an annual rate equal to 5.00% per annum. Upon the consummation of certain non-ordinary course asset sales, we may be required to apply the net cash proceeds thereof to prepay outstanding term loans and additional term loans. The loans under the Credit Agreement may be prepaid without premium or penalty, subject to customary LIBOR “breakage” costs.</w:t>
      </w:r>
    </w:p>
    <w:p>
      <w:pPr>
        <w:pStyle w:val="TextBody"/>
        <w:spacing w:lineRule="auto" w:line="345" w:before="160" w:after="283"/>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Credit Agreement contains certain customary affirmative and negative covenants and events of default, and requires us and certain of our affiliates obligated under the Credit Agreement to make customary representations and warranties in connection with credit extensions thereunder.</w:t>
      </w:r>
    </w:p>
    <w:p>
      <w:pPr>
        <w:pStyle w:val="TextBody"/>
        <w:spacing w:before="160" w:after="283"/>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2e65ffc0a01a49368550f687b81d7587_7">
        <w:r>
          <w:rPr>
            <w:rStyle w:val="InternetLink"/>
            <w:rFonts w:ascii="Times New Roman;sans-serif" w:hAnsi="Times New Roman;sans-serif"/>
            <w:b w:val="false"/>
            <w:color w:val="0000FF"/>
            <w:sz w:val="20"/>
            <w:u w:val="single"/>
          </w:rPr>
          <w:t>Table of Contents</w:t>
        </w:r>
      </w:hyperlink>
    </w:p>
    <w:p>
      <w:pPr>
        <w:pStyle w:val="TextBody"/>
        <w:spacing w:lineRule="auto" w:line="345" w:before="160" w:after="283"/>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addition, the Credit Agreement requires us to maintain (a) a ratio of consolidated first lien net debt to consolidated EBITDA no greater than 4.50 to 1.00 and (b) a ratio of consolidated EBITDA to consolidated fixed charges no less than 1.20 to 1.00, in each case, tested as of the last day of each full fiscal quarter ending after the Closing Date and determined on the basis of the four most recently ended fiscal quarters by us for which financial statements have been delivered pursuant to the Credit Agreement, subject to customary “equity cure” rights.</w:t>
      </w:r>
    </w:p>
    <w:p>
      <w:pPr>
        <w:pStyle w:val="TextBody"/>
        <w:spacing w:lineRule="auto" w:line="345" w:before="160" w:after="283"/>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If an event of default (as such term is defined in the Credit Agreement) occurs, the lenders would be entitled to take various actions, including the acceleration of amounts due under the Credit Agreement, termination of the lenders’ commitments thereunder, foreclosure on collateral, and all other remedial actions available to a secured creditor. The failure to pay certain amounts owing under the Credit Agreement may result in an increase in the interest rate applicable thereto.</w:t>
      </w:r>
    </w:p>
    <w:p>
      <w:pPr>
        <w:pStyle w:val="TextBody"/>
        <w:spacing w:lineRule="auto" w:line="345" w:before="180" w:after="283"/>
        <w:ind w:left="0" w:right="0" w:firstLine="360"/>
        <w:jc w:val="both"/>
        <w:rPr/>
      </w:pPr>
      <w:r>
        <w:rPr>
          <w:rFonts w:ascii="Times New Roman;sans-serif" w:hAnsi="Times New Roman;sans-serif"/>
          <w:b w:val="false"/>
          <w:color w:val="000000"/>
          <w:sz w:val="20"/>
          <w:highlight w:val="white"/>
        </w:rPr>
        <w:t>We were in compliance with all debt covenants as of March 31, 2023. W</w:t>
      </w:r>
      <w:r>
        <w:rPr>
          <w:rFonts w:ascii="Times New Roman;sans-serif" w:hAnsi="Times New Roman;sans-serif"/>
          <w:b w:val="false"/>
          <w:color w:val="000000"/>
          <w:sz w:val="20"/>
        </w:rPr>
        <w:t xml:space="preserve">e expect to meet our cash obligations as well as remain in compliance with the debt covenants in our credit facility for the next 12 months. </w:t>
      </w:r>
    </w:p>
    <w:p>
      <w:pPr>
        <w:pStyle w:val="TextBody"/>
        <w:spacing w:lineRule="auto" w:line="34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caplets</w:t>
      </w:r>
    </w:p>
    <w:p>
      <w:pPr>
        <w:pStyle w:val="TextBody"/>
        <w:spacing w:lineRule="auto" w:line="345" w:before="160" w:after="283"/>
        <w:ind w:left="0" w:right="0" w:firstLine="360"/>
        <w:jc w:val="both"/>
        <w:rPr/>
      </w:pPr>
      <w:r>
        <w:rPr>
          <w:rFonts w:ascii="Times New Roman;sans-serif" w:hAnsi="Times New Roman;sans-serif"/>
          <w:b w:val="false"/>
          <w:color w:val="000000"/>
          <w:sz w:val="20"/>
          <w:highlight w:val="white"/>
        </w:rPr>
        <w:t>We manage our exposure to some of its interest rate risk through the use of interest rate caplets, which are derivative financial instruments. On January 12, 2022, we hedged the variability of the cash flows attributable to the changes in the 1-month LIBOR interest rate on the first $300 million of the term loan under the Credit Agreement by entering into a 4-year series of 48 deferred premium caplets (“caplets</w:t>
      </w:r>
      <w:r>
        <w:rPr>
          <w:color w:val="000000"/>
        </w:rPr>
        <w:t>”</w:t>
      </w:r>
      <w:r>
        <w:rPr>
          <w:rFonts w:ascii="Times New Roman;sans-serif" w:hAnsi="Times New Roman;sans-serif"/>
          <w:b w:val="false"/>
          <w:color w:val="000000"/>
          <w:sz w:val="20"/>
        </w:rPr>
        <w:t>)</w:t>
      </w:r>
      <w:r>
        <w:rPr>
          <w:rFonts w:ascii="Times New Roman;sans-serif" w:hAnsi="Times New Roman;sans-serif"/>
          <w:b w:val="false"/>
          <w:color w:val="000000"/>
          <w:sz w:val="20"/>
          <w:highlight w:val="white"/>
        </w:rPr>
        <w:t xml:space="preserve">. The caplets mature at the end of each month and protect us if interest rates exceed 2% of 1-month LIBOR. The maturing dates of these caplets coincide with the timing of our interest payments and each caplet is expected to be highly effective at offsetting changes in interest payment cash flows. The aggregate premium for these caplets was $3.9 million, which was the initial fair value of the caplets recorded in our financial statements, and was financed as additional debt. We recognized an unrealized gain on the change in fair value of the interest rate caplets of </w:t>
      </w:r>
      <w:r>
        <w:rPr>
          <w:rFonts w:ascii="Times New Roman;sans-serif" w:hAnsi="Times New Roman;sans-serif"/>
          <w:b w:val="false"/>
          <w:color w:val="000000"/>
          <w:sz w:val="20"/>
        </w:rPr>
        <w:t xml:space="preserve">$2.2 million </w:t>
      </w:r>
      <w:r>
        <w:rPr>
          <w:rFonts w:ascii="Times New Roman;sans-serif" w:hAnsi="Times New Roman;sans-serif"/>
          <w:b w:val="false"/>
          <w:color w:val="000000"/>
          <w:sz w:val="20"/>
          <w:highlight w:val="white"/>
        </w:rPr>
        <w:t xml:space="preserve">and $4.9 million, net of taxes, </w:t>
      </w:r>
      <w:r>
        <w:rPr>
          <w:rFonts w:ascii="Times New Roman;sans-serif" w:hAnsi="Times New Roman;sans-serif"/>
          <w:b w:val="false"/>
          <w:color w:val="000000"/>
          <w:sz w:val="20"/>
        </w:rPr>
        <w:t xml:space="preserve">for the three months ended </w:t>
      </w:r>
      <w:r>
        <w:rPr>
          <w:rFonts w:ascii="Times New Roman;sans-serif" w:hAnsi="Times New Roman;sans-serif"/>
          <w:b w:val="false"/>
          <w:color w:val="000000"/>
          <w:sz w:val="20"/>
          <w:highlight w:val="white"/>
        </w:rPr>
        <w:t xml:space="preserve">March 31, 2023 and 2022, respectively. </w:t>
      </w:r>
      <w:r>
        <w:rPr>
          <w:rFonts w:ascii="Times New Roman;sans-serif" w:hAnsi="Times New Roman;sans-serif"/>
          <w:b w:val="false"/>
          <w:color w:val="000000"/>
          <w:sz w:val="20"/>
        </w:rPr>
        <w:t>Fu</w:t>
      </w:r>
      <w:r>
        <w:rPr>
          <w:rFonts w:ascii="Times New Roman;sans-serif" w:hAnsi="Times New Roman;sans-serif"/>
          <w:b w:val="false"/>
          <w:color w:val="000000"/>
          <w:sz w:val="20"/>
          <w:highlight w:val="white"/>
        </w:rPr>
        <w:t xml:space="preserve">rther, as the 1-month LIBOR interest rate exceeded 2% beginning in the second half of 2022, the Company recognized interest income on the caplets of $1.9 million </w:t>
      </w:r>
      <w:r>
        <w:rPr>
          <w:rFonts w:ascii="Times New Roman;sans-serif" w:hAnsi="Times New Roman;sans-serif"/>
          <w:b w:val="false"/>
          <w:color w:val="000000"/>
          <w:sz w:val="20"/>
        </w:rPr>
        <w:t xml:space="preserve">for the three months ended </w:t>
      </w:r>
      <w:r>
        <w:rPr>
          <w:rFonts w:ascii="Times New Roman;sans-serif" w:hAnsi="Times New Roman;sans-serif"/>
          <w:b w:val="false"/>
          <w:color w:val="000000"/>
          <w:sz w:val="20"/>
          <w:highlight w:val="white"/>
        </w:rPr>
        <w:t xml:space="preserve">March 31, 2023, which is reflected in interest expense, net </w:t>
      </w:r>
      <w:r>
        <w:rPr>
          <w:rFonts w:ascii="Times New Roman;sans-serif" w:hAnsi="Times New Roman;sans-serif"/>
          <w:b w:val="false"/>
          <w:color w:val="000000"/>
          <w:sz w:val="20"/>
        </w:rPr>
        <w:t>in the condensed consolidated statements of operations and other comprehensive income.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net cash provided by or used in operating activities, investing activities and financing activities for the periods indicated and should be read in conjunction with our condensed consolidated financial statements and the notes thereto included in this filing:</w:t>
      </w:r>
    </w:p>
    <w:tbl>
      <w:tblPr>
        <w:tblW w:w="5919" w:type="dxa"/>
        <w:jc w:val="center"/>
        <w:tblInd w:w="0" w:type="dxa"/>
        <w:tblCellMar>
          <w:top w:w="28" w:type="dxa"/>
          <w:left w:w="28" w:type="dxa"/>
          <w:bottom w:w="28" w:type="dxa"/>
          <w:right w:w="28" w:type="dxa"/>
        </w:tblCellMar>
      </w:tblPr>
      <w:tblGrid>
        <w:gridCol w:w="1256"/>
        <w:gridCol w:w="1103"/>
        <w:gridCol w:w="1106"/>
        <w:gridCol w:w="211"/>
        <w:gridCol w:w="721"/>
        <w:gridCol w:w="109"/>
        <w:gridCol w:w="109"/>
        <w:gridCol w:w="109"/>
        <w:gridCol w:w="109"/>
        <w:gridCol w:w="211"/>
        <w:gridCol w:w="721"/>
        <w:gridCol w:w="154"/>
      </w:tblGrid>
      <w:tr>
        <w:trPr/>
        <w:tc>
          <w:tcPr>
            <w:tcW w:w="1256"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45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(6,387)</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40" w:after="283"/>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operating activities</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net cash provided by operating activities was $38.0 million, an increase of $15.9 million over the comparable period due primarily to lower working capital adjustments. </w:t>
      </w:r>
    </w:p>
    <w:p>
      <w:pPr>
        <w:pStyle w:val="TextBody"/>
        <w:spacing w:before="180" w:after="283"/>
        <w:jc w:val="both"/>
        <w:rPr/>
      </w:pPr>
      <w:r>
        <w:rPr/>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2e65ffc0a01a49368550f687b81d7587_7">
        <w:r>
          <w:rPr>
            <w:rStyle w:val="InternetLink"/>
            <w:rFonts w:ascii="Times New Roman;sans-serif" w:hAnsi="Times New Roman;sans-serif"/>
            <w:b w:val="false"/>
            <w:color w:val="0000FF"/>
            <w:sz w:val="20"/>
            <w:u w:val="single"/>
          </w:rPr>
          <w:t>Table of Contents</w:t>
        </w:r>
      </w:hyperlink>
    </w:p>
    <w:p>
      <w:pPr>
        <w:pStyle w:val="TextBody"/>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in investing activities</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net cash used in investing activities was $23.6 million, an increase of $17.2 million over the comparable period and was primarily attributable to more cash used for the purchases of property and equipment. We anticipate our capital expenditures for the purchases of property and equipment will be approximately $50–60 million in 2023.</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in financing activities</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net cash used in financing activities was $10.0 million, a decrease of $9.6 million over the comparable period. The decrease reflects a reduction in repurchases of our Class A-1 common stock under our share repurchase program.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preparing our condensed consolidated financial statements, we applied the same critical accounting policies as described in our Annual Report on Form 10-K for the year ended December 31, 2022 that affect judgments and estimates of amounts recorded for certain assets, liabilities, revenues, and expenses.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Seasonality</w:t>
      </w:r>
    </w:p>
    <w:p>
      <w:pPr>
        <w:pStyle w:val="TextBody"/>
        <w:spacing w:lineRule="auto" w:line="345" w:before="180" w:after="283"/>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results of operations can fluctuate due to seasonal trends and other factors. For example, the gross revenue per machine per day is typically lower in the summer when players will typically spend less time indoors at our locations, and higher in cold weather between February and April, when players will typically spend more time indoors at our locations. Holidays, vacation seasons, and sporting events may also cause our results to fluctuate.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345" w:before="160" w:after="283"/>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Market risk represents the risk of loss that may impact our financial position due to adverse changes in financial market prices and rates. Market risk exposure is primarily the result of fluctuations in interest rates.</w:t>
      </w:r>
    </w:p>
    <w:p>
      <w:pPr>
        <w:pStyle w:val="TextBody"/>
        <w:spacing w:lineRule="auto" w:line="288" w:before="24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Interest rate risk</w:t>
      </w:r>
    </w:p>
    <w:p>
      <w:pPr>
        <w:pStyle w:val="TextBody"/>
        <w:spacing w:lineRule="auto" w:line="345" w:before="160" w:after="283"/>
        <w:ind w:left="0" w:right="0" w:firstLine="360"/>
        <w:jc w:val="both"/>
        <w:rPr/>
      </w:pPr>
      <w:r>
        <w:rPr>
          <w:rFonts w:ascii="Times New Roman;sans-serif" w:hAnsi="Times New Roman;sans-serif"/>
          <w:b w:val="false"/>
          <w:color w:val="000000"/>
          <w:sz w:val="20"/>
        </w:rPr>
        <w:t xml:space="preserve">We are exposed to interest rate risk in the ordinary course of business. Borrowings under our senior secured credit facility were $540.8 million as of March 31, 2023. If the underlying interest rates were to increase by 1.0%, or 100 basis points, the increase in interest expense on our floating rate debt would negatively impact future earnings and cash flows by approximately $2.4 million annually, assuming the balance outstanding under the credit facility remained at $540.8 million. </w:t>
      </w:r>
      <w:r>
        <w:rPr>
          <w:rFonts w:ascii="Times New Roman;sans-serif" w:hAnsi="Times New Roman;sans-serif"/>
          <w:b w:val="false"/>
          <w:color w:val="000000"/>
          <w:sz w:val="20"/>
          <w:highlight w:val="white"/>
        </w:rPr>
        <w:t>In order to protect against higher interest rates in the future on our credit facility, we hedged the variability of the cash flows attributable to the changes in the 1-month LIBOR interest rate on the first $300 million of the term loan by entering into a 4-year series of 48 deferred premium caplets (“caplets</w:t>
      </w:r>
      <w:r>
        <w:rPr>
          <w:color w:val="000000"/>
        </w:rPr>
        <w:t>”</w:t>
      </w:r>
      <w:r>
        <w:rPr>
          <w:rFonts w:ascii="Times New Roman;sans-serif" w:hAnsi="Times New Roman;sans-serif"/>
          <w:b w:val="false"/>
          <w:color w:val="000000"/>
          <w:sz w:val="20"/>
        </w:rPr>
        <w:t>)</w:t>
      </w:r>
      <w:r>
        <w:rPr>
          <w:color w:val="000000"/>
          <w:highlight w:val="white"/>
        </w:rPr>
        <w:t xml:space="preserve"> </w:t>
      </w:r>
      <w:r>
        <w:rPr>
          <w:rFonts w:ascii="Times New Roman;sans-serif" w:hAnsi="Times New Roman;sans-serif"/>
          <w:b w:val="false"/>
          <w:color w:val="000000"/>
          <w:sz w:val="20"/>
          <w:highlight w:val="white"/>
        </w:rPr>
        <w:t xml:space="preserve">on January 12, 2022. The caplets mature at the end of each month and are used to protect our exposure as the 1-month LIBOR interest rate exceeded 2% in the second half of 2022. </w:t>
      </w:r>
    </w:p>
    <w:p>
      <w:pPr>
        <w:pStyle w:val="TextBody"/>
        <w:spacing w:lineRule="auto" w:line="345" w:before="160" w:after="283"/>
        <w:ind w:left="0" w:right="0" w:firstLine="360"/>
        <w:jc w:val="both"/>
        <w:rPr/>
      </w:pPr>
      <w:r>
        <w:rPr>
          <w:rFonts w:ascii="Times New Roman;sans-serif" w:hAnsi="Times New Roman;sans-serif"/>
          <w:b w:val="false"/>
          <w:color w:val="000000"/>
          <w:sz w:val="20"/>
          <w:highlight w:val="white"/>
        </w:rPr>
        <w:t>C</w:t>
      </w:r>
      <w:r>
        <w:rPr>
          <w:rFonts w:ascii="Times New Roman;sans-serif" w:hAnsi="Times New Roman;sans-serif"/>
          <w:b w:val="false"/>
          <w:color w:val="000000"/>
          <w:sz w:val="20"/>
        </w:rPr>
        <w:t>ash and cash equivalents are held in cash vaults, highly liquid checking and money market accounts, gaming terminals, redemption terminals, ATMs, and amusement equipment. As a result, these amounts are not materially affected by changes in interest rates.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283"/>
        <w:jc w:val="both"/>
        <w:rPr/>
      </w:pPr>
      <w:r>
        <w:rPr/>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2e65ffc0a01a49368550f687b81d7587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417" w:before="24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filing of this Form 10-Q for the quarter ended March 31, 2023, our Chief Executive Officer (“CEO”, serving as our Principal Executive Officer) and our Chief Financial Officer (“CFO”, serving as our Principal Financial Officer) conducted an evaluation of the effectiveness of the design and operation of our disclosure controls and procedures (as defined in Rules 13a-15(e) and 15d-15(e) under the Securities Exchange Act of 1934, as amended (“Exchange Act”)). As a result of this evaluation, our CEO and CFO concluded that those material weaknesses previously identified in Item 9A. “Controls and Procedures” of our Annual Report on Form 10-K for the year ended December 31, 2022 were still present as of March 31, 2023 (the “Evaluation Date”). Based on those material weaknesses, and the evaluation of our disclosure controls and procedures, our CEO and CFO concluded that our disclosure controls and procedures were not effective as of the Evaluation Date.</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the identified material weaknesses, management believes that the condensed consolidated financial statements included in this Form 10-Q fairly present in all material respects our financial condition, results of operations, and cash flows as of March 31, 2023. </w:t>
      </w:r>
    </w:p>
    <w:p>
      <w:pPr>
        <w:pStyle w:val="TextBody"/>
        <w:spacing w:lineRule="auto" w:line="417"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during the quarter ended March 31, 2023 in our internal control over financial reporting that have materially affected, or are reasonably likely to materially affect, our internal control over financial reporting other than the material weaknesses previously identified and disclosed in our Annual Report on Form 10-K for the year ended December 31, 2022. We are also in the process of integrating Century, which was acquired on June 1, 2022, into our system of internal control over financial reporting. </w:t>
      </w:r>
    </w:p>
    <w:p>
      <w:pPr>
        <w:pStyle w:val="TextBody"/>
        <w:spacing w:before="180" w:after="283"/>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2e65ffc0a01a49368550f687b81d7587_7">
        <w:r>
          <w:rPr>
            <w:rStyle w:val="InternetLink"/>
            <w:rFonts w:ascii="Times New Roman;sans-serif" w:hAnsi="Times New Roman;sans-serif"/>
            <w:b w:val="false"/>
            <w:color w:val="0000FF"/>
            <w:sz w:val="20"/>
            <w:u w:val="single"/>
          </w:rPr>
          <w:t>Table of Contents</w:t>
        </w:r>
      </w:hyperlink>
    </w:p>
    <w:p>
      <w:pPr>
        <w:pStyle w:val="TextBody"/>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discussion in Note 15, Commitments and Contingencies, of the condensed consolidated financial statements included in Part I, Item 1 of this Quarterly Report on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 investment in our common stock involves a high degree of risk. You should carefully consider the risk factors described under Part I - Item 1A. Risk Factors in our Annual Report on Form 10-K for the year ended December 31, 2022 and our condensed consolidated financial statements and related notes contained in this Quarterly Report on Form 10-Q in analyzing an investment in our common stock. If any such risks occur, our business, financial condition, and results of operations would likely suffer, the trading price of our common stock would decline, and you could lose all or part of your investment. In addition, the risk factors and uncertainties could cause our actual results to differ materially from those projected in our forward-looking statements, whether made in this report or other documents we file with the SEC, or our annual report to stockholders, future press releases, or orally, whether in presentations, responses to questions, or otherwise. Additional risks and uncertainties not currently known to us or those we currently view to be immaterial may also materially adversely affect our business, financial condition, or results of operations.</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for as set forth below, there have been no material changes in the risk factors described in Item 1A. “Risk Factors” in our Annual Report on Form 10-K for the year ended December 31, 2022. </w:t>
      </w:r>
    </w:p>
    <w:p>
      <w:pPr>
        <w:pStyle w:val="TextBody"/>
        <w:spacing w:before="0" w:after="0"/>
        <w:ind w:left="0" w:right="0" w:firstLine="360"/>
        <w:jc w:val="both"/>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spacing w:lineRule="auto" w:line="345" w:before="180" w:after="283"/>
        <w:jc w:val="both"/>
        <w:rPr>
          <w:rFonts w:ascii="Times New Roman;sans-serif" w:hAnsi="Times New Roman;sans-serif"/>
          <w:b/>
          <w:i/>
          <w:color w:val="000000"/>
          <w:sz w:val="20"/>
        </w:rPr>
      </w:pPr>
      <w:r>
        <w:rPr>
          <w:rFonts w:ascii="Times New Roman;sans-serif" w:hAnsi="Times New Roman;sans-serif"/>
          <w:b/>
          <w:i/>
          <w:color w:val="000000"/>
          <w:sz w:val="20"/>
        </w:rPr>
        <w:t>Unfavorable economic conditions or decreased discretionary spending due to other factors such as terrorist activity or threat thereof, epidemics, pandemics or other public health issues, civil unrest or other economic or political uncertainties, may adversely affect Accel’s business, results of operations, cash flows and financial condition.</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Unfavorable economic conditions, including recession, economic slowdown, decreased liquidity in the financial markets, decreased availability of credit, rising interest rates and labor shortages, or inflation or stagflation, could have a negative effect on Accel’s business. Unfavorable economic conditions could cause location partners to shut down or ultimately declare bankruptcy, which could adversely affect Accel’s business. Unfavorable economic conditions may also result in volatility in the credit and equity markets. For example, U.S. capital and credit markets may be adversely affected by numerous factors including: instability in the U.S. and global banking systems due to financial institutions experiencing financial distress, entering into receivership or becoming insolvent, or concerns or rumors about any events of these kinds; the conflict between Russia and Ukraine, the possibility of a wider European or global conflict and global sanctions imposed in response thereto; as well as protracted negotiations regarding the U.S. federal debt ceiling or the U.S. government's failure to raise the debt ceiling. The difficulty or inability of location partners to access their funds or generate or obtain adequate levels of capital to finance their ongoing operations may cause some to close or ultimately declare bankruptcy. Accel cannot fully predict the effects that unfavorable social, political and economic conditions and economic uncertainties and decreased discretionary spending could have on its business.</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Accel’s revenue is largely driven by players’ disposable incomes and level of gaming activity. Unfavorable economic conditions may reduce the disposable incomes of players at location partners and may result in fewer players visiting location partners, reduced play levels, and lower amounts spent per visit, adversely affecting Accel’s results of operations and cash flows. Adverse changes in discretionary consumer spending or consumer preferences, which may result in fewer players visiting location partners and reduced frequency of visits and play levels, could also be driven by an unstable job market, outbreaks (or fear of outbreaks) of contagious diseases, such as the COVID-19 pandemic, inflation, stagflation, rising interest rates or other factors. Socio-political factors such as terrorist activity or threat thereof, civil unrest or other economic or political uncertainties that contribute to consumer unease may also result in decreased discretionary spending by players and have a negative effect on Accel.</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2e65ffc0a01a49368550f687b81d7587_7">
        <w:r>
          <w:rPr>
            <w:rStyle w:val="InternetLink"/>
            <w:rFonts w:ascii="Times New Roman;sans-serif" w:hAnsi="Times New Roman;sans-serif"/>
            <w:b w:val="false"/>
            <w:color w:val="0000FF"/>
            <w:sz w:val="20"/>
            <w:u w:val="single"/>
          </w:rPr>
          <w:t>Table of Contents</w:t>
        </w:r>
      </w:hyperlink>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Risks Related to our Financial Condition</w:t>
      </w:r>
    </w:p>
    <w:p>
      <w:pPr>
        <w:pStyle w:val="TextBody"/>
        <w:spacing w:lineRule="auto" w:line="345" w:before="180" w:after="283"/>
        <w:jc w:val="both"/>
        <w:rPr>
          <w:rFonts w:ascii="Times New Roman;sans-serif" w:hAnsi="Times New Roman;sans-serif"/>
          <w:b/>
          <w:i/>
          <w:color w:val="000000"/>
          <w:sz w:val="20"/>
        </w:rPr>
      </w:pPr>
      <w:r>
        <w:rPr>
          <w:rFonts w:ascii="Times New Roman;sans-serif" w:hAnsi="Times New Roman;sans-serif"/>
          <w:b/>
          <w:i/>
          <w:color w:val="000000"/>
          <w:sz w:val="20"/>
        </w:rPr>
        <w:t>Adverse developments affecting the financial services industry, such as actual events or concerns involving liquidity, defaults, or non-performance by financial institutions or transactional counterparties, could adversely affect Accel’s financial condition and results of operations.</w:t>
      </w:r>
    </w:p>
    <w:p>
      <w:pPr>
        <w:pStyle w:val="TextBody"/>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Actual events involving reduced or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credit and liquidity problems. For example, in March 2023, Silicon Valley Bank and Signature Bank were closed and taken over by the Federal Deposit Insurance Corporation as receiver and Credit Suisse and UBS entered into a merger agreement following the intervention of the Swiss regulators. Although Accel did not have cash or cash equivalent balances on deposit with these institutions, and these institutions were not lenders under Accel’s indebtedness or counterparties to Accel’s interest rate hedging arrangements, instability in the U.S. or international financial systems could result in less favorable commercial financing or derivative terms, including higher interest rates or costs and tighter financial and operating covenants, or systemic limitations on access to credit and liquidity sources or hedging, thereby making it more difficult for Accel to obtain financing on terms favorable to it, which could have a material adverse impact on Accel’s results of operations, cash flows and financial condition.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345" w:before="180" w:after="283"/>
        <w:jc w:val="both"/>
        <w:rPr>
          <w:rFonts w:ascii="Times New Roman;sans-serif" w:hAnsi="Times New Roman;sans-serif"/>
          <w:b/>
          <w:color w:val="000000"/>
          <w:sz w:val="20"/>
        </w:rPr>
      </w:pPr>
      <w:r>
        <w:rPr>
          <w:rFonts w:ascii="Times New Roman;sans-serif" w:hAnsi="Times New Roman;sans-serif"/>
          <w:b/>
          <w:color w:val="000000"/>
          <w:sz w:val="20"/>
        </w:rPr>
        <w:t>Issuer Purchase of Equity Securities</w:t>
      </w:r>
    </w:p>
    <w:p>
      <w:pPr>
        <w:pStyle w:val="TextBody"/>
        <w:spacing w:lineRule="auto" w:line="345"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22, 2021, the Company’s Board of Directors approved a share repurchase program of up to $200 million of shares of Class A-1 common stock. The timing and actual number of shares repurchased will depend on a variety of factors, including price, general business and market conditions, and alternative investment opportunities. Under the repurchase program, repurchases can be made from time to time using a variety of methods, including open market purchases or privately negotiated transactions, in compliance with the rules of the SEC and other applicable legal requirements. The repurchase program does not obligate the Company to acquire any particular amount of shares, and the repurchase program may be suspended or discontinued at any time at the Company’s discretion.</w:t>
      </w:r>
    </w:p>
    <w:p>
      <w:pPr>
        <w:pStyle w:val="TextBody"/>
        <w:spacing w:lineRule="auto" w:line="345"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share repurchases were made under the Company’s publicly announced program, and there are no other programs under which the Company repurchases shares. Repurchases under our program are executed under the terms of a pre-set trading plan meeting the requirements of Rule 10b5-1(c) of the Securities Exchange Act of 1934. The following table presents a summary of share repurchases made during the first quarter of 2023:</w:t>
      </w:r>
    </w:p>
    <w:tbl>
      <w:tblPr>
        <w:tblW w:w="10205" w:type="dxa"/>
        <w:jc w:val="center"/>
        <w:tblInd w:w="0" w:type="dxa"/>
        <w:tblCellMar>
          <w:top w:w="28" w:type="dxa"/>
          <w:left w:w="28" w:type="dxa"/>
          <w:bottom w:w="28" w:type="dxa"/>
          <w:right w:w="28" w:type="dxa"/>
        </w:tblCellMar>
      </w:tblPr>
      <w:tblGrid>
        <w:gridCol w:w="678"/>
        <w:gridCol w:w="548"/>
        <w:gridCol w:w="554"/>
        <w:gridCol w:w="109"/>
        <w:gridCol w:w="109"/>
        <w:gridCol w:w="109"/>
        <w:gridCol w:w="580"/>
        <w:gridCol w:w="580"/>
        <w:gridCol w:w="582"/>
        <w:gridCol w:w="109"/>
        <w:gridCol w:w="109"/>
        <w:gridCol w:w="109"/>
        <w:gridCol w:w="495"/>
        <w:gridCol w:w="495"/>
        <w:gridCol w:w="497"/>
        <w:gridCol w:w="109"/>
        <w:gridCol w:w="109"/>
        <w:gridCol w:w="109"/>
        <w:gridCol w:w="1233"/>
        <w:gridCol w:w="1233"/>
        <w:gridCol w:w="1749"/>
      </w:tblGrid>
      <w:tr>
        <w:trPr/>
        <w:tc>
          <w:tcPr>
            <w:tcW w:w="67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1749" w:type="dxa"/>
            <w:tcBorders/>
            <w:shd w:fill="auto" w:val="clear"/>
            <w:vAlign w:val="center"/>
          </w:tcPr>
          <w:p>
            <w:pPr>
              <w:pStyle w:val="TableContents"/>
              <w:spacing w:before="0" w:after="283"/>
              <w:rPr>
                <w:sz w:val="4"/>
                <w:szCs w:val="4"/>
              </w:rPr>
            </w:pPr>
            <w:r>
              <w:rPr>
                <w:sz w:val="4"/>
                <w:szCs w:val="4"/>
              </w:rPr>
            </w:r>
          </w:p>
        </w:tc>
      </w:tr>
      <w:tr>
        <w:trPr/>
        <w:tc>
          <w:tcPr>
            <w:tcW w:w="17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 approximate dollar value of shares that may yet be purchased under the program (in millions)</w:t>
            </w:r>
          </w:p>
        </w:tc>
      </w:tr>
      <w:tr>
        <w:trPr/>
        <w:tc>
          <w:tcPr>
            <w:tcW w:w="17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2023 - January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249,821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$109.8</w:t>
            </w:r>
          </w:p>
        </w:tc>
      </w:tr>
      <w:tr>
        <w:trPr/>
        <w:tc>
          <w:tcPr>
            <w:tcW w:w="17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2023 - February 28,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$109.8</w:t>
            </w:r>
          </w:p>
        </w:tc>
      </w:tr>
      <w:tr>
        <w:trPr/>
        <w:tc>
          <w:tcPr>
            <w:tcW w:w="17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2023 -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2"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225,297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$107.8</w:t>
            </w:r>
          </w:p>
        </w:tc>
      </w:tr>
      <w:tr>
        <w:trPr/>
        <w:tc>
          <w:tcPr>
            <w:tcW w:w="17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2" w:type="dxa"/>
            <w:gridSpan w:val="3"/>
            <w:tcBorders>
              <w:bottom w:val="double" w:sz="8" w:space="0" w:color="000000"/>
            </w:tcBorders>
            <w:shd w:fill="FFFFFF"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476,718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3"/>
            <w:tcBorders>
              <w:bottom w:val="double" w:sz="8" w:space="0" w:color="000000"/>
            </w:tcBorders>
            <w:shd w:fill="FFFFFF"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2e65ffc0a01a49368550f687b81d7587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2e65ffc0a01a49368550f687b81d7587_7">
        <w:r>
          <w:rPr>
            <w:rStyle w:val="InternetLink"/>
            <w:rFonts w:ascii="Times New Roman;sans-serif" w:hAnsi="Times New Roman;sans-serif"/>
            <w:b w:val="false"/>
            <w:color w:val="0000FF"/>
            <w:sz w:val="20"/>
            <w:u w:val="single"/>
          </w:rPr>
          <w:t>Table of Contents</w:t>
        </w:r>
      </w:hyperlink>
    </w:p>
    <w:p>
      <w:pPr>
        <w:pStyle w:val="TextBody"/>
        <w:spacing w:before="24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417" w:before="0" w:after="0"/>
        <w:rPr>
          <w:rFonts w:ascii="Times New Roman;sans-serif" w:hAnsi="Times New Roman;sans-serif"/>
          <w:b/>
          <w:color w:val="000000"/>
          <w:sz w:val="20"/>
        </w:rPr>
      </w:pPr>
      <w:r>
        <w:rPr>
          <w:rFonts w:ascii="Times New Roman;sans-serif" w:hAnsi="Times New Roman;sans-serif"/>
          <w:b/>
          <w:color w:val="000000"/>
          <w:sz w:val="20"/>
        </w:rPr>
        <w:t xml:space="preserve">ITEM 6. EXHIBITS </w:t>
      </w:r>
    </w:p>
    <w:tbl>
      <w:tblPr>
        <w:tblW w:w="9581" w:type="dxa"/>
        <w:jc w:val="left"/>
        <w:tblInd w:w="0" w:type="dxa"/>
        <w:tblCellMar>
          <w:top w:w="28" w:type="dxa"/>
          <w:left w:w="28" w:type="dxa"/>
          <w:bottom w:w="28" w:type="dxa"/>
          <w:right w:w="28" w:type="dxa"/>
        </w:tblCellMar>
      </w:tblPr>
      <w:tblGrid>
        <w:gridCol w:w="342"/>
        <w:gridCol w:w="301"/>
        <w:gridCol w:w="302"/>
        <w:gridCol w:w="109"/>
        <w:gridCol w:w="109"/>
        <w:gridCol w:w="109"/>
        <w:gridCol w:w="2430"/>
        <w:gridCol w:w="2430"/>
        <w:gridCol w:w="3449"/>
      </w:tblGrid>
      <w:tr>
        <w:trPr/>
        <w:tc>
          <w:tcPr>
            <w:tcW w:w="342"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0" w:type="dxa"/>
            <w:tcBorders/>
            <w:shd w:fill="auto" w:val="clear"/>
            <w:vAlign w:val="center"/>
          </w:tcPr>
          <w:p>
            <w:pPr>
              <w:pStyle w:val="TableContents"/>
              <w:spacing w:before="0" w:after="283"/>
              <w:rPr>
                <w:sz w:val="4"/>
                <w:szCs w:val="4"/>
              </w:rPr>
            </w:pPr>
            <w:r>
              <w:rPr>
                <w:sz w:val="4"/>
                <w:szCs w:val="4"/>
              </w:rPr>
            </w:r>
          </w:p>
        </w:tc>
        <w:tc>
          <w:tcPr>
            <w:tcW w:w="2430" w:type="dxa"/>
            <w:tcBorders/>
            <w:shd w:fill="auto" w:val="clear"/>
            <w:vAlign w:val="center"/>
          </w:tcPr>
          <w:p>
            <w:pPr>
              <w:pStyle w:val="TableContents"/>
              <w:spacing w:before="0" w:after="283"/>
              <w:rPr>
                <w:sz w:val="4"/>
                <w:szCs w:val="4"/>
              </w:rPr>
            </w:pPr>
            <w:r>
              <w:rPr>
                <w:sz w:val="4"/>
                <w:szCs w:val="4"/>
              </w:rPr>
            </w:r>
          </w:p>
        </w:tc>
        <w:tc>
          <w:tcPr>
            <w:tcW w:w="3449" w:type="dxa"/>
            <w:tcBorders/>
            <w:shd w:fill="auto" w:val="clear"/>
            <w:vAlign w:val="center"/>
          </w:tcPr>
          <w:p>
            <w:pPr>
              <w:pStyle w:val="TableContents"/>
              <w:spacing w:before="0" w:after="283"/>
              <w:rPr>
                <w:sz w:val="4"/>
                <w:szCs w:val="4"/>
              </w:rPr>
            </w:pPr>
            <w:r>
              <w:rPr>
                <w:sz w:val="4"/>
                <w:szCs w:val="4"/>
              </w:rPr>
            </w:r>
          </w:p>
        </w:tc>
      </w:tr>
      <w:tr>
        <w:trPr/>
        <w:tc>
          <w:tcPr>
            <w:tcW w:w="9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br/>
              <w:t>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r>
      <w:tr>
        <w:trPr/>
        <w:tc>
          <w:tcPr>
            <w:tcW w:w="9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ccelex1013rsuagreement.htm">
              <w:r>
                <w:rPr>
                  <w:rStyle w:val="InternetLink"/>
                  <w:rFonts w:ascii="Times New Roman;sans-serif" w:hAnsi="Times New Roman;sans-serif"/>
                  <w:b w:val="false"/>
                  <w:color w:val="0000FF"/>
                  <w:sz w:val="20"/>
                  <w:u w:val="single"/>
                </w:rPr>
                <w:t>Form of Restricted Stock Unit Award Agreement</w:t>
              </w:r>
            </w:hyperlink>
          </w:p>
        </w:tc>
      </w:tr>
      <w:tr>
        <w:trPr/>
        <w:tc>
          <w:tcPr>
            <w:tcW w:w="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ccelex1023psuagreement.htm">
              <w:r>
                <w:rPr>
                  <w:rStyle w:val="InternetLink"/>
                  <w:rFonts w:ascii="Times New Roman;sans-serif" w:hAnsi="Times New Roman;sans-serif"/>
                  <w:b w:val="false"/>
                  <w:color w:val="0000FF"/>
                  <w:sz w:val="20"/>
                  <w:u w:val="single"/>
                </w:rPr>
                <w:t>Form of Performance-Based Restricted Stock Unit Award Agreement</w:t>
              </w:r>
            </w:hyperlink>
          </w:p>
        </w:tc>
      </w:tr>
      <w:tr>
        <w:trPr/>
        <w:tc>
          <w:tcPr>
            <w:tcW w:w="9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09" w:type="dxa"/>
            <w:gridSpan w:val="3"/>
            <w:tcBorders/>
            <w:shd w:fill="auto" w:val="clear"/>
            <w:vAlign w:val="center"/>
          </w:tcPr>
          <w:p>
            <w:pPr>
              <w:pStyle w:val="TableContents"/>
              <w:spacing w:before="0" w:after="283"/>
              <w:rPr>
                <w:sz w:val="4"/>
                <w:szCs w:val="4"/>
              </w:rPr>
            </w:pPr>
            <w:r>
              <w:rPr>
                <w:sz w:val="4"/>
                <w:szCs w:val="4"/>
              </w:rPr>
            </w:r>
          </w:p>
        </w:tc>
      </w:tr>
      <w:tr>
        <w:trPr/>
        <w:tc>
          <w:tcPr>
            <w:tcW w:w="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ccelexhibit31133123.htm">
              <w:r>
                <w:rPr>
                  <w:rStyle w:val="InternetLink"/>
                  <w:rFonts w:ascii="Times New Roman;sans-serif" w:hAnsi="Times New Roman;sans-serif"/>
                  <w:b w:val="false"/>
                  <w:color w:val="0000FF"/>
                  <w:sz w:val="20"/>
                  <w:u w:val="single"/>
                </w:rPr>
                <w:t>Certification of Principal Executive Officer pursuant to Exchange Act Rules 13a-14(a) and 15d-14(a)</w:t>
              </w:r>
            </w:hyperlink>
          </w:p>
        </w:tc>
      </w:tr>
      <w:tr>
        <w:trPr/>
        <w:tc>
          <w:tcPr>
            <w:tcW w:w="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ccelexhibit31233123.htm">
              <w:r>
                <w:rPr>
                  <w:rStyle w:val="InternetLink"/>
                  <w:rFonts w:ascii="Times New Roman;sans-serif" w:hAnsi="Times New Roman;sans-serif"/>
                  <w:b w:val="false"/>
                  <w:color w:val="0000FF"/>
                  <w:sz w:val="20"/>
                  <w:u w:val="single"/>
                </w:rPr>
                <w:t>Certification of Principal Financial Officer pursuant to Exchange Act Rules 13a-14(a) and 15d-14(a)</w:t>
              </w:r>
            </w:hyperlink>
          </w:p>
        </w:tc>
      </w:tr>
      <w:tr>
        <w:trPr/>
        <w:tc>
          <w:tcPr>
            <w:tcW w:w="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ccelexhibit32133123.htm">
              <w:r>
                <w:rPr>
                  <w:rStyle w:val="InternetLink"/>
                  <w:rFonts w:ascii="Times New Roman;sans-serif" w:hAnsi="Times New Roman;sans-serif"/>
                  <w:b w:val="false"/>
                  <w:color w:val="0000FF"/>
                  <w:sz w:val="20"/>
                  <w:u w:val="single"/>
                </w:rPr>
                <w:t>Section 1350 Certification of Principal Executive Officer</w:t>
              </w:r>
            </w:hyperlink>
          </w:p>
        </w:tc>
      </w:tr>
      <w:tr>
        <w:trPr/>
        <w:tc>
          <w:tcPr>
            <w:tcW w:w="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ccelexhibit32233123.htm">
              <w:r>
                <w:rPr>
                  <w:rStyle w:val="InternetLink"/>
                  <w:rFonts w:ascii="Times New Roman;sans-serif" w:hAnsi="Times New Roman;sans-serif"/>
                  <w:b w:val="false"/>
                  <w:color w:val="0000FF"/>
                  <w:sz w:val="20"/>
                  <w:u w:val="single"/>
                </w:rPr>
                <w:t>Section 1350 Certification of Principal Financial Officer</w:t>
              </w:r>
            </w:hyperlink>
          </w:p>
        </w:tc>
      </w:tr>
      <w:tr>
        <w:trPr/>
        <w:tc>
          <w:tcPr>
            <w:tcW w:w="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Inline XBRL File (included in Exhibit 101)</w:t>
            </w:r>
          </w:p>
        </w:tc>
      </w:tr>
    </w:tbl>
    <w:p>
      <w:pPr>
        <w:pStyle w:val="TextBody"/>
        <w:spacing w:before="0" w:after="0"/>
        <w:ind w:left="0" w:right="0" w:hanging="360"/>
        <w:rPr/>
      </w:pPr>
      <w:r>
        <w:rPr/>
      </w:r>
    </w:p>
    <w:p>
      <w:pPr>
        <w:pStyle w:val="TextBody"/>
        <w:spacing w:lineRule="auto" w:line="417"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Filed herewith.</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 Indicates management contract or compensation plan or agreement.</w:t>
      </w:r>
    </w:p>
    <w:p>
      <w:pPr>
        <w:pStyle w:val="TextBody"/>
        <w:spacing w:before="0" w:after="0"/>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2e65ffc0a01a49368550f687b81d7587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345"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210" w:type="dxa"/>
        <w:jc w:val="center"/>
        <w:tblInd w:w="0" w:type="dxa"/>
        <w:tblCellMar>
          <w:top w:w="28" w:type="dxa"/>
          <w:left w:w="28" w:type="dxa"/>
          <w:bottom w:w="28" w:type="dxa"/>
          <w:right w:w="28" w:type="dxa"/>
        </w:tblCellMar>
      </w:tblPr>
      <w:tblGrid>
        <w:gridCol w:w="591"/>
        <w:gridCol w:w="520"/>
        <w:gridCol w:w="523"/>
        <w:gridCol w:w="457"/>
        <w:gridCol w:w="457"/>
        <w:gridCol w:w="457"/>
        <w:gridCol w:w="644"/>
        <w:gridCol w:w="644"/>
        <w:gridCol w:w="917"/>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6"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 ENTERTAINMENT, INC.</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3, 2023</w:t>
            </w:r>
          </w:p>
        </w:tc>
        <w:tc>
          <w:tcPr>
            <w:tcW w:w="137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Christie Kozlik</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Christie Kozlik</w:t>
              <w:br/>
              <w:t>Chief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Exhibit 10.13</w:t>
      </w:r>
    </w:p>
    <w:p>
      <w:pPr>
        <w:pStyle w:val="TextBody"/>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ACCEL ENTERTAINMENT, INC.</w:t>
      </w:r>
    </w:p>
    <w:p>
      <w:pPr>
        <w:pStyle w:val="TextBody"/>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LONG TERM INCENTIVE PLAN </w:t>
      </w:r>
    </w:p>
    <w:p>
      <w:pPr>
        <w:pStyle w:val="TextBody"/>
        <w:spacing w:before="0" w:after="0"/>
        <w:jc w:val="center"/>
        <w:rPr/>
      </w:pPr>
      <w:r>
        <w:rPr/>
      </w:r>
    </w:p>
    <w:p>
      <w:pPr>
        <w:pStyle w:val="TextBody"/>
        <w:spacing w:lineRule="auto" w:line="345" w:before="120" w:after="283"/>
        <w:jc w:val="center"/>
        <w:rPr>
          <w:rFonts w:ascii="Times New Roman;sans-serif" w:hAnsi="Times New Roman;sans-serif"/>
          <w:b/>
          <w:color w:val="000000"/>
          <w:sz w:val="22"/>
        </w:rPr>
      </w:pPr>
      <w:r>
        <w:rPr>
          <w:rFonts w:ascii="Times New Roman;sans-serif" w:hAnsi="Times New Roman;sans-serif"/>
          <w:b/>
          <w:color w:val="000000"/>
          <w:sz w:val="22"/>
        </w:rPr>
        <w:t>RESTRICTED STOCK UNIT GRANT NOTICE</w:t>
      </w:r>
    </w:p>
    <w:p>
      <w:pPr>
        <w:pStyle w:val="TextBody"/>
        <w:spacing w:lineRule="auto" w:line="345" w:before="120" w:after="283"/>
        <w:jc w:val="both"/>
        <w:rPr/>
      </w:pPr>
      <w:r>
        <w:rPr>
          <w:rFonts w:ascii="Times New Roman;sans-serif" w:hAnsi="Times New Roman;sans-serif"/>
          <w:b w:val="false"/>
          <w:color w:val="000000"/>
          <w:sz w:val="22"/>
        </w:rPr>
        <w:t>Pursuant to the terms and conditions of the Accel Entertainment, Inc. Long Term Incentive Plan, as amended from time to time (the “</w:t>
      </w:r>
      <w:r>
        <w:rPr>
          <w:rFonts w:ascii="Times New Roman;sans-serif" w:hAnsi="Times New Roman;sans-serif"/>
          <w:b/>
          <w:i/>
          <w:color w:val="000000"/>
          <w:sz w:val="22"/>
        </w:rPr>
        <w:t>Plan</w:t>
      </w:r>
      <w:r>
        <w:rPr>
          <w:color w:val="000000"/>
        </w:rPr>
        <w:t>”</w:t>
      </w:r>
      <w:r>
        <w:rPr>
          <w:rFonts w:ascii="Times New Roman;sans-serif" w:hAnsi="Times New Roman;sans-serif"/>
          <w:b w:val="false"/>
          <w:color w:val="000000"/>
          <w:sz w:val="22"/>
        </w:rPr>
        <w:t>), Accel Entertainment, Inc.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hereby grants to the individual listed below (“</w:t>
      </w:r>
      <w:r>
        <w:rPr>
          <w:rFonts w:ascii="Times New Roman;sans-serif" w:hAnsi="Times New Roman;sans-serif"/>
          <w:b/>
          <w:i/>
          <w:color w:val="000000"/>
          <w:sz w:val="22"/>
        </w:rPr>
        <w:t>you</w:t>
      </w:r>
      <w:r>
        <w:rPr>
          <w:color w:val="000000"/>
        </w:rPr>
        <w:t xml:space="preserve">” </w:t>
      </w:r>
      <w:r>
        <w:rPr>
          <w:rFonts w:ascii="Times New Roman;sans-serif" w:hAnsi="Times New Roman;sans-serif"/>
          <w:b w:val="false"/>
          <w:color w:val="000000"/>
          <w:sz w:val="22"/>
        </w:rPr>
        <w:t>or the “</w:t>
      </w:r>
      <w:r>
        <w:rPr>
          <w:rFonts w:ascii="Times New Roman;sans-serif" w:hAnsi="Times New Roman;sans-serif"/>
          <w:b/>
          <w:i/>
          <w:color w:val="000000"/>
          <w:sz w:val="22"/>
        </w:rPr>
        <w:t>Participant</w:t>
      </w:r>
      <w:r>
        <w:rPr>
          <w:color w:val="000000"/>
        </w:rPr>
        <w:t>”</w:t>
      </w:r>
      <w:r>
        <w:rPr>
          <w:rFonts w:ascii="Times New Roman;sans-serif" w:hAnsi="Times New Roman;sans-serif"/>
          <w:b w:val="false"/>
          <w:color w:val="000000"/>
          <w:sz w:val="22"/>
        </w:rPr>
        <w:t>) the number of Restricted Stock Units (“</w:t>
      </w:r>
      <w:r>
        <w:rPr>
          <w:rFonts w:ascii="Times New Roman;sans-serif" w:hAnsi="Times New Roman;sans-serif"/>
          <w:b/>
          <w:i/>
          <w:color w:val="000000"/>
          <w:sz w:val="22"/>
        </w:rPr>
        <w:t>RSUs</w:t>
      </w:r>
      <w:r>
        <w:rPr>
          <w:color w:val="000000"/>
        </w:rPr>
        <w:t>”</w:t>
      </w:r>
      <w:r>
        <w:rPr>
          <w:rFonts w:ascii="Times New Roman;sans-serif" w:hAnsi="Times New Roman;sans-serif"/>
          <w:b w:val="false"/>
          <w:color w:val="000000"/>
          <w:sz w:val="22"/>
        </w:rPr>
        <w:t>) set forth below in this Restricted Stock Unit Grant Notice (this “</w:t>
      </w:r>
      <w:r>
        <w:rPr>
          <w:rFonts w:ascii="Times New Roman;sans-serif" w:hAnsi="Times New Roman;sans-serif"/>
          <w:b/>
          <w:i/>
          <w:color w:val="000000"/>
          <w:sz w:val="22"/>
        </w:rPr>
        <w:t>Grant Notice</w:t>
      </w:r>
      <w:r>
        <w:rPr>
          <w:color w:val="000000"/>
        </w:rPr>
        <w:t>”</w:t>
      </w:r>
      <w:r>
        <w:rPr>
          <w:rFonts w:ascii="Times New Roman;sans-serif" w:hAnsi="Times New Roman;sans-serif"/>
          <w:b w:val="false"/>
          <w:color w:val="000000"/>
          <w:sz w:val="22"/>
        </w:rPr>
        <w:t>). This award of RSUs (this “</w:t>
      </w:r>
      <w:r>
        <w:rPr>
          <w:rFonts w:ascii="Times New Roman;sans-serif" w:hAnsi="Times New Roman;sans-serif"/>
          <w:b/>
          <w:i/>
          <w:color w:val="000000"/>
          <w:sz w:val="22"/>
        </w:rPr>
        <w:t>Award</w:t>
      </w:r>
      <w:r>
        <w:rPr>
          <w:color w:val="000000"/>
        </w:rPr>
        <w:t>”</w:t>
      </w:r>
      <w:r>
        <w:rPr>
          <w:rFonts w:ascii="Times New Roman;sans-serif" w:hAnsi="Times New Roman;sans-serif"/>
          <w:b w:val="false"/>
          <w:color w:val="000000"/>
          <w:sz w:val="22"/>
        </w:rPr>
        <w:t xml:space="preserve">) is subject to the terms and conditions set forth herein, in the Restricted Stock Unit Agreement attached hereto as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i/>
          <w:color w:val="000000"/>
          <w:sz w:val="22"/>
        </w:rPr>
        <w:t>Agreement</w:t>
      </w:r>
      <w:r>
        <w:rPr>
          <w:color w:val="000000"/>
        </w:rPr>
        <w:t>”</w:t>
      </w:r>
      <w:r>
        <w:rPr>
          <w:rFonts w:ascii="Times New Roman;sans-serif" w:hAnsi="Times New Roman;sans-serif"/>
          <w:b w:val="false"/>
          <w:color w:val="000000"/>
          <w:sz w:val="22"/>
        </w:rPr>
        <w:t xml:space="preserve">) and the Plan attached hereto as </w:t>
      </w:r>
      <w:r>
        <w:rPr>
          <w:rFonts w:ascii="Times New Roman;sans-serif" w:hAnsi="Times New Roman;sans-serif"/>
          <w:b w:val="false"/>
          <w:color w:val="000000"/>
          <w:sz w:val="22"/>
          <w:u w:val="single"/>
        </w:rPr>
        <w:t>Exhibit B</w:t>
      </w:r>
      <w:r>
        <w:rPr>
          <w:rFonts w:ascii="Times New Roman;sans-serif" w:hAnsi="Times New Roman;sans-serif"/>
          <w:b w:val="false"/>
          <w:color w:val="000000"/>
          <w:sz w:val="22"/>
        </w:rPr>
        <w:t>, each of which is incorporated herein by reference. Capitalized terms used but not defined herein shall have the meanings set forth in the Plan.</w:t>
      </w:r>
    </w:p>
    <w:tbl>
      <w:tblPr>
        <w:tblW w:w="10205" w:type="dxa"/>
        <w:jc w:val="left"/>
        <w:tblInd w:w="0" w:type="dxa"/>
        <w:tblCellMar>
          <w:top w:w="28" w:type="dxa"/>
          <w:left w:w="28" w:type="dxa"/>
          <w:bottom w:w="28" w:type="dxa"/>
          <w:right w:w="28" w:type="dxa"/>
        </w:tblCellMar>
      </w:tblPr>
      <w:tblGrid>
        <w:gridCol w:w="964"/>
        <w:gridCol w:w="481"/>
        <w:gridCol w:w="483"/>
        <w:gridCol w:w="109"/>
        <w:gridCol w:w="109"/>
        <w:gridCol w:w="109"/>
        <w:gridCol w:w="2442"/>
        <w:gridCol w:w="2281"/>
        <w:gridCol w:w="3227"/>
      </w:tblGrid>
      <w:tr>
        <w:trPr/>
        <w:tc>
          <w:tcPr>
            <w:tcW w:w="964"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2" w:type="dxa"/>
            <w:tcBorders/>
            <w:shd w:fill="auto" w:val="clear"/>
            <w:vAlign w:val="center"/>
          </w:tcPr>
          <w:p>
            <w:pPr>
              <w:pStyle w:val="TableContents"/>
              <w:spacing w:before="0" w:after="283"/>
              <w:rPr>
                <w:sz w:val="4"/>
                <w:szCs w:val="4"/>
              </w:rPr>
            </w:pPr>
            <w:r>
              <w:rPr>
                <w:sz w:val="4"/>
                <w:szCs w:val="4"/>
              </w:rPr>
            </w:r>
          </w:p>
        </w:tc>
        <w:tc>
          <w:tcPr>
            <w:tcW w:w="2281" w:type="dxa"/>
            <w:tcBorders/>
            <w:shd w:fill="auto" w:val="clear"/>
            <w:vAlign w:val="center"/>
          </w:tcPr>
          <w:p>
            <w:pPr>
              <w:pStyle w:val="TableContents"/>
              <w:spacing w:before="0" w:after="283"/>
              <w:rPr>
                <w:sz w:val="4"/>
                <w:szCs w:val="4"/>
              </w:rPr>
            </w:pPr>
            <w:r>
              <w:rPr>
                <w:sz w:val="4"/>
                <w:szCs w:val="4"/>
              </w:rPr>
            </w:r>
          </w:p>
        </w:tc>
        <w:tc>
          <w:tcPr>
            <w:tcW w:w="3227" w:type="dxa"/>
            <w:tcBorders/>
            <w:shd w:fill="auto" w:val="clear"/>
            <w:vAlign w:val="center"/>
          </w:tcPr>
          <w:p>
            <w:pPr>
              <w:pStyle w:val="TableContents"/>
              <w:spacing w:before="0" w:after="283"/>
              <w:rPr>
                <w:sz w:val="4"/>
                <w:szCs w:val="4"/>
              </w:rPr>
            </w:pPr>
            <w:r>
              <w:rPr>
                <w:sz w:val="4"/>
                <w:szCs w:val="4"/>
              </w:rPr>
            </w:r>
          </w:p>
        </w:tc>
      </w:tr>
      <w:tr>
        <w:trPr/>
        <w:tc>
          <w:tcPr>
            <w:tcW w:w="1928"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2"/>
              </w:rPr>
            </w:pPr>
            <w:r>
              <w:rPr>
                <w:rFonts w:ascii="Times New Roman;sans-serif" w:hAnsi="Times New Roman;sans-serif"/>
                <w:b/>
                <w:color w:val="000000"/>
                <w:sz w:val="22"/>
              </w:rPr>
              <w:t>Participant: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2"/>
              </w:rPr>
            </w:pPr>
            <w:r>
              <w:rPr>
                <w:rFonts w:ascii="Times New Roman;sans-serif" w:hAnsi="Times New Roman;sans-serif"/>
                <w:b/>
                <w:color w:val="000000"/>
                <w:sz w:val="22"/>
              </w:rPr>
              <w:t>___________________________</w:t>
            </w:r>
          </w:p>
        </w:tc>
      </w:tr>
      <w:tr>
        <w:trPr/>
        <w:tc>
          <w:tcPr>
            <w:tcW w:w="19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8"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2"/>
              </w:rPr>
            </w:pPr>
            <w:r>
              <w:rPr>
                <w:rFonts w:ascii="Times New Roman;sans-serif" w:hAnsi="Times New Roman;sans-serif"/>
                <w:b/>
                <w:color w:val="000000"/>
                <w:sz w:val="22"/>
              </w:rPr>
              <w:t>Date of Grant: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color w:val="000000"/>
                <w:sz w:val="22"/>
              </w:rPr>
              <w:t xml:space="preserve">___________________________ </w:t>
            </w:r>
            <w:r>
              <w:rPr>
                <w:rFonts w:ascii="Times New Roman;sans-serif" w:hAnsi="Times New Roman;sans-serif"/>
                <w:b w:val="false"/>
                <w:color w:val="000000"/>
                <w:sz w:val="22"/>
              </w:rPr>
              <w:t>(“</w:t>
            </w:r>
            <w:r>
              <w:rPr>
                <w:rFonts w:ascii="Times New Roman;sans-serif" w:hAnsi="Times New Roman;sans-serif"/>
                <w:b/>
                <w:i/>
                <w:color w:val="000000"/>
                <w:sz w:val="22"/>
              </w:rPr>
              <w:t>Date of Grant</w:t>
            </w:r>
            <w:r>
              <w:rPr>
                <w:color w:val="000000"/>
              </w:rPr>
              <w:t>”</w:t>
            </w:r>
            <w:r>
              <w:rPr>
                <w:rFonts w:ascii="Times New Roman;sans-serif" w:hAnsi="Times New Roman;sans-serif"/>
                <w:b w:val="false"/>
                <w:color w:val="000000"/>
                <w:sz w:val="22"/>
              </w:rPr>
              <w:t>)</w:t>
            </w:r>
          </w:p>
        </w:tc>
      </w:tr>
      <w:tr>
        <w:trPr/>
        <w:tc>
          <w:tcPr>
            <w:tcW w:w="19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8"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2"/>
              </w:rPr>
            </w:pPr>
            <w:r>
              <w:rPr>
                <w:rFonts w:ascii="Times New Roman;sans-serif" w:hAnsi="Times New Roman;sans-serif"/>
                <w:b/>
                <w:color w:val="000000"/>
                <w:sz w:val="22"/>
              </w:rPr>
              <w:t>Total Number of Restricted Stock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2"/>
              </w:rPr>
            </w:pPr>
            <w:r>
              <w:rPr>
                <w:rFonts w:ascii="Times New Roman;sans-serif" w:hAnsi="Times New Roman;sans-serif"/>
                <w:b/>
                <w:color w:val="000000"/>
                <w:sz w:val="22"/>
              </w:rPr>
              <w:t>___________________________</w:t>
            </w:r>
          </w:p>
        </w:tc>
      </w:tr>
      <w:tr>
        <w:trPr/>
        <w:tc>
          <w:tcPr>
            <w:tcW w:w="19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8"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2"/>
              </w:rPr>
            </w:pPr>
            <w:r>
              <w:rPr>
                <w:rFonts w:ascii="Times New Roman;sans-serif" w:hAnsi="Times New Roman;sans-serif"/>
                <w:b/>
                <w:color w:val="000000"/>
                <w:sz w:val="22"/>
              </w:rPr>
              <w:t>Vesting Commencement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color w:val="000000"/>
                <w:sz w:val="22"/>
              </w:rPr>
              <w:t>___________________________ (“</w:t>
            </w:r>
            <w:r>
              <w:rPr>
                <w:rFonts w:ascii="Times New Roman;sans-serif" w:hAnsi="Times New Roman;sans-serif"/>
                <w:b/>
                <w:i/>
                <w:color w:val="000000"/>
                <w:sz w:val="22"/>
              </w:rPr>
              <w:t>Vesting Commencement Date</w:t>
            </w:r>
            <w:r>
              <w:rPr>
                <w:color w:val="000000"/>
              </w:rPr>
              <w:t>”</w:t>
            </w:r>
            <w:r>
              <w:rPr>
                <w:rFonts w:ascii="Times New Roman;sans-serif" w:hAnsi="Times New Roman;sans-serif"/>
                <w:b w:val="false"/>
                <w:color w:val="000000"/>
                <w:sz w:val="22"/>
              </w:rPr>
              <w:t>)</w:t>
            </w:r>
          </w:p>
        </w:tc>
      </w:tr>
      <w:tr>
        <w:trPr/>
        <w:tc>
          <w:tcPr>
            <w:tcW w:w="19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8"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2"/>
              </w:rPr>
            </w:pPr>
            <w:r>
              <w:rPr>
                <w:rFonts w:ascii="Times New Roman;sans-serif" w:hAnsi="Times New Roman;sans-serif"/>
                <w:b/>
                <w:color w:val="000000"/>
                <w:sz w:val="22"/>
              </w:rPr>
              <w:t>Vesting Schedule: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0"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Subject to the terms and conditions of the Agreement, the Plan and the other terms and conditions set forth herein, the RSUs shall vest in equal installments on each of the first three anniversaries of the Vesting Commencement Date, so long as you remain continuously employed or engaged by the Company or an Affiliate, as applicable, from the Date of Grant through each such vesting date, other than in the case of your Qualifying Termination or CIC Qualifying Termination.</w:t>
            </w:r>
          </w:p>
        </w:tc>
      </w:tr>
      <w:tr>
        <w:trPr/>
        <w:tc>
          <w:tcPr>
            <w:tcW w:w="19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8"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2"/>
              </w:rPr>
            </w:pPr>
            <w:r>
              <w:rPr>
                <w:rFonts w:ascii="Times New Roman;sans-serif" w:hAnsi="Times New Roman;sans-serif"/>
                <w:b/>
                <w:color w:val="000000"/>
                <w:sz w:val="22"/>
              </w:rPr>
              <w:t>Qualifying Termination: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0"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r>
              <w:rPr>
                <w:rFonts w:ascii="Times New Roman;sans-serif" w:hAnsi="Times New Roman;sans-serif"/>
                <w:b w:val="false"/>
                <w:color w:val="000000"/>
                <w:sz w:val="22"/>
              </w:rPr>
              <w:t>In the event of your Qualifying Termination, a pro-rata portion of the RSUs that would have otherwise vested in such 12-month vesting period will vest, determined by multiplying (a) 1/36</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of the total number of RSUs by (b) the number of completed months elapsed from the Vesting Commencement Date or the most recent anniversary thereof through the date of such Qualifying Termination, rounded down to the nearest whole share.</w:t>
            </w:r>
          </w:p>
        </w:tc>
      </w:tr>
      <w:tr>
        <w:trPr/>
        <w:tc>
          <w:tcPr>
            <w:tcW w:w="19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8"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2"/>
              </w:rPr>
            </w:pPr>
            <w:r>
              <w:rPr>
                <w:rFonts w:ascii="Times New Roman;sans-serif" w:hAnsi="Times New Roman;sans-serif"/>
                <w:b/>
                <w:color w:val="000000"/>
                <w:sz w:val="22"/>
              </w:rPr>
              <w:t>CIC Qualifying Termination: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0"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 the event of your CIC Qualifying Termination, the RSUs will vest in full.</w:t>
              <w:br/>
              <w:t>In the event that the successor company or a parent or subsidiary thereof does not assume the RSUs upon a Change in Control, the RSUs will vest in full upon such Change in Control.</w:t>
              <w:br/>
              <w:t>The accelerated vesting described in this Grant Notice will be conditioned on your execution and non-revocation of a release of claims in a form acceptable to the Company within the 60-day period following such Qualifying Termination or CIC Qualifying Termination.</w:t>
            </w:r>
          </w:p>
        </w:tc>
      </w:tr>
    </w:tbl>
    <w:p>
      <w:pPr>
        <w:pStyle w:val="TextBody"/>
        <w:spacing w:lineRule="auto" w:line="345" w:before="120" w:after="283"/>
        <w:ind w:left="0" w:right="0" w:firstLine="720"/>
        <w:jc w:val="both"/>
        <w:rPr/>
      </w:pPr>
      <w:r>
        <w:rPr>
          <w:color w:val="000000"/>
        </w:rPr>
        <w:t>“</w:t>
      </w:r>
      <w:r>
        <w:rPr>
          <w:rFonts w:ascii="Times New Roman;sans-serif" w:hAnsi="Times New Roman;sans-serif"/>
          <w:b/>
          <w:i/>
          <w:color w:val="000000"/>
          <w:sz w:val="22"/>
        </w:rPr>
        <w:t>Cause</w:t>
      </w:r>
      <w:r>
        <w:rPr>
          <w:color w:val="000000"/>
        </w:rPr>
        <w:t xml:space="preserve">” </w:t>
      </w:r>
      <w:r>
        <w:rPr>
          <w:rFonts w:ascii="Times New Roman;sans-serif" w:hAnsi="Times New Roman;sans-serif"/>
          <w:b w:val="false"/>
          <w:color w:val="000000"/>
          <w:sz w:val="22"/>
        </w:rPr>
        <w:t xml:space="preserve">has the meaning set forth in any employment, severance, or other similar contract with the Participant, and if not defined therein, means (i) if the Participant is a party to an employment or service agreement with the Company and such agreement includes a definition of “cause,” the definition contained therein; or (ii) if no such agreement exists, or if such agreement does not define “cause” or a similar term, (a) the Participant’s material breach of this Agreement or any other written agreement between the Participant and the Company or an Affiliate or the Participant’s breach of any policy or code of conduct established by the Company </w:t>
      </w:r>
      <w:r>
        <w:br w:type="page"/>
      </w: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Exhibit 10.13</w:t>
      </w:r>
    </w:p>
    <w:p>
      <w:pPr>
        <w:pStyle w:val="TextBody"/>
        <w:spacing w:lineRule="auto" w:line="345"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or an Affiliate and applicable to the Participant; (b) the commission of an act of gross negligence, willful misconduct, breach of fiduciary duty, fraud, theft or embezzlement on the part of the Participant; (c) the commission by the Participant of, or conviction or indictment of the Participant for, or plea of nolo contendere by the Participant to, any felony (or state law equivalent) or any crime involving moral turpitude; or (d) the Participant’s willful failure or refusal, other than due to disability, to perform the Participant’s obligations pursuant to this Agreement or any employment agreement with the Company or an Affiliate, as applicable, or to follow any lawful directive from the Company or any Affiliate, as determined by the Company; provided, however, that if the Participant’s actions or omissions as set forth in this clause (d) are of such a nature that the Company determines they are curable by the Participant, such actions or omissions must remain uncured 30 days after the Company has provided the Participant written notice of the obligation to cure such actions or omissions.</w:t>
      </w:r>
    </w:p>
    <w:p>
      <w:pPr>
        <w:pStyle w:val="TextBody"/>
        <w:spacing w:lineRule="auto" w:line="345" w:before="120" w:after="283"/>
        <w:ind w:left="0" w:right="0" w:firstLine="720"/>
        <w:jc w:val="both"/>
        <w:rPr/>
      </w:pPr>
      <w:r>
        <w:rPr>
          <w:color w:val="000000"/>
        </w:rPr>
        <w:t>“</w:t>
      </w:r>
      <w:r>
        <w:rPr>
          <w:rFonts w:ascii="Times New Roman;sans-serif" w:hAnsi="Times New Roman;sans-serif"/>
          <w:b/>
          <w:i/>
          <w:color w:val="000000"/>
          <w:sz w:val="22"/>
        </w:rPr>
        <w:t>CIC Qualifying Termination</w:t>
      </w:r>
      <w:r>
        <w:rPr>
          <w:color w:val="000000"/>
        </w:rPr>
        <w:t xml:space="preserve">” </w:t>
      </w:r>
      <w:r>
        <w:rPr>
          <w:rFonts w:ascii="Times New Roman;sans-serif" w:hAnsi="Times New Roman;sans-serif"/>
          <w:b w:val="false"/>
          <w:color w:val="000000"/>
          <w:sz w:val="22"/>
        </w:rPr>
        <w:t>means the termination of the Participant’s employment or service by the Company without Cause, [by the Participant for Good Reason, or][1] due to his or her death or Disability, in each case within the 12-month period following a Change in Control.</w:t>
      </w:r>
    </w:p>
    <w:p>
      <w:pPr>
        <w:pStyle w:val="TextBody"/>
        <w:spacing w:lineRule="auto" w:line="345" w:before="120" w:after="283"/>
        <w:ind w:left="0" w:right="0" w:firstLine="720"/>
        <w:jc w:val="both"/>
        <w:rPr/>
      </w:pPr>
      <w:r>
        <w:rPr>
          <w:color w:val="000000"/>
        </w:rPr>
        <w:t>“</w:t>
      </w:r>
      <w:r>
        <w:rPr>
          <w:rFonts w:ascii="Times New Roman;sans-serif" w:hAnsi="Times New Roman;sans-serif"/>
          <w:b/>
          <w:i/>
          <w:color w:val="000000"/>
          <w:sz w:val="22"/>
        </w:rPr>
        <w:t>Disability</w:t>
      </w:r>
      <w:r>
        <w:rPr>
          <w:color w:val="000000"/>
        </w:rPr>
        <w:t xml:space="preserve">” </w:t>
      </w:r>
      <w:r>
        <w:rPr>
          <w:rFonts w:ascii="Times New Roman;sans-serif" w:hAnsi="Times New Roman;sans-serif"/>
          <w:b w:val="false"/>
          <w:color w:val="000000"/>
          <w:sz w:val="22"/>
        </w:rPr>
        <w:t>has the meaning set forth in any employment, severance, or other similar contract with the Participant, and if not defined therein, means a physical or mental sickness or any injury which renders the Participant incapable of performing the services required of the Participant and which does or may be expected to continue for more than six months during any 12-month period.</w:t>
      </w:r>
    </w:p>
    <w:p>
      <w:pPr>
        <w:pStyle w:val="TextBody"/>
        <w:spacing w:lineRule="auto" w:line="345" w:before="120" w:after="283"/>
        <w:ind w:left="0" w:right="0" w:firstLine="720"/>
        <w:jc w:val="both"/>
        <w:rPr/>
      </w:pPr>
      <w:r>
        <w:rPr>
          <w:rFonts w:ascii="Times New Roman;sans-serif" w:hAnsi="Times New Roman;sans-serif"/>
          <w:b w:val="false"/>
          <w:color w:val="000000"/>
          <w:sz w:val="22"/>
        </w:rPr>
        <w:t>[“</w:t>
      </w:r>
      <w:r>
        <w:rPr>
          <w:rFonts w:ascii="Times New Roman;sans-serif" w:hAnsi="Times New Roman;sans-serif"/>
          <w:b/>
          <w:i/>
          <w:color w:val="000000"/>
          <w:sz w:val="22"/>
        </w:rPr>
        <w:t>Good Reason</w:t>
      </w:r>
      <w:r>
        <w:rPr>
          <w:color w:val="000000"/>
        </w:rPr>
        <w:t xml:space="preserve">” </w:t>
      </w:r>
      <w:r>
        <w:rPr>
          <w:rFonts w:ascii="Times New Roman;sans-serif" w:hAnsi="Times New Roman;sans-serif"/>
          <w:b w:val="false"/>
          <w:color w:val="000000"/>
          <w:sz w:val="22"/>
        </w:rPr>
        <w:t>means the Participant’s resignation within 90 days after any of the following events, unless the Participant consents to the applicable event: (i) a material decrease in the Participant’s base salary, other than a reduction in annual base salary of less than 10% that is implemented in connection with a contemporaneous reduction in annual base salaries affecting other senior executives of the Company; (ii) a material decrease in (a) the Participant’s then-current title or position, or (b) authority or areas of responsibility as are commensurate with the Participant’s then-current title or position; (iii) a relocation of the Participant’s principal work location to a location more than 50 miles from the Participant’s then-current principal location of employment; or (iv) a material breach by the Company or any Affiliate of this Agreement or any material agreement between the Participant, the Company or any Affiliate. Notwithstanding the foregoing, any assertion by the Participant of a termination for Good Reason will not be effective unless and until the Participant has: (x) provided the Company or any Affiliate, within 60 days of the Participant’s knowledge of the occurrence of the facts and circumstances underlying the Good Reason event, written notice stating with specificity the applicable facts and circumstances underlying such Good Reason event; and (y) provided the Company or any of its subsidiaries with an opportunity to cure the same within 30 days after the receipt of such notice.][2]</w:t>
      </w:r>
    </w:p>
    <w:p>
      <w:pPr>
        <w:pStyle w:val="TextBody"/>
        <w:spacing w:lineRule="auto" w:line="345" w:before="120" w:after="283"/>
        <w:ind w:left="0" w:right="0" w:firstLine="720"/>
        <w:jc w:val="both"/>
        <w:rPr/>
      </w:pPr>
      <w:r>
        <w:rPr>
          <w:color w:val="000000"/>
        </w:rPr>
        <w:t>“</w:t>
      </w:r>
      <w:r>
        <w:rPr>
          <w:rFonts w:ascii="Times New Roman;sans-serif" w:hAnsi="Times New Roman;sans-serif"/>
          <w:b/>
          <w:i/>
          <w:color w:val="000000"/>
          <w:sz w:val="22"/>
        </w:rPr>
        <w:t>Qualifying Termination</w:t>
      </w:r>
      <w:r>
        <w:rPr>
          <w:color w:val="000000"/>
        </w:rPr>
        <w:t xml:space="preserve">” </w:t>
      </w:r>
      <w:r>
        <w:rPr>
          <w:rFonts w:ascii="Times New Roman;sans-serif" w:hAnsi="Times New Roman;sans-serif"/>
          <w:b w:val="false"/>
          <w:color w:val="000000"/>
          <w:sz w:val="22"/>
        </w:rPr>
        <w:t>means the termination of the Participant’s employment or service [by the Company without Cause, by the Participant for Good Reason, or ][3]due to his or her death or Disability, in each case other than within the 12-month period following a Change in Control.</w:t>
      </w:r>
    </w:p>
    <w:p>
      <w:pPr>
        <w:pStyle w:val="TextBody"/>
        <w:spacing w:lineRule="auto" w:line="345" w:before="12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By accepting this Award, you agree to be bound by the terms and conditions of the Agreement, the Plan and this Grant Notice. You acknowledge that you have reviewed in their entirety and fully understand all provisions of the Agreement, the Plan and this Grant Notice. You hereby agree to accept as binding, conclusive and final all decisions or interpretations of the Committee regarding any questions or determinations arising under the Agreement, the Plan or this Grant Notice.</w:t>
      </w:r>
      <w:r>
        <w:br w:type="page"/>
      </w: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Exhibit 10.13</w:t>
      </w:r>
    </w:p>
    <w:p>
      <w:pPr>
        <w:pStyle w:val="TextBody"/>
        <w:spacing w:lineRule="auto" w:line="345" w:before="12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lieu of receiving documents in paper format, you agree, to the fullest extent permitted by applicable law, to accept electronic delivery of any documents that the Company may be required to deliver (including, but not limited to, prospectuses, prospectus supplements, account statements, annual and quarterly reports and all other forms of communications) in connection with this Award. Electronic delivery may be via a Company electronic mail system or by reference to a location on a Company intranet to which you have access. You hereby consent to all procedures the Company has established or may establish for an electronic signature system for delivery and acceptance of any such documents.</w:t>
      </w:r>
    </w:p>
    <w:p>
      <w:pPr>
        <w:pStyle w:val="TextBody"/>
        <w:spacing w:before="120" w:after="283"/>
        <w:jc w:val="center"/>
        <w:rPr/>
      </w:pPr>
      <w:r>
        <w:rPr/>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 Include for Participants with double-trigger Good Reason rights.</w:t>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[2] Include for Participants with Good Reason rights.</w:t>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[3] Include for Participants with Cause and Good Reason rights prior to a Change in Control.</w:t>
      </w:r>
    </w:p>
    <w:p>
      <w:pPr>
        <w:pStyle w:val="TextBody"/>
        <w:spacing w:before="0" w:after="0"/>
        <w:jc w:val="both"/>
        <w:rPr/>
      </w:pPr>
      <w:r>
        <w:rPr/>
      </w:r>
    </w:p>
    <w:p>
      <w:pPr>
        <w:pStyle w:val="TextBody"/>
        <w:spacing w:lineRule="auto" w:line="345" w:before="12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[Remainder of Page Intentionally Blank; Signature Page Follows]</w:t>
      </w:r>
      <w:r>
        <w:br w:type="page"/>
      </w: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Exhibit 10.13</w:t>
      </w:r>
    </w:p>
    <w:p>
      <w:pPr>
        <w:pStyle w:val="TextBody"/>
        <w:spacing w:lineRule="auto" w:line="268" w:before="0" w:after="0"/>
        <w:ind w:left="0" w:right="0" w:firstLine="720"/>
        <w:jc w:val="both"/>
        <w:rPr/>
      </w:pPr>
      <w:r>
        <w:rPr>
          <w:rFonts w:ascii="Times New Roman;sans-serif" w:hAnsi="Times New Roman;sans-serif"/>
          <w:b/>
          <w:color w:val="000000"/>
          <w:sz w:val="22"/>
        </w:rPr>
        <w:t>IN WITNESS WHEREOF</w:t>
      </w:r>
      <w:r>
        <w:rPr>
          <w:rFonts w:ascii="Times New Roman;sans-serif" w:hAnsi="Times New Roman;sans-serif"/>
          <w:b w:val="false"/>
          <w:color w:val="000000"/>
          <w:sz w:val="22"/>
        </w:rPr>
        <w:t xml:space="preserve">, the Company has caused this Grant Notice to be executed by an officer thereunto duly authorized, effective for all purposes as provided above. </w:t>
      </w:r>
    </w:p>
    <w:p>
      <w:pPr>
        <w:pStyle w:val="TextBody"/>
        <w:spacing w:before="0" w:after="0"/>
        <w:ind w:left="0" w:right="0" w:firstLine="4320"/>
        <w:rPr/>
      </w:pPr>
      <w:r>
        <w:rPr/>
      </w:r>
    </w:p>
    <w:tbl>
      <w:tblPr>
        <w:tblW w:w="4255" w:type="dxa"/>
        <w:jc w:val="left"/>
        <w:tblInd w:w="0" w:type="dxa"/>
        <w:tblCellMar>
          <w:top w:w="28" w:type="dxa"/>
          <w:left w:w="28" w:type="dxa"/>
          <w:bottom w:w="28" w:type="dxa"/>
          <w:right w:w="28" w:type="dxa"/>
        </w:tblCellMar>
      </w:tblPr>
      <w:tblGrid>
        <w:gridCol w:w="124"/>
        <w:gridCol w:w="109"/>
        <w:gridCol w:w="109"/>
        <w:gridCol w:w="609"/>
        <w:gridCol w:w="609"/>
        <w:gridCol w:w="609"/>
        <w:gridCol w:w="609"/>
        <w:gridCol w:w="609"/>
        <w:gridCol w:w="86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r>
      <w:tr>
        <w:trPr/>
        <w:tc>
          <w:tcPr>
            <w:tcW w:w="425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ACCEL ENTERTAINMENT,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r>
    </w:tbl>
    <w:p>
      <w:pPr>
        <w:pStyle w:val="TextBody"/>
        <w:spacing w:before="0" w:after="0"/>
        <w:ind w:left="0" w:right="0" w:firstLine="4320"/>
        <w:rPr/>
      </w:pPr>
      <w:r>
        <w:rPr/>
      </w:r>
    </w:p>
    <w:p>
      <w:pPr>
        <w:pStyle w:val="TextBody"/>
        <w:spacing w:before="0" w:after="0"/>
        <w:rPr/>
      </w:pPr>
      <w:r>
        <w:rPr/>
      </w:r>
    </w:p>
    <w:p>
      <w:pPr>
        <w:pStyle w:val="TextBody"/>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10.23</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ACCEL ENTERTAINMENT,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LONG TERM INCENTIVE PLAN</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PERFORMANCE-BASED RESTRICTED STOCK UNIT GRANT NOTICE</w:t>
      </w:r>
    </w:p>
    <w:p>
      <w:pPr>
        <w:pStyle w:val="TextBody"/>
        <w:spacing w:lineRule="auto" w:line="345" w:before="120" w:after="283"/>
        <w:jc w:val="both"/>
        <w:rPr/>
      </w:pPr>
      <w:r>
        <w:rPr>
          <w:rFonts w:ascii="Times New Roman;sans-serif" w:hAnsi="Times New Roman;sans-serif"/>
          <w:b w:val="false"/>
          <w:color w:val="000000"/>
          <w:sz w:val="22"/>
        </w:rPr>
        <w:t>Pursuant to the terms and conditions of the Accel Entertainment, Inc. Long Term Incentive Plan, as amended from time to time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2"/>
        </w:rPr>
        <w:t>), Accel Entertainment,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2"/>
        </w:rPr>
        <w:t>) hereby grants to the individual listed below (“</w:t>
      </w:r>
      <w:r>
        <w:rPr>
          <w:rFonts w:ascii="Times New Roman;sans-serif" w:hAnsi="Times New Roman;sans-serif"/>
          <w:b/>
          <w:i/>
          <w:color w:val="000000"/>
          <w:sz w:val="24"/>
        </w:rPr>
        <w:t>you</w:t>
      </w:r>
      <w:r>
        <w:rPr>
          <w:color w:val="000000"/>
        </w:rPr>
        <w:t xml:space="preserve">” </w:t>
      </w:r>
      <w:r>
        <w:rPr>
          <w:rFonts w:ascii="Times New Roman;sans-serif" w:hAnsi="Times New Roman;sans-serif"/>
          <w:b w:val="false"/>
          <w:color w:val="000000"/>
          <w:sz w:val="22"/>
        </w:rPr>
        <w:t>or the “</w:t>
      </w:r>
      <w:r>
        <w:rPr>
          <w:rFonts w:ascii="Times New Roman;sans-serif" w:hAnsi="Times New Roman;sans-serif"/>
          <w:b/>
          <w:i/>
          <w:color w:val="000000"/>
          <w:sz w:val="24"/>
        </w:rPr>
        <w:t>Participant</w:t>
      </w:r>
      <w:r>
        <w:rPr>
          <w:color w:val="000000"/>
        </w:rPr>
        <w:t>”</w:t>
      </w:r>
      <w:r>
        <w:rPr>
          <w:rFonts w:ascii="Times New Roman;sans-serif" w:hAnsi="Times New Roman;sans-serif"/>
          <w:b w:val="false"/>
          <w:color w:val="000000"/>
          <w:sz w:val="22"/>
        </w:rPr>
        <w:t>) the number of Performance-Based Restricted Stock Units (“</w:t>
      </w:r>
      <w:r>
        <w:rPr>
          <w:rFonts w:ascii="Times New Roman;sans-serif" w:hAnsi="Times New Roman;sans-serif"/>
          <w:b/>
          <w:i/>
          <w:color w:val="000000"/>
          <w:sz w:val="24"/>
        </w:rPr>
        <w:t>PSUs</w:t>
      </w:r>
      <w:r>
        <w:rPr>
          <w:color w:val="000000"/>
        </w:rPr>
        <w:t>”</w:t>
      </w:r>
      <w:r>
        <w:rPr>
          <w:rFonts w:ascii="Times New Roman;sans-serif" w:hAnsi="Times New Roman;sans-serif"/>
          <w:b w:val="false"/>
          <w:color w:val="000000"/>
          <w:sz w:val="22"/>
        </w:rPr>
        <w:t>) set forth below in this Performance-Based Restricted Stock Unit Grant Notice (this “</w:t>
      </w:r>
      <w:r>
        <w:rPr>
          <w:rFonts w:ascii="Times New Roman;sans-serif" w:hAnsi="Times New Roman;sans-serif"/>
          <w:b/>
          <w:i/>
          <w:color w:val="000000"/>
          <w:sz w:val="24"/>
        </w:rPr>
        <w:t>Grant Notice</w:t>
      </w:r>
      <w:r>
        <w:rPr>
          <w:color w:val="000000"/>
        </w:rPr>
        <w:t>”</w:t>
      </w:r>
      <w:r>
        <w:rPr>
          <w:rFonts w:ascii="Times New Roman;sans-serif" w:hAnsi="Times New Roman;sans-serif"/>
          <w:b w:val="false"/>
          <w:color w:val="000000"/>
          <w:sz w:val="22"/>
        </w:rPr>
        <w:t>). This award of PSUs (this “</w:t>
      </w:r>
      <w:r>
        <w:rPr>
          <w:rFonts w:ascii="Times New Roman;sans-serif" w:hAnsi="Times New Roman;sans-serif"/>
          <w:b/>
          <w:i/>
          <w:color w:val="000000"/>
          <w:sz w:val="24"/>
        </w:rPr>
        <w:t>Award</w:t>
      </w:r>
      <w:r>
        <w:rPr>
          <w:color w:val="000000"/>
        </w:rPr>
        <w:t>”</w:t>
      </w:r>
      <w:r>
        <w:rPr>
          <w:rFonts w:ascii="Times New Roman;sans-serif" w:hAnsi="Times New Roman;sans-serif"/>
          <w:b w:val="false"/>
          <w:color w:val="000000"/>
          <w:sz w:val="22"/>
        </w:rPr>
        <w:t xml:space="preserve">) is subject to the terms and conditions set forth herein, in the Performance-Based Restricted Stock Unit Agreement attached hereto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2"/>
        </w:rPr>
        <w:t xml:space="preserve">) and the Plan attached hereto as </w:t>
      </w:r>
      <w:r>
        <w:rPr>
          <w:rFonts w:ascii="Times New Roman;sans-serif" w:hAnsi="Times New Roman;sans-serif"/>
          <w:b w:val="false"/>
          <w:color w:val="000000"/>
          <w:sz w:val="24"/>
          <w:u w:val="single"/>
        </w:rPr>
        <w:t>Exhibit B</w:t>
      </w:r>
      <w:r>
        <w:rPr>
          <w:rFonts w:ascii="Times New Roman;sans-serif" w:hAnsi="Times New Roman;sans-serif"/>
          <w:b w:val="false"/>
          <w:color w:val="000000"/>
          <w:sz w:val="22"/>
        </w:rPr>
        <w:t>, each of which is incorporated herein by reference. Capitalized terms used but not defined herein shall have the meanings set forth in the Plan.</w:t>
      </w:r>
    </w:p>
    <w:tbl>
      <w:tblPr>
        <w:tblW w:w="10205" w:type="dxa"/>
        <w:jc w:val="left"/>
        <w:tblInd w:w="0" w:type="dxa"/>
        <w:tblCellMar>
          <w:top w:w="28" w:type="dxa"/>
          <w:left w:w="28" w:type="dxa"/>
          <w:bottom w:w="28" w:type="dxa"/>
          <w:right w:w="28" w:type="dxa"/>
        </w:tblCellMar>
      </w:tblPr>
      <w:tblGrid>
        <w:gridCol w:w="873"/>
        <w:gridCol w:w="648"/>
        <w:gridCol w:w="652"/>
        <w:gridCol w:w="109"/>
        <w:gridCol w:w="109"/>
        <w:gridCol w:w="109"/>
        <w:gridCol w:w="2254"/>
        <w:gridCol w:w="2254"/>
        <w:gridCol w:w="3197"/>
      </w:tblGrid>
      <w:tr>
        <w:trPr/>
        <w:tc>
          <w:tcPr>
            <w:tcW w:w="873"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4" w:type="dxa"/>
            <w:tcBorders/>
            <w:shd w:fill="auto" w:val="clear"/>
            <w:vAlign w:val="center"/>
          </w:tcPr>
          <w:p>
            <w:pPr>
              <w:pStyle w:val="TableContents"/>
              <w:spacing w:before="0" w:after="283"/>
              <w:rPr>
                <w:sz w:val="4"/>
                <w:szCs w:val="4"/>
              </w:rPr>
            </w:pPr>
            <w:r>
              <w:rPr>
                <w:sz w:val="4"/>
                <w:szCs w:val="4"/>
              </w:rPr>
            </w:r>
          </w:p>
        </w:tc>
        <w:tc>
          <w:tcPr>
            <w:tcW w:w="2254" w:type="dxa"/>
            <w:tcBorders/>
            <w:shd w:fill="auto" w:val="clear"/>
            <w:vAlign w:val="center"/>
          </w:tcPr>
          <w:p>
            <w:pPr>
              <w:pStyle w:val="TableContents"/>
              <w:spacing w:before="0" w:after="283"/>
              <w:rPr>
                <w:sz w:val="4"/>
                <w:szCs w:val="4"/>
              </w:rPr>
            </w:pPr>
            <w:r>
              <w:rPr>
                <w:sz w:val="4"/>
                <w:szCs w:val="4"/>
              </w:rPr>
            </w:r>
          </w:p>
        </w:tc>
        <w:tc>
          <w:tcPr>
            <w:tcW w:w="3197" w:type="dxa"/>
            <w:tcBorders/>
            <w:shd w:fill="auto" w:val="clear"/>
            <w:vAlign w:val="center"/>
          </w:tcPr>
          <w:p>
            <w:pPr>
              <w:pStyle w:val="TableContents"/>
              <w:spacing w:before="0" w:after="283"/>
              <w:rPr>
                <w:sz w:val="4"/>
                <w:szCs w:val="4"/>
              </w:rPr>
            </w:pPr>
            <w:r>
              <w:rPr>
                <w:sz w:val="4"/>
                <w:szCs w:val="4"/>
              </w:rPr>
            </w:r>
          </w:p>
        </w:tc>
      </w:tr>
      <w:tr>
        <w:trPr/>
        <w:tc>
          <w:tcPr>
            <w:tcW w:w="21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Participant: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w:t>
            </w:r>
          </w:p>
        </w:tc>
      </w:tr>
      <w:tr>
        <w:trPr/>
        <w:tc>
          <w:tcPr>
            <w:tcW w:w="21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of Grant: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4"/>
              </w:rPr>
              <w:t>__________, 202_ (“</w:t>
            </w:r>
            <w:r>
              <w:rPr>
                <w:rFonts w:ascii="Times New Roman;sans-serif" w:hAnsi="Times New Roman;sans-serif"/>
                <w:b/>
                <w:i/>
                <w:color w:val="000000"/>
                <w:sz w:val="24"/>
              </w:rPr>
              <w:t>Date of Grant</w:t>
            </w:r>
            <w:r>
              <w:rPr>
                <w:color w:val="000000"/>
              </w:rPr>
              <w:t>”</w:t>
            </w:r>
            <w:r>
              <w:rPr>
                <w:rFonts w:ascii="Times New Roman;sans-serif" w:hAnsi="Times New Roman;sans-serif"/>
                <w:b w:val="false"/>
                <w:color w:val="000000"/>
                <w:sz w:val="24"/>
              </w:rPr>
              <w:t>)</w:t>
            </w:r>
          </w:p>
        </w:tc>
      </w:tr>
      <w:tr>
        <w:trPr/>
        <w:tc>
          <w:tcPr>
            <w:tcW w:w="21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Target Number of PSUs: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w:t>
            </w:r>
          </w:p>
        </w:tc>
      </w:tr>
      <w:tr>
        <w:trPr/>
        <w:tc>
          <w:tcPr>
            <w:tcW w:w="21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Performance Goals and Vesting Schedule: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4"/>
              </w:rPr>
              <w:t xml:space="preserve">Subject to the terms and conditions of the Agreement, the Plan and the other terms and conditions set forth herein, the PSUs shall vest according to the performance goals and vesting schedule set forth in </w:t>
            </w:r>
            <w:r>
              <w:rPr>
                <w:rFonts w:ascii="Times New Roman;sans-serif" w:hAnsi="Times New Roman;sans-serif"/>
                <w:b w:val="false"/>
                <w:color w:val="000000"/>
                <w:sz w:val="24"/>
                <w:u w:val="single"/>
              </w:rPr>
              <w:t>Annex A</w:t>
            </w:r>
            <w:r>
              <w:rPr>
                <w:color w:val="000000"/>
              </w:rPr>
              <w:t xml:space="preserve"> </w:t>
            </w:r>
            <w:r>
              <w:rPr>
                <w:rFonts w:ascii="Times New Roman;sans-serif" w:hAnsi="Times New Roman;sans-serif"/>
                <w:b w:val="false"/>
                <w:color w:val="000000"/>
                <w:sz w:val="24"/>
              </w:rPr>
              <w:t>hereto.</w:t>
            </w:r>
          </w:p>
        </w:tc>
      </w:tr>
    </w:tbl>
    <w:p>
      <w:pPr>
        <w:pStyle w:val="TextBody"/>
        <w:spacing w:lineRule="auto" w:line="345" w:before="12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By accepting this Award, you agree to be bound by the terms and conditions of the Agreement, the Plan and this Grant Notice. You acknowledge that you have reviewed in their entirety and fully understand all provisions of the Agreement, the Plan and this Grant Notice. You hereby agree to accept as binding, conclusive and final all decisions or interpretations of the Committee regarding any questions or determinations arising under the Agreement, the Plan or this Grant Notice.</w:t>
      </w:r>
    </w:p>
    <w:p>
      <w:pPr>
        <w:pStyle w:val="TextBody"/>
        <w:spacing w:lineRule="auto" w:line="345" w:before="12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lieu of receiving documents in paper format, you agree, to the fullest extent permitted by applicable law, to accept electronic delivery of any documents that the Company may be required to deliver (including, but not limited to, prospectuses, prospectus supplements, account statements, annual and quarterly reports and all other forms of communications) in connection with this Award. Electronic delivery may be via a Company electronic mail system or by reference to a location on a Company intranet to which you have access. You hereby consent to all procedures the Company has established or may establish for an electronic signature system for delivery and acceptance of any such documents.</w:t>
      </w:r>
    </w:p>
    <w:p>
      <w:pPr>
        <w:pStyle w:val="TextBody"/>
        <w:spacing w:before="120" w:after="283"/>
        <w:ind w:left="0" w:right="0" w:firstLine="720"/>
        <w:jc w:val="both"/>
        <w:rPr/>
      </w:pPr>
      <w:r>
        <w:rPr/>
      </w:r>
    </w:p>
    <w:p>
      <w:pPr>
        <w:pStyle w:val="TextBody"/>
        <w:spacing w:lineRule="auto" w:line="345" w:before="12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[Remainder of Page Intentionally Blank; Signature Page Follows]</w:t>
      </w:r>
    </w:p>
    <w:p>
      <w:pPr>
        <w:pStyle w:val="TextBody"/>
        <w:spacing w:before="120" w:after="283"/>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10.23</w:t>
      </w:r>
    </w:p>
    <w:p>
      <w:pPr>
        <w:pStyle w:val="TextBody"/>
        <w:spacing w:before="120" w:after="283"/>
        <w:rPr/>
      </w:pPr>
      <w:r>
        <w:rPr/>
      </w:r>
    </w:p>
    <w:p>
      <w:pPr>
        <w:pStyle w:val="TextBody"/>
        <w:spacing w:lineRule="auto" w:line="345" w:before="120" w:after="283"/>
        <w:ind w:left="0" w:right="0" w:firstLine="720"/>
        <w:jc w:val="both"/>
        <w:rPr/>
      </w:pPr>
      <w:r>
        <w:rPr>
          <w:rFonts w:ascii="Times New Roman;sans-serif" w:hAnsi="Times New Roman;sans-serif"/>
          <w:b/>
          <w:color w:val="000000"/>
          <w:sz w:val="22"/>
        </w:rPr>
        <w:t>IN WITNESS WHEREOF</w:t>
      </w:r>
      <w:r>
        <w:rPr>
          <w:rFonts w:ascii="Times New Roman;sans-serif" w:hAnsi="Times New Roman;sans-serif"/>
          <w:b w:val="false"/>
          <w:color w:val="000000"/>
          <w:sz w:val="22"/>
        </w:rPr>
        <w:t xml:space="preserve">, the Company has caused this Grant Notice to be executed by an officer thereunto duly authorized, effective for all purposes as provided above. </w:t>
      </w:r>
    </w:p>
    <w:tbl>
      <w:tblPr>
        <w:tblW w:w="4030" w:type="dxa"/>
        <w:jc w:val="right"/>
        <w:tblInd w:w="0" w:type="dxa"/>
        <w:tblCellMar>
          <w:top w:w="28" w:type="dxa"/>
          <w:left w:w="28" w:type="dxa"/>
          <w:bottom w:w="28" w:type="dxa"/>
          <w:right w:w="28" w:type="dxa"/>
        </w:tblCellMar>
      </w:tblPr>
      <w:tblGrid>
        <w:gridCol w:w="124"/>
        <w:gridCol w:w="109"/>
        <w:gridCol w:w="109"/>
        <w:gridCol w:w="574"/>
        <w:gridCol w:w="574"/>
        <w:gridCol w:w="574"/>
        <w:gridCol w:w="574"/>
        <w:gridCol w:w="574"/>
        <w:gridCol w:w="81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r>
      <w:tr>
        <w:trPr/>
        <w:tc>
          <w:tcPr>
            <w:tcW w:w="4030"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ACCEL ENTERTAINMENT,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2"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r>
    </w:tbl>
    <w:p>
      <w:pPr>
        <w:pStyle w:val="TextBody"/>
        <w:spacing w:before="120" w:after="283"/>
        <w:rPr/>
      </w:pPr>
      <w:r>
        <w:rPr/>
      </w:r>
    </w:p>
    <w:p>
      <w:pPr>
        <w:pStyle w:val="TextBody"/>
        <w:spacing w:lineRule="auto" w:line="345" w:before="12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w:t>
      </w:r>
    </w:p>
    <w:p>
      <w:pPr>
        <w:pStyle w:val="TextBody"/>
        <w:spacing w:before="120" w:after="283"/>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10.23</w:t>
      </w:r>
    </w:p>
    <w:p>
      <w:pPr>
        <w:pStyle w:val="TextBody"/>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ANNEX A</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PSU PERFORMANCE GOALS AND VESTING SCHEDULE</w:t>
      </w:r>
    </w:p>
    <w:p>
      <w:pPr>
        <w:pStyle w:val="TextBody"/>
        <w:spacing w:before="0" w:after="0"/>
        <w:jc w:val="center"/>
        <w:rPr/>
      </w:pPr>
      <w:r>
        <w:rPr/>
      </w:r>
    </w:p>
    <w:p>
      <w:pPr>
        <w:pStyle w:val="TextBody"/>
        <w:spacing w:lineRule="auto" w:line="345" w:before="120" w:after="283"/>
        <w:ind w:left="0" w:right="0" w:firstLine="720"/>
        <w:jc w:val="both"/>
        <w:rPr/>
      </w:pPr>
      <w:r>
        <w:rPr>
          <w:rFonts w:ascii="Times New Roman;sans-serif" w:hAnsi="Times New Roman;sans-serif"/>
          <w:b w:val="false"/>
          <w:color w:val="000000"/>
          <w:sz w:val="22"/>
        </w:rPr>
        <w:t>The PSUs shall be eligible to vest based on the Company’s achievement of an adjusted EBITDA performance goal (each, the “</w:t>
      </w:r>
      <w:r>
        <w:rPr>
          <w:rFonts w:ascii="Times New Roman;sans-serif" w:hAnsi="Times New Roman;sans-serif"/>
          <w:b/>
          <w:i/>
          <w:color w:val="000000"/>
          <w:sz w:val="24"/>
        </w:rPr>
        <w:t>Target Adjusted EBIDTA</w:t>
      </w:r>
      <w:r>
        <w:rPr>
          <w:color w:val="000000"/>
        </w:rPr>
        <w:t>”</w:t>
      </w:r>
      <w:r>
        <w:rPr>
          <w:rFonts w:ascii="Times New Roman;sans-serif" w:hAnsi="Times New Roman;sans-serif"/>
          <w:b w:val="false"/>
          <w:color w:val="000000"/>
          <w:sz w:val="22"/>
        </w:rPr>
        <w:t>) to be established by the Company’s board of directors or the compensation committee thereof for each of calendar years 2023, 2024, and 2025 (each, a “</w:t>
      </w:r>
      <w:r>
        <w:rPr>
          <w:rFonts w:ascii="Times New Roman;sans-serif" w:hAnsi="Times New Roman;sans-serif"/>
          <w:b/>
          <w:i/>
          <w:color w:val="000000"/>
          <w:sz w:val="24"/>
        </w:rPr>
        <w:t>Measurement Period</w:t>
      </w:r>
      <w:r>
        <w:rPr>
          <w:color w:val="000000"/>
        </w:rPr>
        <w:t>”</w:t>
      </w:r>
      <w:r>
        <w:rPr>
          <w:rFonts w:ascii="Times New Roman;sans-serif" w:hAnsi="Times New Roman;sans-serif"/>
          <w:b w:val="false"/>
          <w:color w:val="000000"/>
          <w:sz w:val="22"/>
        </w:rPr>
        <w:t>).</w:t>
      </w:r>
    </w:p>
    <w:p>
      <w:pPr>
        <w:pStyle w:val="TextBody"/>
        <w:spacing w:lineRule="auto" w:line="345" w:before="12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each Measurement Period, Adjusted EBITDA shall have the meaning used by the Company for financial reporting purposes.</w:t>
      </w:r>
    </w:p>
    <w:p>
      <w:pPr>
        <w:pStyle w:val="TextBody"/>
        <w:spacing w:lineRule="auto" w:line="345" w:before="120" w:after="283"/>
        <w:ind w:left="0" w:right="0" w:firstLine="720"/>
        <w:jc w:val="both"/>
        <w:rPr/>
      </w:pPr>
      <w:r>
        <w:rPr>
          <w:rFonts w:ascii="Times New Roman;sans-serif" w:hAnsi="Times New Roman;sans-serif"/>
          <w:b w:val="false"/>
          <w:color w:val="000000"/>
          <w:sz w:val="22"/>
        </w:rPr>
        <w:t>The number of PSUs that vest will be determined as set forth in the table below based on the average of the Company’s achieved performance against Target Adjusted EBITDA for the three Measurement Periods, with each Measurement Period weighted equally in determining such average (the “</w:t>
      </w:r>
      <w:r>
        <w:rPr>
          <w:rFonts w:ascii="Times New Roman;sans-serif" w:hAnsi="Times New Roman;sans-serif"/>
          <w:b/>
          <w:i/>
          <w:color w:val="000000"/>
          <w:sz w:val="24"/>
        </w:rPr>
        <w:t>Average Performance</w:t>
      </w:r>
      <w:r>
        <w:rPr>
          <w:color w:val="000000"/>
        </w:rPr>
        <w:t>”</w:t>
      </w:r>
      <w:r>
        <w:rPr>
          <w:rFonts w:ascii="Times New Roman;sans-serif" w:hAnsi="Times New Roman;sans-serif"/>
          <w:b w:val="false"/>
          <w:color w:val="000000"/>
          <w:sz w:val="22"/>
        </w:rPr>
        <w:t>):</w:t>
      </w:r>
    </w:p>
    <w:tbl>
      <w:tblPr>
        <w:tblW w:w="10205" w:type="dxa"/>
        <w:jc w:val="center"/>
        <w:tblInd w:w="0" w:type="dxa"/>
        <w:tblCellMar>
          <w:top w:w="28" w:type="dxa"/>
          <w:left w:w="28" w:type="dxa"/>
          <w:bottom w:w="28" w:type="dxa"/>
          <w:right w:w="28" w:type="dxa"/>
        </w:tblCellMar>
      </w:tblPr>
      <w:tblGrid>
        <w:gridCol w:w="693"/>
        <w:gridCol w:w="609"/>
        <w:gridCol w:w="610"/>
        <w:gridCol w:w="902"/>
        <w:gridCol w:w="902"/>
        <w:gridCol w:w="904"/>
        <w:gridCol w:w="922"/>
        <w:gridCol w:w="922"/>
        <w:gridCol w:w="924"/>
        <w:gridCol w:w="822"/>
        <w:gridCol w:w="822"/>
        <w:gridCol w:w="1173"/>
      </w:tblGrid>
      <w:tr>
        <w:trPr/>
        <w:tc>
          <w:tcPr>
            <w:tcW w:w="693"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r>
      <w:tr>
        <w:trPr/>
        <w:tc>
          <w:tcPr>
            <w:tcW w:w="1912" w:type="dxa"/>
            <w:gridSpan w:val="3"/>
            <w:tcBorders>
              <w:top w:val="single" w:sz="8" w:space="0" w:color="000000"/>
              <w:left w:val="single" w:sz="8" w:space="0" w:color="000000"/>
            </w:tcBorders>
            <w:shd w:fill="D9D9D9" w:val="clear"/>
            <w:tcMar>
              <w:bottom w:w="0" w:type="dxa"/>
              <w:right w:w="0" w:type="dxa"/>
            </w:tcMar>
            <w:vAlign w:val="center"/>
          </w:tcPr>
          <w:p>
            <w:pPr>
              <w:pStyle w:val="TableContents"/>
              <w:spacing w:before="0" w:after="283"/>
              <w:rPr>
                <w:sz w:val="4"/>
                <w:szCs w:val="4"/>
              </w:rPr>
            </w:pPr>
            <w:r>
              <w:rPr>
                <w:sz w:val="4"/>
                <w:szCs w:val="4"/>
              </w:rPr>
            </w:r>
          </w:p>
        </w:tc>
        <w:tc>
          <w:tcPr>
            <w:tcW w:w="2708"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Threshold Performance</w:t>
            </w:r>
          </w:p>
        </w:tc>
        <w:tc>
          <w:tcPr>
            <w:tcW w:w="2768"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Target</w:t>
            </w:r>
          </w:p>
          <w:p>
            <w:pPr>
              <w:pStyle w:val="TableContents"/>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Performance</w:t>
            </w:r>
          </w:p>
        </w:tc>
        <w:tc>
          <w:tcPr>
            <w:tcW w:w="2817" w:type="dxa"/>
            <w:gridSpan w:val="3"/>
            <w:tcBorders>
              <w:top w:val="single" w:sz="8" w:space="0" w:color="000000"/>
              <w:left w:val="single" w:sz="8" w:space="0" w:color="000000"/>
              <w:right w:val="single" w:sz="8" w:space="0" w:color="000000"/>
            </w:tcBorders>
            <w:shd w:fill="D9D9D9" w:val="clear"/>
            <w:tcMar>
              <w:top w:w="30" w:type="dxa"/>
              <w:bottom w:w="0" w:type="dxa"/>
            </w:tcMar>
            <w:vAlign w:val="center"/>
          </w:tcPr>
          <w:p>
            <w:pPr>
              <w:pStyle w:val="TableContents"/>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Maximum Performance</w:t>
            </w:r>
          </w:p>
        </w:tc>
      </w:tr>
      <w:tr>
        <w:trPr/>
        <w:tc>
          <w:tcPr>
            <w:tcW w:w="191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Average Performance</w:t>
            </w:r>
          </w:p>
        </w:tc>
        <w:tc>
          <w:tcPr>
            <w:tcW w:w="2708"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85% of Targeted Adjusted EBITDA</w:t>
            </w:r>
          </w:p>
        </w:tc>
        <w:tc>
          <w:tcPr>
            <w:tcW w:w="2768"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100% of Targeted Adjusted EBITDA</w:t>
            </w:r>
          </w:p>
        </w:tc>
        <w:tc>
          <w:tcPr>
            <w:tcW w:w="2817"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115% of Targeted Adjusted EBITDA</w:t>
            </w:r>
          </w:p>
        </w:tc>
      </w:tr>
      <w:tr>
        <w:trPr/>
        <w:tc>
          <w:tcPr>
            <w:tcW w:w="1912"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Number of PSUs that vest</w:t>
            </w:r>
          </w:p>
        </w:tc>
        <w:tc>
          <w:tcPr>
            <w:tcW w:w="2708"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 of the target number of PSUs granted</w:t>
            </w:r>
          </w:p>
        </w:tc>
        <w:tc>
          <w:tcPr>
            <w:tcW w:w="2768"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100% of the target number of PSUs granted</w:t>
            </w:r>
          </w:p>
        </w:tc>
        <w:tc>
          <w:tcPr>
            <w:tcW w:w="2817"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200% of the target number of PSUs granted</w:t>
            </w:r>
          </w:p>
        </w:tc>
      </w:tr>
    </w:tbl>
    <w:p>
      <w:pPr>
        <w:pStyle w:val="TextBody"/>
        <w:spacing w:lineRule="auto" w:line="345" w:before="120" w:after="283"/>
        <w:ind w:left="0" w:right="0" w:firstLine="720"/>
        <w:jc w:val="both"/>
        <w:rPr/>
      </w:pPr>
      <w:r>
        <w:rPr>
          <w:rFonts w:ascii="Times New Roman;sans-serif" w:hAnsi="Times New Roman;sans-serif"/>
          <w:b w:val="false"/>
          <w:color w:val="000000"/>
          <w:sz w:val="22"/>
        </w:rPr>
        <w:t>If the Average Performance is less than Threshold Performance, then none of the PSUs shall vest.</w:t>
      </w:r>
      <w:r>
        <w:rPr>
          <w:color w:val="000000"/>
        </w:rPr>
        <w:t xml:space="preserve"> </w:t>
      </w:r>
      <w:r>
        <w:rPr>
          <w:rFonts w:ascii="Times New Roman;sans-serif" w:hAnsi="Times New Roman;sans-serif"/>
          <w:b w:val="false"/>
          <w:color w:val="000000"/>
          <w:sz w:val="22"/>
        </w:rPr>
        <w:t>If the Average Performance is equal to or greater than Maximum Performance, then 200% or the target number of PSUs granted shall vest.</w:t>
      </w:r>
      <w:r>
        <w:rPr>
          <w:color w:val="000000"/>
        </w:rPr>
        <w:t xml:space="preserve"> </w:t>
      </w:r>
      <w:r>
        <w:rPr>
          <w:rFonts w:ascii="Times New Roman;sans-serif" w:hAnsi="Times New Roman;sans-serif"/>
          <w:b w:val="false"/>
          <w:color w:val="000000"/>
          <w:sz w:val="22"/>
        </w:rPr>
        <w:t>Linear interpolation will apply in the case of Average Performance greater than Threshold Performance and less than Target Performance, or greater than Target Performance and less than Maximum Performance.</w:t>
      </w:r>
    </w:p>
    <w:p>
      <w:pPr>
        <w:pStyle w:val="TextBody"/>
        <w:spacing w:lineRule="auto" w:line="345" w:before="12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board of directors or the compensation committee thereof shall determine the Company’s achieved performance against the Target Adjusted EBITDA as soon as practicable following the end of each Measurement Period.</w:t>
      </w:r>
    </w:p>
    <w:p>
      <w:pPr>
        <w:pStyle w:val="TextBody"/>
        <w:spacing w:lineRule="auto" w:line="345" w:before="120" w:after="283"/>
        <w:ind w:left="0" w:right="0" w:firstLine="720"/>
        <w:jc w:val="both"/>
        <w:rPr/>
      </w:pPr>
      <w:r>
        <w:rPr>
          <w:rFonts w:ascii="Times New Roman;sans-serif" w:hAnsi="Times New Roman;sans-serif"/>
          <w:b w:val="false"/>
          <w:color w:val="000000"/>
          <w:sz w:val="22"/>
        </w:rPr>
        <w:t>In the event that the successor company or a parent or subsidiary thereof does not assume the PSUs in connection with a Change in Control (as defined in the Plan), the PSUs will vest in full upon such Change in Control.</w:t>
      </w:r>
      <w:r>
        <w:rPr>
          <w:color w:val="000000"/>
        </w:rPr>
        <w:t xml:space="preserve"> </w:t>
      </w:r>
      <w:r>
        <w:rPr>
          <w:rFonts w:ascii="Times New Roman;sans-serif" w:hAnsi="Times New Roman;sans-serif"/>
          <w:b w:val="false"/>
          <w:color w:val="000000"/>
          <w:sz w:val="22"/>
        </w:rPr>
        <w:t>For these purposes, the PSUs will be deemed to have been assumed if they remain outstanding following such Change in Control (including in the case of the substitution, assumption or continuation of the PSUs by the successor company or a parent or subsidiary thereof) with such adjustments thereto as board of directors of the Company or the compensation committee thereof deems appropriate in connection with such Change in Control to reflect such Change in Control.</w:t>
      </w:r>
    </w:p>
    <w:p>
      <w:pPr>
        <w:pStyle w:val="TextBody"/>
        <w:spacing w:lineRule="auto" w:line="345" w:before="12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Unless otherwise provided in any employment, severance, or other similar contract with the Participant, none of the PSUs shall vest in the event of a termination of employment for any reason prior to the conclusion of the final Measurement Period, other than in the case of the Participant’s Qualifying Termination or CIC Qualifying Termination, as defined below.</w:t>
      </w:r>
    </w:p>
    <w:p>
      <w:pPr>
        <w:pStyle w:val="TextBody"/>
        <w:spacing w:lineRule="auto" w:line="345" w:before="120" w:after="283"/>
        <w:ind w:left="0" w:right="0" w:firstLine="720"/>
        <w:jc w:val="both"/>
        <w:rPr/>
      </w:pPr>
      <w:r>
        <w:rPr>
          <w:rFonts w:ascii="Times New Roman;sans-serif" w:hAnsi="Times New Roman;sans-serif"/>
          <w:b w:val="false"/>
          <w:color w:val="000000"/>
          <w:sz w:val="22"/>
        </w:rPr>
        <w:t>If a Qualifying Termination occurs during the second Measurement Period, then a number of PSUs will vest in connection with such Qualifying Termination equal to the product of (A) one-third (1/3</w:t>
      </w:r>
      <w:r>
        <w:rPr>
          <w:rFonts w:ascii="Times New Roman;sans-serif" w:hAnsi="Times New Roman;sans-serif"/>
          <w:b w:val="false"/>
          <w:color w:val="000000"/>
          <w:sz w:val="13"/>
        </w:rPr>
        <w:t>rd</w:t>
      </w:r>
      <w:r>
        <w:rPr>
          <w:rFonts w:ascii="Times New Roman;sans-serif" w:hAnsi="Times New Roman;sans-serif"/>
          <w:b w:val="false"/>
          <w:color w:val="000000"/>
          <w:sz w:val="22"/>
        </w:rPr>
        <w:t xml:space="preserve">) of the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10.23</w:t>
      </w:r>
    </w:p>
    <w:p>
      <w:pPr>
        <w:pStyle w:val="TextBody"/>
        <w:spacing w:lineRule="auto" w:line="345" w:before="120" w:after="283"/>
        <w:jc w:val="both"/>
        <w:rPr/>
      </w:pPr>
      <w:r>
        <w:rPr>
          <w:rFonts w:ascii="Times New Roman;sans-serif" w:hAnsi="Times New Roman;sans-serif"/>
          <w:b w:val="false"/>
          <w:color w:val="000000"/>
          <w:sz w:val="22"/>
        </w:rPr>
        <w:t xml:space="preserve">target number of PSUs granted, </w:t>
      </w:r>
      <w:r>
        <w:rPr>
          <w:rFonts w:ascii="Times New Roman;sans-serif" w:hAnsi="Times New Roman;sans-serif"/>
          <w:b w:val="false"/>
          <w:i/>
          <w:color w:val="000000"/>
          <w:sz w:val="24"/>
        </w:rPr>
        <w:t>multiplied by</w:t>
      </w:r>
      <w:r>
        <w:rPr>
          <w:color w:val="000000"/>
        </w:rPr>
        <w:t xml:space="preserve"> </w:t>
      </w:r>
      <w:r>
        <w:rPr>
          <w:rFonts w:ascii="Times New Roman;sans-serif" w:hAnsi="Times New Roman;sans-serif"/>
          <w:b w:val="false"/>
          <w:color w:val="000000"/>
          <w:sz w:val="22"/>
        </w:rPr>
        <w:t>(B) the Company’s achieved performance against Target Adjusted EBITDA for the first Measurement Period.</w:t>
      </w:r>
    </w:p>
    <w:p>
      <w:pPr>
        <w:pStyle w:val="TextBody"/>
        <w:spacing w:lineRule="auto" w:line="345" w:before="120" w:after="283"/>
        <w:ind w:left="0" w:right="0" w:firstLine="720"/>
        <w:jc w:val="both"/>
        <w:rPr/>
      </w:pPr>
      <w:r>
        <w:rPr>
          <w:rFonts w:ascii="Times New Roman;sans-serif" w:hAnsi="Times New Roman;sans-serif"/>
          <w:b w:val="false"/>
          <w:color w:val="000000"/>
          <w:sz w:val="22"/>
        </w:rPr>
        <w:t>If a Qualifying Termination occurs during the third Measurement Period, then a number of PSUs will vest in connection with such Qualifying Termination equal to the product of (A) two-thirds (2/3</w:t>
      </w:r>
      <w:r>
        <w:rPr>
          <w:rFonts w:ascii="Times New Roman;sans-serif" w:hAnsi="Times New Roman;sans-serif"/>
          <w:b w:val="false"/>
          <w:color w:val="000000"/>
          <w:sz w:val="13"/>
        </w:rPr>
        <w:t>rds</w:t>
      </w:r>
      <w:r>
        <w:rPr>
          <w:rFonts w:ascii="Times New Roman;sans-serif" w:hAnsi="Times New Roman;sans-serif"/>
          <w:b w:val="false"/>
          <w:color w:val="000000"/>
          <w:sz w:val="22"/>
        </w:rPr>
        <w:t xml:space="preserve">) of the target number of PSUs granted, </w:t>
      </w:r>
      <w:r>
        <w:rPr>
          <w:rFonts w:ascii="Times New Roman;sans-serif" w:hAnsi="Times New Roman;sans-serif"/>
          <w:b w:val="false"/>
          <w:i/>
          <w:color w:val="000000"/>
          <w:sz w:val="24"/>
        </w:rPr>
        <w:t>multiplied by</w:t>
      </w:r>
      <w:r>
        <w:rPr>
          <w:color w:val="000000"/>
        </w:rPr>
        <w:t xml:space="preserve"> </w:t>
      </w:r>
      <w:r>
        <w:rPr>
          <w:rFonts w:ascii="Times New Roman;sans-serif" w:hAnsi="Times New Roman;sans-serif"/>
          <w:b w:val="false"/>
          <w:color w:val="000000"/>
          <w:sz w:val="22"/>
        </w:rPr>
        <w:t>(B) the average of the Company’s achieved performance against Target Adjusted EBITDA for the first and second Measurement Periods (with the first and second Measurement Periods weighted equally in determining such average).</w:t>
      </w:r>
    </w:p>
    <w:p>
      <w:pPr>
        <w:pStyle w:val="TextBody"/>
        <w:spacing w:lineRule="auto" w:line="345" w:before="120" w:after="283"/>
        <w:ind w:left="0" w:right="0" w:firstLine="720"/>
        <w:jc w:val="both"/>
        <w:rPr/>
      </w:pPr>
      <w:r>
        <w:rPr>
          <w:rFonts w:ascii="Times New Roman;sans-serif" w:hAnsi="Times New Roman;sans-serif"/>
          <w:b w:val="false"/>
          <w:color w:val="000000"/>
          <w:sz w:val="22"/>
        </w:rPr>
        <w:t>If the Average Performance is less than Threshold Performance, then none of the PSUs shall vest.</w:t>
      </w:r>
      <w:r>
        <w:rPr>
          <w:color w:val="000000"/>
        </w:rPr>
        <w:t xml:space="preserve"> </w:t>
      </w:r>
      <w:r>
        <w:rPr>
          <w:rFonts w:ascii="Times New Roman;sans-serif" w:hAnsi="Times New Roman;sans-serif"/>
          <w:b w:val="false"/>
          <w:color w:val="000000"/>
          <w:sz w:val="22"/>
        </w:rPr>
        <w:t>If the Average Performance is equal to or greater than Maximum Performance, then 200% or the target number of PSUs granted shall vest.</w:t>
      </w:r>
      <w:r>
        <w:rPr>
          <w:color w:val="000000"/>
        </w:rPr>
        <w:t xml:space="preserve"> </w:t>
      </w:r>
      <w:r>
        <w:rPr>
          <w:rFonts w:ascii="Times New Roman;sans-serif" w:hAnsi="Times New Roman;sans-serif"/>
          <w:b w:val="false"/>
          <w:color w:val="000000"/>
          <w:sz w:val="22"/>
        </w:rPr>
        <w:t>Linear interpolation will apply in the case of Average Performance greater than Threshold Performance and less than Target Performance, or greater than Target Performance and less than Maximum Performance.</w:t>
      </w:r>
    </w:p>
    <w:p>
      <w:pPr>
        <w:pStyle w:val="TextBody"/>
        <w:spacing w:lineRule="auto" w:line="345" w:before="12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board of directors or the compensation committee thereof shall determine the Company’s achieved performance against the Target Adjusted EBITDA as soon as practicable following the end of each Measurement Period.</w:t>
      </w:r>
    </w:p>
    <w:p>
      <w:pPr>
        <w:pStyle w:val="TextBody"/>
        <w:spacing w:lineRule="auto" w:line="345" w:before="120" w:after="283"/>
        <w:ind w:left="0" w:right="0" w:firstLine="720"/>
        <w:jc w:val="both"/>
        <w:rPr/>
      </w:pPr>
      <w:r>
        <w:rPr>
          <w:rFonts w:ascii="Times New Roman;sans-serif" w:hAnsi="Times New Roman;sans-serif"/>
          <w:b w:val="false"/>
          <w:color w:val="000000"/>
          <w:sz w:val="22"/>
        </w:rPr>
        <w:t>In the event that the successor company or a parent or subsidiary thereof does not assume the PSUs in connection with a Change in Control (as defined in the Plan), the PSUs will vest in full upon such Change in Control.</w:t>
      </w:r>
      <w:r>
        <w:rPr>
          <w:color w:val="000000"/>
        </w:rPr>
        <w:t xml:space="preserve"> </w:t>
      </w:r>
      <w:r>
        <w:rPr>
          <w:rFonts w:ascii="Times New Roman;sans-serif" w:hAnsi="Times New Roman;sans-serif"/>
          <w:b w:val="false"/>
          <w:color w:val="000000"/>
          <w:sz w:val="22"/>
        </w:rPr>
        <w:t>For these purposes, the PSUs will be deemed to have been assumed if they remain outstanding following such Change in Control (including in the case of the substitution, assumption or continuation of the PSUs by the successor company or a parent or subsidiary thereof) with such adjustments thereto as board of directors of the Company or the compensation committee thereof deems appropriate in connection with such Change in Control to reflect such Change in Control.</w:t>
      </w:r>
    </w:p>
    <w:p>
      <w:pPr>
        <w:pStyle w:val="TextBody"/>
        <w:spacing w:lineRule="auto" w:line="345" w:before="12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Unless otherwise provided in any employment, severance, or other similar contract with the Participant, none of the PSUs shall vest in the event of a termination of employment for any reason prior to the conclusion of the final Measurement Period, other than in the case of the Participant’s Qualifying Termination or CIC Qualifying Termination, as defined below.</w:t>
      </w:r>
    </w:p>
    <w:p>
      <w:pPr>
        <w:pStyle w:val="TextBody"/>
        <w:spacing w:lineRule="auto" w:line="345" w:before="120" w:after="283"/>
        <w:ind w:left="0" w:right="0" w:firstLine="720"/>
        <w:jc w:val="both"/>
        <w:rPr/>
      </w:pPr>
      <w:r>
        <w:rPr>
          <w:rFonts w:ascii="Times New Roman;sans-serif" w:hAnsi="Times New Roman;sans-serif"/>
          <w:b w:val="false"/>
          <w:color w:val="000000"/>
          <w:sz w:val="22"/>
        </w:rPr>
        <w:t>If a Qualifying Termination occurs during the second Measurement Period, then a number of PSUs will vest in connection with such Qualifying Termination equal to the product of (A) one-third (1/3</w:t>
      </w:r>
      <w:r>
        <w:rPr>
          <w:rFonts w:ascii="Times New Roman;sans-serif" w:hAnsi="Times New Roman;sans-serif"/>
          <w:b w:val="false"/>
          <w:color w:val="000000"/>
          <w:sz w:val="13"/>
        </w:rPr>
        <w:t>rd</w:t>
      </w:r>
      <w:r>
        <w:rPr>
          <w:rFonts w:ascii="Times New Roman;sans-serif" w:hAnsi="Times New Roman;sans-serif"/>
          <w:b w:val="false"/>
          <w:color w:val="000000"/>
          <w:sz w:val="22"/>
        </w:rPr>
        <w:t xml:space="preserve">) of the target number of PSUs granted, </w:t>
      </w:r>
      <w:r>
        <w:rPr>
          <w:rFonts w:ascii="Times New Roman;sans-serif" w:hAnsi="Times New Roman;sans-serif"/>
          <w:b w:val="false"/>
          <w:i/>
          <w:color w:val="000000"/>
          <w:sz w:val="24"/>
        </w:rPr>
        <w:t>multiplied by</w:t>
      </w:r>
      <w:r>
        <w:rPr>
          <w:color w:val="000000"/>
        </w:rPr>
        <w:t xml:space="preserve"> </w:t>
      </w:r>
      <w:r>
        <w:rPr>
          <w:rFonts w:ascii="Times New Roman;sans-serif" w:hAnsi="Times New Roman;sans-serif"/>
          <w:b w:val="false"/>
          <w:color w:val="000000"/>
          <w:sz w:val="22"/>
        </w:rPr>
        <w:t>(B) the Company’s achieved performance against Target Adjusted EBITDA for the first Measurement Period.</w:t>
      </w:r>
    </w:p>
    <w:p>
      <w:pPr>
        <w:pStyle w:val="TextBody"/>
        <w:spacing w:lineRule="auto" w:line="345" w:before="120" w:after="283"/>
        <w:ind w:left="0" w:right="0" w:firstLine="720"/>
        <w:jc w:val="both"/>
        <w:rPr/>
      </w:pPr>
      <w:r>
        <w:rPr>
          <w:rFonts w:ascii="Times New Roman;sans-serif" w:hAnsi="Times New Roman;sans-serif"/>
          <w:b w:val="false"/>
          <w:color w:val="000000"/>
          <w:sz w:val="22"/>
        </w:rPr>
        <w:t>If a Qualifying Termination occurs during the third Measurement Period, then a number of PSUs will vest in connection with such Qualifying Termination equal to the product of (A) two-thirds (2/3</w:t>
      </w:r>
      <w:r>
        <w:rPr>
          <w:rFonts w:ascii="Times New Roman;sans-serif" w:hAnsi="Times New Roman;sans-serif"/>
          <w:b w:val="false"/>
          <w:color w:val="000000"/>
          <w:sz w:val="13"/>
        </w:rPr>
        <w:t>rds</w:t>
      </w:r>
      <w:r>
        <w:rPr>
          <w:rFonts w:ascii="Times New Roman;sans-serif" w:hAnsi="Times New Roman;sans-serif"/>
          <w:b w:val="false"/>
          <w:color w:val="000000"/>
          <w:sz w:val="22"/>
        </w:rPr>
        <w:t xml:space="preserve">) of the target number of PSUs granted, </w:t>
      </w:r>
      <w:r>
        <w:rPr>
          <w:rFonts w:ascii="Times New Roman;sans-serif" w:hAnsi="Times New Roman;sans-serif"/>
          <w:b w:val="false"/>
          <w:i/>
          <w:color w:val="000000"/>
          <w:sz w:val="24"/>
        </w:rPr>
        <w:t>multiplied by</w:t>
      </w:r>
      <w:r>
        <w:rPr>
          <w:color w:val="000000"/>
        </w:rPr>
        <w:t xml:space="preserve"> </w:t>
      </w:r>
      <w:r>
        <w:rPr>
          <w:rFonts w:ascii="Times New Roman;sans-serif" w:hAnsi="Times New Roman;sans-serif"/>
          <w:b w:val="false"/>
          <w:color w:val="000000"/>
          <w:sz w:val="22"/>
        </w:rPr>
        <w:t>(B) the average of the Company’s achieved performance against Target Adjusted EBITDA for the first and second Measurement Periods (with the first and second Measurement Periods weighted equally in determining such average).</w:t>
      </w:r>
    </w:p>
    <w:p>
      <w:pPr>
        <w:pStyle w:val="TextBody"/>
        <w:spacing w:lineRule="auto" w:line="345" w:before="12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the avoidance of doubt, none of the PSUs will vest if a Qualifying Termination occurs during the First Measurement Period.</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10.23</w:t>
      </w:r>
    </w:p>
    <w:p>
      <w:pPr>
        <w:pStyle w:val="TextBody"/>
        <w:spacing w:lineRule="auto" w:line="345" w:before="120" w:after="283"/>
        <w:ind w:left="0" w:right="0" w:firstLine="720"/>
        <w:jc w:val="both"/>
        <w:rPr/>
      </w:pPr>
      <w:r>
        <w:rPr>
          <w:rFonts w:ascii="Times New Roman;sans-serif" w:hAnsi="Times New Roman;sans-serif"/>
          <w:b w:val="false"/>
          <w:color w:val="000000"/>
          <w:sz w:val="22"/>
        </w:rPr>
        <w:t xml:space="preserve">If a CIC Qualifying Termination occurs prior to the conclusion of the final Measurement Period, then all the PSUs will vest in connection with such Qualifying Termination, assuming target level performance for all Measurement Periods unless otherwise determined by the board of directors of the Company or the compensation committee thereof in connection with such Change in Control. In the case of a Qualifying Termination or CIC Qualifying Termination, the accelerated vesting described in this </w:t>
      </w:r>
      <w:r>
        <w:rPr>
          <w:rFonts w:ascii="Times New Roman;sans-serif" w:hAnsi="Times New Roman;sans-serif"/>
          <w:b w:val="false"/>
          <w:color w:val="000000"/>
          <w:sz w:val="24"/>
          <w:u w:val="single"/>
        </w:rPr>
        <w:t>Annex A</w:t>
      </w:r>
      <w:r>
        <w:rPr>
          <w:color w:val="000000"/>
        </w:rPr>
        <w:t xml:space="preserve"> </w:t>
      </w:r>
      <w:r>
        <w:rPr>
          <w:rFonts w:ascii="Times New Roman;sans-serif" w:hAnsi="Times New Roman;sans-serif"/>
          <w:b w:val="false"/>
          <w:color w:val="000000"/>
          <w:sz w:val="22"/>
        </w:rPr>
        <w:t>will be conditioned on the Participant’s execution and non-revocation of a release of claims in a form acceptable to the Company within the 60-day period following such Qualifying Termination or CIC Qualifying Termination.</w:t>
      </w:r>
    </w:p>
    <w:p>
      <w:pPr>
        <w:pStyle w:val="TextBody"/>
        <w:spacing w:lineRule="auto" w:line="345" w:before="120" w:after="283"/>
        <w:ind w:left="0" w:right="0" w:firstLine="720"/>
        <w:jc w:val="both"/>
        <w:rPr/>
      </w:pPr>
      <w:r>
        <w:rPr>
          <w:color w:val="000000"/>
        </w:rPr>
        <w:t>“</w:t>
      </w:r>
      <w:r>
        <w:rPr>
          <w:rFonts w:ascii="Times New Roman;sans-serif" w:hAnsi="Times New Roman;sans-serif"/>
          <w:b/>
          <w:i/>
          <w:color w:val="000000"/>
          <w:sz w:val="24"/>
        </w:rPr>
        <w:t>Cause</w:t>
      </w:r>
      <w:r>
        <w:rPr>
          <w:color w:val="000000"/>
        </w:rPr>
        <w:t xml:space="preserve">” </w:t>
      </w:r>
      <w:r>
        <w:rPr>
          <w:rFonts w:ascii="Times New Roman;sans-serif" w:hAnsi="Times New Roman;sans-serif"/>
          <w:b w:val="false"/>
          <w:color w:val="000000"/>
          <w:sz w:val="22"/>
        </w:rPr>
        <w:t>has the meaning set forth in any employment, severance, or other similar contract with the Participant, and if not defined therein, means (i) if the Participant is a party to an employment or service agreement with the Company and such agreement includes a definition of “cause,” the definition contained therein; or (ii) if no such agreement exists, or if such agreement does not define “cause” or a similar term, (a) the Participant’s material breach of this Agreement or any other written agreement between the Participant and the Company or an Affiliate or the Participant’s breach of any policy or code of conduct established by the Company or an Affiliate and applicable to the Participant; (b) the commission of an act of gross negligence, willful misconduct, breach of fiduciary duty, fraud, theft or embezzlement on the part of the Participant; (c) the commission by the Participant of, or conviction or indictment of the Participant for, or plea of nolo contendere by the Participant to, any felony (or state law equivalent) or any crime involving moral turpitude; or (d) the Participant’s willful failure or refusal, other than due to disability, to perform the Participant’s obligations pursuant to this Agreement or any employment agreement with the Company or an Affiliate, as applicable, or to follow any lawful directive from the Company or any Affiliate, as determined by the Company; provided, however, that if the Participant’s actions or omissions as set forth in this clause (d) are of such a nature that the Company determines they are curable by the Participant, such actions or omissions must remain uncured 30 days after the Company has provided the Participant written notice of the obligation to cure such actions or omissions.</w:t>
      </w:r>
    </w:p>
    <w:p>
      <w:pPr>
        <w:pStyle w:val="TextBody"/>
        <w:spacing w:lineRule="auto" w:line="345" w:before="120" w:after="283"/>
        <w:ind w:left="0" w:right="0" w:firstLine="720"/>
        <w:jc w:val="both"/>
        <w:rPr/>
      </w:pPr>
      <w:r>
        <w:rPr>
          <w:color w:val="000000"/>
        </w:rPr>
        <w:t>“</w:t>
      </w:r>
      <w:r>
        <w:rPr>
          <w:rFonts w:ascii="Times New Roman;sans-serif" w:hAnsi="Times New Roman;sans-serif"/>
          <w:b/>
          <w:i/>
          <w:color w:val="000000"/>
          <w:sz w:val="24"/>
        </w:rPr>
        <w:t>CIC Qualifying Termination</w:t>
      </w:r>
      <w:r>
        <w:rPr>
          <w:color w:val="000000"/>
        </w:rPr>
        <w:t xml:space="preserve">” </w:t>
      </w:r>
      <w:r>
        <w:rPr>
          <w:rFonts w:ascii="Times New Roman;sans-serif" w:hAnsi="Times New Roman;sans-serif"/>
          <w:b w:val="false"/>
          <w:color w:val="000000"/>
          <w:sz w:val="22"/>
        </w:rPr>
        <w:t>means the termination of the Participant’s employment or service by the Company without Cause, by the Participant for Good Reason, or due to the Participant’s death or Disability, in each case within the 12-month period following a Change in Control.</w:t>
      </w:r>
    </w:p>
    <w:p>
      <w:pPr>
        <w:pStyle w:val="TextBody"/>
        <w:spacing w:lineRule="auto" w:line="345" w:before="120" w:after="283"/>
        <w:ind w:left="0" w:right="0" w:firstLine="720"/>
        <w:jc w:val="both"/>
        <w:rPr/>
      </w:pPr>
      <w:r>
        <w:rPr>
          <w:color w:val="000000"/>
        </w:rPr>
        <w:t>“</w:t>
      </w:r>
      <w:r>
        <w:rPr>
          <w:rFonts w:ascii="Times New Roman;sans-serif" w:hAnsi="Times New Roman;sans-serif"/>
          <w:b/>
          <w:i/>
          <w:color w:val="000000"/>
          <w:sz w:val="24"/>
        </w:rPr>
        <w:t>Disability</w:t>
      </w:r>
      <w:r>
        <w:rPr>
          <w:color w:val="000000"/>
        </w:rPr>
        <w:t xml:space="preserve">” </w:t>
      </w:r>
      <w:r>
        <w:rPr>
          <w:rFonts w:ascii="Times New Roman;sans-serif" w:hAnsi="Times New Roman;sans-serif"/>
          <w:b w:val="false"/>
          <w:color w:val="000000"/>
          <w:sz w:val="22"/>
        </w:rPr>
        <w:t>has the meaning set forth in any employment, severance, or other similar contract with the Participant, and if not defined therein, means a physical or mental sickness or any injury which renders the Participant incapable of performing the services required of the Participant and which does or may be expected to continue for more than six months during any 12-month period.</w:t>
      </w:r>
    </w:p>
    <w:p>
      <w:pPr>
        <w:pStyle w:val="TextBody"/>
        <w:spacing w:lineRule="auto" w:line="345" w:before="120" w:after="283"/>
        <w:ind w:left="0" w:right="0" w:firstLine="720"/>
        <w:jc w:val="both"/>
        <w:rPr/>
      </w:pPr>
      <w:r>
        <w:rPr>
          <w:color w:val="000000"/>
        </w:rPr>
        <w:t>“</w:t>
      </w:r>
      <w:r>
        <w:rPr>
          <w:rFonts w:ascii="Times New Roman;sans-serif" w:hAnsi="Times New Roman;sans-serif"/>
          <w:b/>
          <w:i/>
          <w:color w:val="000000"/>
          <w:sz w:val="24"/>
        </w:rPr>
        <w:t>Good Reason</w:t>
      </w:r>
      <w:r>
        <w:rPr>
          <w:color w:val="000000"/>
        </w:rPr>
        <w:t xml:space="preserve">” </w:t>
      </w:r>
      <w:r>
        <w:rPr>
          <w:rFonts w:ascii="Times New Roman;sans-serif" w:hAnsi="Times New Roman;sans-serif"/>
          <w:b w:val="false"/>
          <w:color w:val="000000"/>
          <w:sz w:val="22"/>
        </w:rPr>
        <w:t xml:space="preserve">has the meaning set forth in any employment, severance, or other similar contract with the Participant, and if not defined therein, means the Participant’s resignation within 90 days after any of the following events, unless the Participant consents to the applicable event: (i) a material decrease in the Participant’s base salary, other than a reduction in annual base salary of less than 10% that is implemented in connection with a contemporaneous reduction in annual base salaries affecting other senior executives of the Company; (ii) a material decrease in (a) the Participant’s then-current title or position, or (b) authority or areas of responsibility as are commensurate with the Participant’s then-current title or position; (iii) a relocation of the Participant’s principal work location to a location more than 50 miles from the Participant’s then-current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10.23</w:t>
      </w:r>
    </w:p>
    <w:p>
      <w:pPr>
        <w:pStyle w:val="TextBody"/>
        <w:spacing w:lineRule="auto" w:line="345"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principal location of employment; or (iv) a material breach by the Company or any Affiliate of this Agreement or any material agreement between the Participant, the Company or any Affiliate. Notwithstanding the foregoing, any assertion by the Participant of a termination for Good Reason will not be effective unless and until the Participant has: (x) provided the Company or any Affiliate, within 60 days of the Participant’s knowledge of the occurrence of the facts and circumstances underlying the Good Reason event, written notice stating with specificity the applicable facts and circumstances underlying such Good Reason event; and (y) provided the Company or any of its subsidiaries with an opportunity to cure the same within 30 days after the receipt of such notice.</w:t>
      </w:r>
    </w:p>
    <w:p>
      <w:pPr>
        <w:pStyle w:val="TextBody"/>
        <w:spacing w:lineRule="auto" w:line="345" w:before="120" w:after="283"/>
        <w:ind w:left="0" w:right="0" w:firstLine="720"/>
        <w:jc w:val="both"/>
        <w:rPr/>
      </w:pPr>
      <w:r>
        <w:rPr>
          <w:color w:val="000000"/>
        </w:rPr>
        <w:t>“</w:t>
      </w:r>
      <w:r>
        <w:rPr>
          <w:rFonts w:ascii="Times New Roman;sans-serif" w:hAnsi="Times New Roman;sans-serif"/>
          <w:b/>
          <w:i/>
          <w:color w:val="000000"/>
          <w:sz w:val="24"/>
        </w:rPr>
        <w:t>Qualifying Termination</w:t>
      </w:r>
      <w:r>
        <w:rPr>
          <w:color w:val="000000"/>
        </w:rPr>
        <w:t xml:space="preserve">” </w:t>
      </w:r>
      <w:r>
        <w:rPr>
          <w:rFonts w:ascii="Times New Roman;sans-serif" w:hAnsi="Times New Roman;sans-serif"/>
          <w:b w:val="false"/>
          <w:color w:val="000000"/>
          <w:sz w:val="22"/>
        </w:rPr>
        <w:t>means the termination of the Participant’s employment or service by the Company without Cause, by the Participant for Good Reason, or due to the Participant’s death or Disability, in each case other than within the 12-month period following a Change in Control</w:t>
      </w:r>
      <w:r>
        <w:rPr>
          <w:color w:val="000000"/>
        </w:rPr>
        <w:t xml:space="preserve"> “</w:t>
      </w:r>
      <w:r>
        <w:rPr>
          <w:rFonts w:ascii="Times New Roman;sans-serif" w:hAnsi="Times New Roman;sans-serif"/>
          <w:b/>
          <w:i/>
          <w:color w:val="000000"/>
          <w:sz w:val="24"/>
        </w:rPr>
        <w:t>Cause</w:t>
      </w:r>
      <w:r>
        <w:rPr>
          <w:color w:val="000000"/>
        </w:rPr>
        <w:t xml:space="preserve">” </w:t>
      </w:r>
      <w:r>
        <w:rPr>
          <w:rFonts w:ascii="Times New Roman;sans-serif" w:hAnsi="Times New Roman;sans-serif"/>
          <w:b w:val="false"/>
          <w:color w:val="000000"/>
          <w:sz w:val="22"/>
        </w:rPr>
        <w:t>has the meaning set forth in any employment, severance, or other similar contract with the Participant, and if not defined therein, means (i) if the Participant is a party to an employment or service agreement with the Company and such agreement includes a definition of “cause,” the definition contained therein; or (ii) if no such agreement exists, or if such agreement does not define “cause” or a similar term, (a) the Participant’s material breach of this Agreement or any other written agreement between the Participant and the Company or an Affiliate or the Participant’s breach of any policy or code of conduct established by the Company or an Affiliate and applicable to the Participant; (b) the commission of an act of gross negligence, willful misconduct, breach of fiduciary duty, fraud, theft or embezzlement on the part of the Participant; (c) the commission by the Participant of, or conviction or indictment of the Participant for, or plea of nolo contendere by the Participant to, any felony (or state law equivalent) or any crime involving moral turpitude; or (d) the Participant’s willful failure or refusal, other than due to disability, to perform the Participant’s obligations pursuant to this Agreement or any employment agreement with the Company or an Affiliate, as applicable, or to follow any lawful directive from the Company or any Affiliate, as determined by the Company; provided, however, that if the Participant’s actions or omissions as set forth in this clause (d) are of such a nature that the Company determines they are curable by the Participant, such actions or omissions must remain uncured 30 days after the Company has provided the Participant written notice of the obligation to cure such actions or omissions.</w:t>
      </w:r>
    </w:p>
    <w:p>
      <w:pPr>
        <w:pStyle w:val="TextBody"/>
        <w:spacing w:lineRule="auto" w:line="345" w:before="120" w:after="283"/>
        <w:ind w:left="0" w:right="0" w:firstLine="720"/>
        <w:jc w:val="both"/>
        <w:rPr/>
      </w:pPr>
      <w:r>
        <w:rPr>
          <w:color w:val="000000"/>
        </w:rPr>
        <w:t>“</w:t>
      </w:r>
      <w:r>
        <w:rPr>
          <w:rFonts w:ascii="Times New Roman;sans-serif" w:hAnsi="Times New Roman;sans-serif"/>
          <w:b/>
          <w:i/>
          <w:color w:val="000000"/>
          <w:sz w:val="24"/>
        </w:rPr>
        <w:t>CIC Qualifying Termination</w:t>
      </w:r>
      <w:r>
        <w:rPr>
          <w:color w:val="000000"/>
        </w:rPr>
        <w:t xml:space="preserve">” </w:t>
      </w:r>
      <w:r>
        <w:rPr>
          <w:rFonts w:ascii="Times New Roman;sans-serif" w:hAnsi="Times New Roman;sans-serif"/>
          <w:b w:val="false"/>
          <w:color w:val="000000"/>
          <w:sz w:val="22"/>
        </w:rPr>
        <w:t>means the termination of the Participant’s employment or service by the Company without Cause, by the Participant for Good Reason, or due to the Participant’s death or Disability, in each case within the 12-month period following a Change in Control.</w:t>
      </w:r>
    </w:p>
    <w:p>
      <w:pPr>
        <w:pStyle w:val="TextBody"/>
        <w:spacing w:lineRule="auto" w:line="345" w:before="120" w:after="283"/>
        <w:ind w:left="0" w:right="0" w:firstLine="720"/>
        <w:jc w:val="both"/>
        <w:rPr/>
      </w:pPr>
      <w:r>
        <w:rPr>
          <w:color w:val="000000"/>
        </w:rPr>
        <w:t>“</w:t>
      </w:r>
      <w:r>
        <w:rPr>
          <w:rFonts w:ascii="Times New Roman;sans-serif" w:hAnsi="Times New Roman;sans-serif"/>
          <w:b/>
          <w:i/>
          <w:color w:val="000000"/>
          <w:sz w:val="24"/>
        </w:rPr>
        <w:t>Disability</w:t>
      </w:r>
      <w:r>
        <w:rPr>
          <w:color w:val="000000"/>
        </w:rPr>
        <w:t xml:space="preserve">” </w:t>
      </w:r>
      <w:r>
        <w:rPr>
          <w:rFonts w:ascii="Times New Roman;sans-serif" w:hAnsi="Times New Roman;sans-serif"/>
          <w:b w:val="false"/>
          <w:color w:val="000000"/>
          <w:sz w:val="22"/>
        </w:rPr>
        <w:t>has the meaning set forth in any employment, severance, or other similar contract with the Participant, and if not defined therein, means a physical or mental sickness or any injury which renders the Participant incapable of performing the services required of the Participant and which does or may be expected to continue for more than six months during any 12-month period.</w:t>
      </w:r>
    </w:p>
    <w:p>
      <w:pPr>
        <w:pStyle w:val="TextBody"/>
        <w:spacing w:lineRule="auto" w:line="345" w:before="120" w:after="283"/>
        <w:ind w:left="0" w:right="0" w:firstLine="720"/>
        <w:jc w:val="both"/>
        <w:rPr/>
      </w:pPr>
      <w:r>
        <w:rPr>
          <w:color w:val="000000"/>
        </w:rPr>
        <w:t>“</w:t>
      </w:r>
      <w:r>
        <w:rPr>
          <w:rFonts w:ascii="Times New Roman;sans-serif" w:hAnsi="Times New Roman;sans-serif"/>
          <w:b/>
          <w:i/>
          <w:color w:val="000000"/>
          <w:sz w:val="24"/>
        </w:rPr>
        <w:t>Good Reason</w:t>
      </w:r>
      <w:r>
        <w:rPr>
          <w:color w:val="000000"/>
        </w:rPr>
        <w:t xml:space="preserve">” </w:t>
      </w:r>
      <w:r>
        <w:rPr>
          <w:rFonts w:ascii="Times New Roman;sans-serif" w:hAnsi="Times New Roman;sans-serif"/>
          <w:b w:val="false"/>
          <w:color w:val="000000"/>
          <w:sz w:val="22"/>
        </w:rPr>
        <w:t xml:space="preserve">has the meaning set forth in any employment, severance, or other similar contract with the Participant, and if not defined therein, means the Participant’s resignation within 90 days after any of the following events, unless the Participant consents to the applicable event: (i) a material decrease in the Participant’s base salary, other than a reduction in annual base salary of less than 10% that is implemented in connection with a contemporaneous reduction in annual base salaries affecting other senior executives of the Company; (ii) a material decrease in (a) the Participant’s then-current title or position, or (b) authority or areas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10.23</w:t>
      </w:r>
    </w:p>
    <w:p>
      <w:pPr>
        <w:pStyle w:val="TextBody"/>
        <w:spacing w:lineRule="auto" w:line="345"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of responsibility as are commensurate with the Participant’s then-current title or position; (iii) a relocation of the Participant’s principal work location to a location more than 50 miles from the Participant’s then-current principal location of employment; or (iv) a material breach by the Company or any Affiliate of this Agreement or any material agreement between the Participant, the Company or any Affiliate. Notwithstanding the foregoing, any assertion by the Participant of a termination for Good Reason will not be effective unless and until the Participant has: (x) provided the Company or any Affiliate, within 60 days of the Participant’s knowledge of the occurrence of the facts and circumstances underlying the Good Reason event, written notice stating with specificity the applicable facts and circumstances underlying such Good Reason event; and (y) provided the Company or any of its subsidiaries with an opportunity to cure the same within 30 days after the receipt of such notice.</w:t>
      </w:r>
    </w:p>
    <w:p>
      <w:pPr>
        <w:pStyle w:val="TextBody"/>
        <w:spacing w:lineRule="auto" w:line="345" w:before="120" w:after="283"/>
        <w:ind w:left="0" w:right="0" w:firstLine="720"/>
        <w:jc w:val="both"/>
        <w:rPr/>
      </w:pPr>
      <w:r>
        <w:rPr>
          <w:color w:val="000000"/>
        </w:rPr>
        <w:t>“</w:t>
      </w:r>
      <w:r>
        <w:rPr>
          <w:rFonts w:ascii="Times New Roman;sans-serif" w:hAnsi="Times New Roman;sans-serif"/>
          <w:b/>
          <w:i/>
          <w:color w:val="000000"/>
          <w:sz w:val="24"/>
        </w:rPr>
        <w:t>Qualifying Termination</w:t>
      </w:r>
      <w:r>
        <w:rPr>
          <w:color w:val="000000"/>
        </w:rPr>
        <w:t xml:space="preserve">” </w:t>
      </w:r>
      <w:r>
        <w:rPr>
          <w:rFonts w:ascii="Times New Roman;sans-serif" w:hAnsi="Times New Roman;sans-serif"/>
          <w:b w:val="false"/>
          <w:color w:val="000000"/>
          <w:sz w:val="22"/>
        </w:rPr>
        <w:t>means the termination of the Participant’s employment or service by the Company without Cause, by the Participant for Good Reason, or due to the Participant’s death or Disability, in each case other than within the 12-month period following a Change in Control.</w:t>
      </w:r>
    </w:p>
    <w:p>
      <w:pPr>
        <w:pStyle w:val="TextBody"/>
        <w:spacing w:before="120" w:after="283"/>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10.23</w:t>
      </w:r>
    </w:p>
    <w:p>
      <w:pPr>
        <w:pStyle w:val="TextBody"/>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A</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PERFORMANCE-BASED RESTRICTED STOCK UNIT AGREEMENT</w:t>
      </w:r>
    </w:p>
    <w:p>
      <w:pPr>
        <w:pStyle w:val="TextBody"/>
        <w:spacing w:before="0" w:after="0"/>
        <w:jc w:val="center"/>
        <w:rPr/>
      </w:pPr>
      <w:r>
        <w:rPr/>
      </w:r>
    </w:p>
    <w:p>
      <w:pPr>
        <w:pStyle w:val="TextBody"/>
        <w:spacing w:lineRule="auto" w:line="345" w:before="120" w:after="283"/>
        <w:ind w:left="0" w:right="0" w:firstLine="720"/>
        <w:jc w:val="both"/>
        <w:rPr/>
      </w:pPr>
      <w:r>
        <w:rPr>
          <w:rFonts w:ascii="Times New Roman;sans-serif" w:hAnsi="Times New Roman;sans-serif"/>
          <w:b w:val="false"/>
          <w:color w:val="000000"/>
          <w:sz w:val="22"/>
        </w:rPr>
        <w:t>This Performance-Based Restricted Stock Unit Agreement (together with the Grant Notice to which this Agreement is attached, this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2"/>
        </w:rPr>
        <w:t>) is made as of the Date of Grant set forth in the Grant Notice (the</w:t>
      </w:r>
      <w:r>
        <w:rPr>
          <w:color w:val="000000"/>
        </w:rPr>
        <w:t xml:space="preserve"> “</w:t>
      </w:r>
      <w:r>
        <w:rPr>
          <w:rFonts w:ascii="Times New Roman;sans-serif" w:hAnsi="Times New Roman;sans-serif"/>
          <w:b/>
          <w:i/>
          <w:color w:val="000000"/>
          <w:sz w:val="24"/>
        </w:rPr>
        <w:t>Date of Grant</w:t>
      </w:r>
      <w:r>
        <w:rPr>
          <w:color w:val="000000"/>
        </w:rPr>
        <w:t>”</w:t>
      </w:r>
      <w:r>
        <w:rPr>
          <w:rFonts w:ascii="Times New Roman;sans-serif" w:hAnsi="Times New Roman;sans-serif"/>
          <w:b w:val="false"/>
          <w:color w:val="000000"/>
          <w:sz w:val="22"/>
        </w:rPr>
        <w:t>) by and between Accel Entertainment, Inc., a Delaware corporation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2"/>
        </w:rPr>
        <w:t>), and the Participant. Capitalized terms used but not specifically defined herein shall have the meanings specified in the Plan or the Grant Notice.</w:t>
      </w:r>
    </w:p>
    <w:p>
      <w:pPr>
        <w:pStyle w:val="TextBody"/>
        <w:spacing w:lineRule="auto" w:line="345" w:before="120" w:after="283"/>
        <w:ind w:left="0" w:right="0" w:firstLine="720"/>
        <w:jc w:val="both"/>
        <w:rPr/>
      </w:pPr>
      <w:r>
        <w:rPr>
          <w:rFonts w:ascii="Times New Roman;sans-serif" w:hAnsi="Times New Roman;sans-serif"/>
          <w:b w:val="false"/>
          <w:color w:val="000000"/>
          <w:sz w:val="22"/>
        </w:rPr>
        <w:t>1.</w:t>
      </w:r>
      <w:r>
        <w:rPr>
          <w:color w:val="000000"/>
        </w:rPr>
        <w:t xml:space="preserve"> </w:t>
      </w:r>
      <w:r>
        <w:rPr>
          <w:rFonts w:ascii="Times New Roman;sans-serif" w:hAnsi="Times New Roman;sans-serif"/>
          <w:b/>
          <w:color w:val="000000"/>
          <w:sz w:val="24"/>
          <w:u w:val="single"/>
        </w:rPr>
        <w:t>Award</w:t>
      </w:r>
      <w:r>
        <w:rPr>
          <w:rFonts w:ascii="Times New Roman;sans-serif" w:hAnsi="Times New Roman;sans-serif"/>
          <w:b w:val="false"/>
          <w:color w:val="000000"/>
          <w:sz w:val="22"/>
        </w:rPr>
        <w:t xml:space="preserve">. For good and valuable consideration, the receipt and sufficiency of which is hereby acknowledged, effective as of the Date of Grant, the Company hereby grants to the Participant the number of </w:t>
      </w:r>
      <w:r>
        <w:rPr>
          <w:rFonts w:ascii="Times New Roman;sans-serif" w:hAnsi="Times New Roman;sans-serif"/>
          <w:b w:val="false"/>
          <w:color w:val="000000"/>
          <w:sz w:val="24"/>
        </w:rPr>
        <w:t>PSUs</w:t>
      </w:r>
      <w:r>
        <w:rPr>
          <w:color w:val="000000"/>
        </w:rPr>
        <w:t xml:space="preserve"> </w:t>
      </w:r>
      <w:r>
        <w:rPr>
          <w:rFonts w:ascii="Times New Roman;sans-serif" w:hAnsi="Times New Roman;sans-serif"/>
          <w:b w:val="false"/>
          <w:color w:val="000000"/>
          <w:sz w:val="22"/>
        </w:rPr>
        <w:t xml:space="preserve">set forth in the Grant Notice on the terms and conditions set forth in such notice, this Agreement and the Plan, which is incorporated herein by reference. In the event of any inconsistency between the Plan and this Agreement, the terms of the Plan shall control. To the extent vested, each </w:t>
      </w:r>
      <w:r>
        <w:rPr>
          <w:rFonts w:ascii="Times New Roman;sans-serif" w:hAnsi="Times New Roman;sans-serif"/>
          <w:b w:val="false"/>
          <w:color w:val="000000"/>
          <w:sz w:val="24"/>
        </w:rPr>
        <w:t>PSUs</w:t>
      </w:r>
      <w:r>
        <w:rPr>
          <w:color w:val="000000"/>
        </w:rPr>
        <w:t xml:space="preserve"> </w:t>
      </w:r>
      <w:r>
        <w:rPr>
          <w:rFonts w:ascii="Times New Roman;sans-serif" w:hAnsi="Times New Roman;sans-serif"/>
          <w:b w:val="false"/>
          <w:color w:val="000000"/>
          <w:sz w:val="22"/>
        </w:rPr>
        <w:t xml:space="preserve">represents the right to receive one share of Stock, subject to the terms and conditions set forth in the Grant Notice, this Agreement and the Plan. Unless and until the </w:t>
      </w:r>
      <w:r>
        <w:rPr>
          <w:rFonts w:ascii="Times New Roman;sans-serif" w:hAnsi="Times New Roman;sans-serif"/>
          <w:b w:val="false"/>
          <w:color w:val="000000"/>
          <w:sz w:val="24"/>
        </w:rPr>
        <w:t>PSUs</w:t>
      </w:r>
      <w:r>
        <w:rPr>
          <w:color w:val="000000"/>
        </w:rPr>
        <w:t xml:space="preserve"> </w:t>
      </w:r>
      <w:r>
        <w:rPr>
          <w:rFonts w:ascii="Times New Roman;sans-serif" w:hAnsi="Times New Roman;sans-serif"/>
          <w:b w:val="false"/>
          <w:color w:val="000000"/>
          <w:sz w:val="22"/>
        </w:rPr>
        <w:t xml:space="preserve">have become vested in the manner set forth in the Grant Notice, the Participant will have no right to receive any Stock or other payments in respect of the </w:t>
      </w:r>
      <w:r>
        <w:rPr>
          <w:rFonts w:ascii="Times New Roman;sans-serif" w:hAnsi="Times New Roman;sans-serif"/>
          <w:b w:val="false"/>
          <w:color w:val="000000"/>
          <w:sz w:val="24"/>
        </w:rPr>
        <w:t>PSUs</w:t>
      </w:r>
      <w:r>
        <w:rPr>
          <w:rFonts w:ascii="Times New Roman;sans-serif" w:hAnsi="Times New Roman;sans-serif"/>
          <w:b w:val="false"/>
          <w:color w:val="000000"/>
          <w:sz w:val="22"/>
        </w:rPr>
        <w:t xml:space="preserve">. Prior to settlement of this Award, the </w:t>
      </w:r>
      <w:r>
        <w:rPr>
          <w:rFonts w:ascii="Times New Roman;sans-serif" w:hAnsi="Times New Roman;sans-serif"/>
          <w:b w:val="false"/>
          <w:color w:val="000000"/>
          <w:sz w:val="24"/>
        </w:rPr>
        <w:t>PSUs</w:t>
      </w:r>
      <w:r>
        <w:rPr>
          <w:color w:val="000000"/>
        </w:rPr>
        <w:t xml:space="preserve"> </w:t>
      </w:r>
      <w:r>
        <w:rPr>
          <w:rFonts w:ascii="Times New Roman;sans-serif" w:hAnsi="Times New Roman;sans-serif"/>
          <w:b w:val="false"/>
          <w:color w:val="000000"/>
          <w:sz w:val="22"/>
        </w:rPr>
        <w:t>and this Award represent an unsecured obligation of the Company.</w:t>
      </w:r>
    </w:p>
    <w:p>
      <w:pPr>
        <w:pStyle w:val="TextBody"/>
        <w:spacing w:lineRule="auto" w:line="345" w:before="120" w:after="283"/>
        <w:ind w:left="0" w:right="0" w:firstLine="720"/>
        <w:jc w:val="both"/>
        <w:rPr/>
      </w:pPr>
      <w:r>
        <w:rPr>
          <w:rFonts w:ascii="Times New Roman;sans-serif" w:hAnsi="Times New Roman;sans-serif"/>
          <w:b w:val="false"/>
          <w:color w:val="000000"/>
          <w:sz w:val="22"/>
        </w:rPr>
        <w:t>2.</w:t>
      </w:r>
      <w:r>
        <w:rPr>
          <w:color w:val="000000"/>
        </w:rPr>
        <w:t xml:space="preserve"> </w:t>
      </w:r>
      <w:r>
        <w:rPr>
          <w:rFonts w:ascii="Times New Roman;sans-serif" w:hAnsi="Times New Roman;sans-serif"/>
          <w:b/>
          <w:color w:val="000000"/>
          <w:sz w:val="24"/>
          <w:u w:val="single"/>
        </w:rPr>
        <w:t>Vesting of PSUs.</w:t>
      </w:r>
    </w:p>
    <w:p>
      <w:pPr>
        <w:pStyle w:val="TextBody"/>
        <w:spacing w:lineRule="auto" w:line="345" w:before="120" w:after="283"/>
        <w:ind w:left="0" w:right="0" w:firstLine="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 xml:space="preserve">The </w:t>
      </w:r>
      <w:r>
        <w:rPr>
          <w:rFonts w:ascii="Times New Roman;sans-serif" w:hAnsi="Times New Roman;sans-serif"/>
          <w:b w:val="false"/>
          <w:color w:val="000000"/>
          <w:sz w:val="24"/>
        </w:rPr>
        <w:t>PSUs</w:t>
      </w:r>
      <w:r>
        <w:rPr>
          <w:color w:val="000000"/>
        </w:rPr>
        <w:t xml:space="preserve"> </w:t>
      </w:r>
      <w:r>
        <w:rPr>
          <w:rFonts w:ascii="Times New Roman;sans-serif" w:hAnsi="Times New Roman;sans-serif"/>
          <w:b w:val="false"/>
          <w:color w:val="000000"/>
          <w:sz w:val="22"/>
        </w:rPr>
        <w:t xml:space="preserve">shall vest in accordance with the vesting schedule set forth in the Grant Notice. Unless and until the </w:t>
      </w:r>
      <w:r>
        <w:rPr>
          <w:rFonts w:ascii="Times New Roman;sans-serif" w:hAnsi="Times New Roman;sans-serif"/>
          <w:b w:val="false"/>
          <w:color w:val="000000"/>
          <w:sz w:val="24"/>
        </w:rPr>
        <w:t>PSUs</w:t>
      </w:r>
      <w:r>
        <w:rPr>
          <w:color w:val="000000"/>
        </w:rPr>
        <w:t xml:space="preserve"> </w:t>
      </w:r>
      <w:r>
        <w:rPr>
          <w:rFonts w:ascii="Times New Roman;sans-serif" w:hAnsi="Times New Roman;sans-serif"/>
          <w:b w:val="false"/>
          <w:color w:val="000000"/>
          <w:sz w:val="22"/>
        </w:rPr>
        <w:t xml:space="preserve">have vested in accordance with such vesting schedule, the Participant will have no right to receive any dividends or other distributions with respect to the </w:t>
      </w:r>
      <w:r>
        <w:rPr>
          <w:rFonts w:ascii="Times New Roman;sans-serif" w:hAnsi="Times New Roman;sans-serif"/>
          <w:b w:val="false"/>
          <w:color w:val="000000"/>
          <w:sz w:val="24"/>
        </w:rPr>
        <w:t>PSUs</w:t>
      </w:r>
      <w:r>
        <w:rPr>
          <w:rFonts w:ascii="Times New Roman;sans-serif" w:hAnsi="Times New Roman;sans-serif"/>
          <w:b w:val="false"/>
          <w:color w:val="000000"/>
          <w:sz w:val="22"/>
        </w:rPr>
        <w:t xml:space="preserve">. Except in the event of a qualifying termination of employment as set forth in the Grant Notice, in the event of the termination of the Participant’s employment or engagement prior to the vesting of all of the </w:t>
      </w:r>
      <w:r>
        <w:rPr>
          <w:rFonts w:ascii="Times New Roman;sans-serif" w:hAnsi="Times New Roman;sans-serif"/>
          <w:b w:val="false"/>
          <w:color w:val="000000"/>
          <w:sz w:val="24"/>
        </w:rPr>
        <w:t>PSUs</w:t>
      </w:r>
      <w:r>
        <w:rPr>
          <w:rFonts w:ascii="Times New Roman;sans-serif" w:hAnsi="Times New Roman;sans-serif"/>
          <w:b w:val="false"/>
          <w:color w:val="000000"/>
          <w:sz w:val="22"/>
        </w:rPr>
        <w:t xml:space="preserve">, all unvested </w:t>
      </w:r>
      <w:r>
        <w:rPr>
          <w:rFonts w:ascii="Times New Roman;sans-serif" w:hAnsi="Times New Roman;sans-serif"/>
          <w:b w:val="false"/>
          <w:color w:val="000000"/>
          <w:sz w:val="24"/>
        </w:rPr>
        <w:t>PSUs</w:t>
      </w:r>
      <w:r>
        <w:rPr>
          <w:color w:val="000000"/>
        </w:rPr>
        <w:t xml:space="preserve"> </w:t>
      </w:r>
      <w:r>
        <w:rPr>
          <w:rFonts w:ascii="Times New Roman;sans-serif" w:hAnsi="Times New Roman;sans-serif"/>
          <w:b w:val="false"/>
          <w:color w:val="000000"/>
          <w:sz w:val="22"/>
        </w:rPr>
        <w:t xml:space="preserve">(and all rights arising from such </w:t>
      </w:r>
      <w:r>
        <w:rPr>
          <w:rFonts w:ascii="Times New Roman;sans-serif" w:hAnsi="Times New Roman;sans-serif"/>
          <w:b w:val="false"/>
          <w:color w:val="000000"/>
          <w:sz w:val="24"/>
        </w:rPr>
        <w:t>PSUs</w:t>
      </w:r>
      <w:r>
        <w:rPr>
          <w:color w:val="000000"/>
        </w:rPr>
        <w:t xml:space="preserve"> </w:t>
      </w:r>
      <w:r>
        <w:rPr>
          <w:rFonts w:ascii="Times New Roman;sans-serif" w:hAnsi="Times New Roman;sans-serif"/>
          <w:b w:val="false"/>
          <w:color w:val="000000"/>
          <w:sz w:val="22"/>
        </w:rPr>
        <w:t>and from being a holder thereof) will terminate automatically without any further action by the Company and will be forfeited without consideration or notice. For the avoidance of doubt, in the event the Participant becomes a member of the Board, the Participant will be considered to have remained continuously employed or engaged by the Company provided that the termination of the Participant’s employment is effective as of the date the Participant becomes a member of the Board.</w:t>
      </w:r>
    </w:p>
    <w:p>
      <w:pPr>
        <w:pStyle w:val="TextBody"/>
        <w:spacing w:lineRule="auto" w:line="345" w:before="120" w:after="283"/>
        <w:ind w:left="0" w:right="0" w:firstLine="720"/>
        <w:jc w:val="both"/>
        <w:rPr/>
      </w:pPr>
      <w:r>
        <w:rPr>
          <w:rFonts w:ascii="Times New Roman;sans-serif" w:hAnsi="Times New Roman;sans-serif"/>
          <w:b w:val="false"/>
          <w:color w:val="000000"/>
          <w:sz w:val="22"/>
        </w:rPr>
        <w:t>(b)</w:t>
      </w:r>
      <w:r>
        <w:rPr>
          <w:color w:val="000000"/>
        </w:rPr>
        <w:t xml:space="preserve"> </w:t>
      </w:r>
      <w:r>
        <w:rPr>
          <w:rFonts w:ascii="Times New Roman;sans-serif" w:hAnsi="Times New Roman;sans-serif"/>
          <w:b w:val="false"/>
          <w:color w:val="000000"/>
          <w:sz w:val="22"/>
        </w:rPr>
        <w:t xml:space="preserve">Notwithstanding any provision herein to the contrary, in the event of any inconsistency between this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2"/>
        </w:rPr>
        <w:t>and any written employment agreement entered into by and between the Participant and the Company or an Affiliate, as applicable, the terms of such employment agreement shall control.</w:t>
      </w:r>
    </w:p>
    <w:p>
      <w:pPr>
        <w:pStyle w:val="TextBody"/>
        <w:spacing w:lineRule="auto" w:line="345" w:before="120" w:after="283"/>
        <w:ind w:left="0" w:right="0" w:firstLine="720"/>
        <w:jc w:val="both"/>
        <w:rPr/>
      </w:pPr>
      <w:r>
        <w:rPr>
          <w:rFonts w:ascii="Times New Roman;sans-serif" w:hAnsi="Times New Roman;sans-serif"/>
          <w:b w:val="false"/>
          <w:color w:val="000000"/>
          <w:sz w:val="22"/>
        </w:rPr>
        <w:t>3.</w:t>
      </w:r>
      <w:r>
        <w:rPr>
          <w:color w:val="000000"/>
        </w:rPr>
        <w:t xml:space="preserve"> </w:t>
      </w:r>
      <w:r>
        <w:rPr>
          <w:rFonts w:ascii="Times New Roman;sans-serif" w:hAnsi="Times New Roman;sans-serif"/>
          <w:b/>
          <w:color w:val="000000"/>
          <w:sz w:val="24"/>
          <w:u w:val="single"/>
        </w:rPr>
        <w:t>Dividend Equivalents</w:t>
      </w:r>
      <w:r>
        <w:rPr>
          <w:rFonts w:ascii="Times New Roman;sans-serif" w:hAnsi="Times New Roman;sans-serif"/>
          <w:b w:val="false"/>
          <w:color w:val="000000"/>
          <w:sz w:val="22"/>
        </w:rPr>
        <w:t xml:space="preserve">. In the event that the Company declares and pays a dividend in respect of its outstanding shares of Stock and, on the record date for such dividend, the Participant holds </w:t>
      </w:r>
      <w:r>
        <w:rPr>
          <w:rFonts w:ascii="Times New Roman;sans-serif" w:hAnsi="Times New Roman;sans-serif"/>
          <w:b w:val="false"/>
          <w:color w:val="000000"/>
          <w:sz w:val="24"/>
        </w:rPr>
        <w:t>PSUs</w:t>
      </w:r>
      <w:r>
        <w:rPr>
          <w:color w:val="000000"/>
        </w:rPr>
        <w:t xml:space="preserve"> </w:t>
      </w:r>
      <w:r>
        <w:rPr>
          <w:rFonts w:ascii="Times New Roman;sans-serif" w:hAnsi="Times New Roman;sans-serif"/>
          <w:b w:val="false"/>
          <w:color w:val="000000"/>
          <w:sz w:val="22"/>
        </w:rPr>
        <w:t xml:space="preserve">granted pursuant to this Agreement that have not been settled, the Company shall record the amount of such dividend in a bookkeeping account and pay to the Participant an amount in cash equal to the cash dividends the Participant would have received if the Participant was the holder of record, as of such record date, of the number of shares of Stock related to the portion of the Participant’s </w:t>
      </w:r>
      <w:r>
        <w:rPr>
          <w:rFonts w:ascii="Times New Roman;sans-serif" w:hAnsi="Times New Roman;sans-serif"/>
          <w:b w:val="false"/>
          <w:color w:val="000000"/>
          <w:sz w:val="24"/>
        </w:rPr>
        <w:t>PSUs</w:t>
      </w:r>
      <w:r>
        <w:rPr>
          <w:color w:val="000000"/>
        </w:rPr>
        <w:t xml:space="preserve"> </w:t>
      </w:r>
      <w:r>
        <w:rPr>
          <w:rFonts w:ascii="Times New Roman;sans-serif" w:hAnsi="Times New Roman;sans-serif"/>
          <w:b w:val="false"/>
          <w:color w:val="000000"/>
          <w:sz w:val="22"/>
        </w:rPr>
        <w:t xml:space="preserve">that have not been settled as of such record date, such payment to be made on or within 60 days following the date on which such </w:t>
      </w:r>
      <w:r>
        <w:rPr>
          <w:rFonts w:ascii="Times New Roman;sans-serif" w:hAnsi="Times New Roman;sans-serif"/>
          <w:b w:val="false"/>
          <w:color w:val="000000"/>
          <w:sz w:val="24"/>
        </w:rPr>
        <w:t>PSUs</w:t>
      </w:r>
      <w:r>
        <w:rPr>
          <w:color w:val="000000"/>
        </w:rPr>
        <w:t xml:space="preserve"> </w:t>
      </w:r>
      <w:r>
        <w:rPr>
          <w:rFonts w:ascii="Times New Roman;sans-serif" w:hAnsi="Times New Roman;sans-serif"/>
          <w:b w:val="false"/>
          <w:color w:val="000000"/>
          <w:sz w:val="22"/>
        </w:rPr>
        <w:t xml:space="preserve">vest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10.23</w:t>
      </w:r>
    </w:p>
    <w:p>
      <w:pPr>
        <w:pStyle w:val="TextBody"/>
        <w:spacing w:lineRule="auto" w:line="345" w:before="120" w:after="283"/>
        <w:jc w:val="both"/>
        <w:rPr/>
      </w:pPr>
      <w:r>
        <w:rPr>
          <w:rFonts w:ascii="Times New Roman;sans-serif" w:hAnsi="Times New Roman;sans-serif"/>
          <w:b w:val="false"/>
          <w:color w:val="000000"/>
          <w:sz w:val="22"/>
        </w:rPr>
        <w:t xml:space="preserve">in accordance with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2"/>
        </w:rPr>
        <w:t xml:space="preserve">. For purposes of clarity, if the </w:t>
      </w:r>
      <w:r>
        <w:rPr>
          <w:rFonts w:ascii="Times New Roman;sans-serif" w:hAnsi="Times New Roman;sans-serif"/>
          <w:b w:val="false"/>
          <w:color w:val="000000"/>
          <w:sz w:val="24"/>
        </w:rPr>
        <w:t>PSUs</w:t>
      </w:r>
      <w:r>
        <w:rPr>
          <w:color w:val="000000"/>
        </w:rPr>
        <w:t xml:space="preserve"> </w:t>
      </w:r>
      <w:r>
        <w:rPr>
          <w:rFonts w:ascii="Times New Roman;sans-serif" w:hAnsi="Times New Roman;sans-serif"/>
          <w:b w:val="false"/>
          <w:color w:val="000000"/>
          <w:sz w:val="22"/>
        </w:rPr>
        <w:t xml:space="preserve">(or any portion thereof) are forfeited by the Participant pursuant to the terms of this Agreement, then the Participant shall also forfeit the Dividend Equivalents, if any, accrued with respect to such forfeited </w:t>
      </w:r>
      <w:r>
        <w:rPr>
          <w:rFonts w:ascii="Times New Roman;sans-serif" w:hAnsi="Times New Roman;sans-serif"/>
          <w:b w:val="false"/>
          <w:color w:val="000000"/>
          <w:sz w:val="24"/>
        </w:rPr>
        <w:t>PSUs</w:t>
      </w:r>
      <w:r>
        <w:rPr>
          <w:rFonts w:ascii="Times New Roman;sans-serif" w:hAnsi="Times New Roman;sans-serif"/>
          <w:b w:val="false"/>
          <w:color w:val="000000"/>
          <w:sz w:val="22"/>
        </w:rPr>
        <w:t>. No interest will accrue on the Dividend Equivalents between the declaration and payment of the applicable dividends and the settlement of the Dividend Equivalents.</w:t>
      </w:r>
    </w:p>
    <w:p>
      <w:pPr>
        <w:pStyle w:val="TextBody"/>
        <w:spacing w:lineRule="auto" w:line="345" w:before="120" w:after="283"/>
        <w:ind w:left="0" w:right="0" w:firstLine="720"/>
        <w:jc w:val="both"/>
        <w:rPr/>
      </w:pPr>
      <w:r>
        <w:rPr>
          <w:rFonts w:ascii="Times New Roman;sans-serif" w:hAnsi="Times New Roman;sans-serif"/>
          <w:b w:val="false"/>
          <w:color w:val="000000"/>
          <w:sz w:val="22"/>
        </w:rPr>
        <w:t>4.</w:t>
      </w:r>
      <w:r>
        <w:rPr>
          <w:color w:val="000000"/>
        </w:rPr>
        <w:t xml:space="preserve"> </w:t>
      </w:r>
      <w:r>
        <w:rPr>
          <w:rFonts w:ascii="Times New Roman;sans-serif" w:hAnsi="Times New Roman;sans-serif"/>
          <w:b/>
          <w:color w:val="000000"/>
          <w:sz w:val="24"/>
          <w:u w:val="single"/>
        </w:rPr>
        <w:t>Settlement of PSUs</w:t>
      </w:r>
      <w:r>
        <w:rPr>
          <w:rFonts w:ascii="Times New Roman;sans-serif" w:hAnsi="Times New Roman;sans-serif"/>
          <w:b w:val="false"/>
          <w:color w:val="000000"/>
          <w:sz w:val="22"/>
        </w:rPr>
        <w:t xml:space="preserve">. As soon as administratively practicable following the vesting of </w:t>
      </w:r>
      <w:r>
        <w:rPr>
          <w:rFonts w:ascii="Times New Roman;sans-serif" w:hAnsi="Times New Roman;sans-serif"/>
          <w:b w:val="false"/>
          <w:color w:val="000000"/>
          <w:sz w:val="24"/>
        </w:rPr>
        <w:t>PSUs</w:t>
      </w:r>
      <w:r>
        <w:rPr>
          <w:color w:val="000000"/>
        </w:rPr>
        <w:t xml:space="preserve"> </w:t>
      </w:r>
      <w:r>
        <w:rPr>
          <w:rFonts w:ascii="Times New Roman;sans-serif" w:hAnsi="Times New Roman;sans-serif"/>
          <w:b w:val="false"/>
          <w:color w:val="000000"/>
          <w:sz w:val="22"/>
        </w:rPr>
        <w:t xml:space="preserve">pursuant to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2"/>
        </w:rPr>
        <w:t xml:space="preserve">, but in no event later than 60 days after such vesting date, the Company shall deliver to the Participant a number of shares of Stock equal to the number of </w:t>
      </w:r>
      <w:r>
        <w:rPr>
          <w:rFonts w:ascii="Times New Roman;sans-serif" w:hAnsi="Times New Roman;sans-serif"/>
          <w:b w:val="false"/>
          <w:color w:val="000000"/>
          <w:sz w:val="24"/>
        </w:rPr>
        <w:t>PSUs</w:t>
      </w:r>
      <w:r>
        <w:rPr>
          <w:color w:val="000000"/>
        </w:rPr>
        <w:t xml:space="preserve"> </w:t>
      </w:r>
      <w:r>
        <w:rPr>
          <w:rFonts w:ascii="Times New Roman;sans-serif" w:hAnsi="Times New Roman;sans-serif"/>
          <w:b w:val="false"/>
          <w:color w:val="000000"/>
          <w:sz w:val="22"/>
        </w:rPr>
        <w:t xml:space="preserve">that become vested as of such vesting date. All shares of Stock issued hereunder shall be delivered either by delivering one or more certificates for such shares to the Participant or by entering such shares in book-entry form, as determined by the Committee in its sole discretion. In the event the Participant would otherwise become vested in a fractional portion of an </w:t>
      </w:r>
      <w:r>
        <w:rPr>
          <w:rFonts w:ascii="Times New Roman;sans-serif" w:hAnsi="Times New Roman;sans-serif"/>
          <w:b w:val="false"/>
          <w:color w:val="000000"/>
          <w:sz w:val="24"/>
        </w:rPr>
        <w:t>PSU</w:t>
      </w:r>
      <w:r>
        <w:rPr>
          <w:color w:val="000000"/>
        </w:rPr>
        <w:t xml:space="preserve"> </w:t>
      </w:r>
      <w:r>
        <w:rPr>
          <w:rFonts w:ascii="Times New Roman;sans-serif" w:hAnsi="Times New Roman;sans-serif"/>
          <w:b w:val="false"/>
          <w:color w:val="000000"/>
          <w:sz w:val="22"/>
        </w:rPr>
        <w:t>(a “</w:t>
      </w:r>
      <w:r>
        <w:rPr>
          <w:rFonts w:ascii="Times New Roman;sans-serif" w:hAnsi="Times New Roman;sans-serif"/>
          <w:b/>
          <w:i/>
          <w:color w:val="000000"/>
          <w:sz w:val="24"/>
        </w:rPr>
        <w:t>Fractional PSUs</w:t>
      </w:r>
      <w:r>
        <w:rPr>
          <w:color w:val="000000"/>
        </w:rPr>
        <w:t>”</w:t>
      </w:r>
      <w:r>
        <w:rPr>
          <w:rFonts w:ascii="Times New Roman;sans-serif" w:hAnsi="Times New Roman;sans-serif"/>
          <w:b w:val="false"/>
          <w:color w:val="000000"/>
          <w:sz w:val="22"/>
        </w:rPr>
        <w:t xml:space="preserve">) based on the vesting terms set forth in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2"/>
        </w:rPr>
        <w:t xml:space="preserve">, the Fractional </w:t>
      </w:r>
      <w:r>
        <w:rPr>
          <w:rFonts w:ascii="Times New Roman;sans-serif" w:hAnsi="Times New Roman;sans-serif"/>
          <w:b w:val="false"/>
          <w:color w:val="000000"/>
          <w:sz w:val="24"/>
        </w:rPr>
        <w:t>PSU</w:t>
      </w:r>
      <w:r>
        <w:rPr>
          <w:color w:val="000000"/>
        </w:rPr>
        <w:t xml:space="preserve"> </w:t>
      </w:r>
      <w:r>
        <w:rPr>
          <w:rFonts w:ascii="Times New Roman;sans-serif" w:hAnsi="Times New Roman;sans-serif"/>
          <w:b w:val="false"/>
          <w:color w:val="000000"/>
          <w:sz w:val="22"/>
        </w:rPr>
        <w:t xml:space="preserve">shall instead remain unvested until the final vesting date provided in the Grant Notice; provided, however, that if the Participant would otherwise vest in a subsequent Fractional </w:t>
      </w:r>
      <w:r>
        <w:rPr>
          <w:rFonts w:ascii="Times New Roman;sans-serif" w:hAnsi="Times New Roman;sans-serif"/>
          <w:b w:val="false"/>
          <w:color w:val="000000"/>
          <w:sz w:val="24"/>
        </w:rPr>
        <w:t>PSUs</w:t>
      </w:r>
      <w:r>
        <w:rPr>
          <w:color w:val="000000"/>
        </w:rPr>
        <w:t xml:space="preserve"> </w:t>
      </w:r>
      <w:r>
        <w:rPr>
          <w:rFonts w:ascii="Times New Roman;sans-serif" w:hAnsi="Times New Roman;sans-serif"/>
          <w:b w:val="false"/>
          <w:color w:val="000000"/>
          <w:sz w:val="22"/>
        </w:rPr>
        <w:t xml:space="preserve">prior to the final vesting date for the PSUs and such Fractional </w:t>
      </w:r>
      <w:r>
        <w:rPr>
          <w:rFonts w:ascii="Times New Roman;sans-serif" w:hAnsi="Times New Roman;sans-serif"/>
          <w:b w:val="false"/>
          <w:color w:val="000000"/>
          <w:sz w:val="24"/>
        </w:rPr>
        <w:t>PSU</w:t>
      </w:r>
      <w:r>
        <w:rPr>
          <w:color w:val="000000"/>
        </w:rPr>
        <w:t xml:space="preserve"> </w:t>
      </w:r>
      <w:r>
        <w:rPr>
          <w:rFonts w:ascii="Times New Roman;sans-serif" w:hAnsi="Times New Roman;sans-serif"/>
          <w:b w:val="false"/>
          <w:color w:val="000000"/>
          <w:sz w:val="22"/>
        </w:rPr>
        <w:t xml:space="preserve">taken together with a previous Fractional </w:t>
      </w:r>
      <w:r>
        <w:rPr>
          <w:rFonts w:ascii="Times New Roman;sans-serif" w:hAnsi="Times New Roman;sans-serif"/>
          <w:b w:val="false"/>
          <w:color w:val="000000"/>
          <w:sz w:val="24"/>
        </w:rPr>
        <w:t>PSU</w:t>
      </w:r>
      <w:r>
        <w:rPr>
          <w:color w:val="000000"/>
        </w:rPr>
        <w:t xml:space="preserve"> </w:t>
      </w:r>
      <w:r>
        <w:rPr>
          <w:rFonts w:ascii="Times New Roman;sans-serif" w:hAnsi="Times New Roman;sans-serif"/>
          <w:b w:val="false"/>
          <w:color w:val="000000"/>
          <w:sz w:val="22"/>
        </w:rPr>
        <w:t xml:space="preserve">that remained unvested would equal a whole </w:t>
      </w:r>
      <w:r>
        <w:rPr>
          <w:rFonts w:ascii="Times New Roman;sans-serif" w:hAnsi="Times New Roman;sans-serif"/>
          <w:b w:val="false"/>
          <w:color w:val="000000"/>
          <w:sz w:val="24"/>
        </w:rPr>
        <w:t>PSU</w:t>
      </w:r>
      <w:r>
        <w:rPr>
          <w:rFonts w:ascii="Times New Roman;sans-serif" w:hAnsi="Times New Roman;sans-serif"/>
          <w:b w:val="false"/>
          <w:color w:val="000000"/>
          <w:sz w:val="22"/>
        </w:rPr>
        <w:t xml:space="preserve">, then such Fractional </w:t>
      </w:r>
      <w:r>
        <w:rPr>
          <w:rFonts w:ascii="Times New Roman;sans-serif" w:hAnsi="Times New Roman;sans-serif"/>
          <w:b w:val="false"/>
          <w:color w:val="000000"/>
          <w:sz w:val="24"/>
        </w:rPr>
        <w:t>PSUs</w:t>
      </w:r>
      <w:r>
        <w:rPr>
          <w:color w:val="000000"/>
        </w:rPr>
        <w:t xml:space="preserve"> </w:t>
      </w:r>
      <w:r>
        <w:rPr>
          <w:rFonts w:ascii="Times New Roman;sans-serif" w:hAnsi="Times New Roman;sans-serif"/>
          <w:b w:val="false"/>
          <w:color w:val="000000"/>
          <w:sz w:val="22"/>
        </w:rPr>
        <w:t xml:space="preserve">shall vest to the extent they equal a whole </w:t>
      </w:r>
      <w:r>
        <w:rPr>
          <w:rFonts w:ascii="Times New Roman;sans-serif" w:hAnsi="Times New Roman;sans-serif"/>
          <w:b w:val="false"/>
          <w:color w:val="000000"/>
          <w:sz w:val="24"/>
        </w:rPr>
        <w:t>PSU</w:t>
      </w:r>
      <w:r>
        <w:rPr>
          <w:rFonts w:ascii="Times New Roman;sans-serif" w:hAnsi="Times New Roman;sans-serif"/>
          <w:b w:val="false"/>
          <w:color w:val="000000"/>
          <w:sz w:val="22"/>
        </w:rPr>
        <w:t xml:space="preserve">. Upon the final vesting date, the value of any Fractional PSUs shall be rounded up to the nearest whole </w:t>
      </w:r>
      <w:r>
        <w:rPr>
          <w:rFonts w:ascii="Times New Roman;sans-serif" w:hAnsi="Times New Roman;sans-serif"/>
          <w:b w:val="false"/>
          <w:color w:val="000000"/>
          <w:sz w:val="24"/>
        </w:rPr>
        <w:t>PSU</w:t>
      </w:r>
      <w:r>
        <w:rPr>
          <w:rFonts w:ascii="Times New Roman;sans-serif" w:hAnsi="Times New Roman;sans-serif"/>
          <w:b w:val="false"/>
          <w:color w:val="000000"/>
          <w:sz w:val="22"/>
        </w:rPr>
        <w:t>.</w:t>
      </w:r>
    </w:p>
    <w:p>
      <w:pPr>
        <w:pStyle w:val="TextBody"/>
        <w:spacing w:lineRule="auto" w:line="345" w:before="120" w:after="283"/>
        <w:ind w:left="0" w:right="0" w:firstLine="720"/>
        <w:jc w:val="both"/>
        <w:rPr/>
      </w:pPr>
      <w:r>
        <w:rPr>
          <w:rFonts w:ascii="Times New Roman;sans-serif" w:hAnsi="Times New Roman;sans-serif"/>
          <w:b w:val="false"/>
          <w:color w:val="000000"/>
          <w:sz w:val="22"/>
        </w:rPr>
        <w:t>5.</w:t>
      </w:r>
      <w:r>
        <w:rPr>
          <w:color w:val="000000"/>
        </w:rPr>
        <w:t xml:space="preserve"> </w:t>
      </w:r>
      <w:r>
        <w:rPr>
          <w:rFonts w:ascii="Times New Roman;sans-serif" w:hAnsi="Times New Roman;sans-serif"/>
          <w:b/>
          <w:color w:val="000000"/>
          <w:sz w:val="24"/>
          <w:u w:val="single"/>
        </w:rPr>
        <w:t>Tax Withholding</w:t>
      </w:r>
      <w:r>
        <w:rPr>
          <w:rFonts w:ascii="Times New Roman;sans-serif" w:hAnsi="Times New Roman;sans-serif"/>
          <w:b w:val="false"/>
          <w:color w:val="000000"/>
          <w:sz w:val="22"/>
        </w:rPr>
        <w:t>. To the extent that the receipt, vesting or settlement of this Award results in compensation income or wages to the Participant for federal, state, local and/or foreign tax purposes, the Participant shall make arrangements satisfactory to the Company for the satisfaction of obligations for the payment of withholding taxes and other tax obligations relating to this Award, which arrangements include the delivery of cash or cash equivalents or, if permitted by the Committee in its sole discretion, Stock, other property, or any other legal consideration the Committee deems appropriate. If such tax obligations are satisfied through net exercise or the surrender of previously owned Stock, the maximum number of shares of Stock that may be so withheld (or surrendered) shall be determined by the Committee and subject to any applicable Company policy that may be in effect from time to time, without creating adverse accounting treatment for the Company with respect to this Award, as determined by the Committee. The Participant acknowledges that there may be adverse tax consequences upon the receipt, vesting or settlement of this Award or disposition of the underlying shares and that the Participant has been advised, and hereby is advised, to consult a tax advisor. The Participant represents that the Participant is in no manner relying on the Board, the Committee, the Company or any of its Affiliates or any of their respective managers, directors, officers, employees or authorized representatives for tax advice or an assessment of such tax consequences.</w:t>
      </w:r>
    </w:p>
    <w:p>
      <w:pPr>
        <w:pStyle w:val="TextBody"/>
        <w:spacing w:lineRule="auto" w:line="345" w:before="120" w:after="283"/>
        <w:ind w:left="0" w:right="0" w:firstLine="720"/>
        <w:jc w:val="both"/>
        <w:rPr/>
      </w:pPr>
      <w:r>
        <w:rPr>
          <w:rFonts w:ascii="Times New Roman;sans-serif" w:hAnsi="Times New Roman;sans-serif"/>
          <w:b w:val="false"/>
          <w:color w:val="000000"/>
          <w:sz w:val="22"/>
        </w:rPr>
        <w:t>6.</w:t>
      </w:r>
      <w:r>
        <w:rPr>
          <w:color w:val="000000"/>
        </w:rPr>
        <w:t xml:space="preserve"> </w:t>
      </w:r>
      <w:r>
        <w:rPr>
          <w:rFonts w:ascii="Times New Roman;sans-serif" w:hAnsi="Times New Roman;sans-serif"/>
          <w:b/>
          <w:color w:val="000000"/>
          <w:sz w:val="24"/>
          <w:u w:val="single"/>
        </w:rPr>
        <w:t>Non-Transferability</w:t>
      </w:r>
      <w:r>
        <w:rPr>
          <w:rFonts w:ascii="Times New Roman;sans-serif" w:hAnsi="Times New Roman;sans-serif"/>
          <w:b w:val="false"/>
          <w:color w:val="000000"/>
          <w:sz w:val="22"/>
        </w:rPr>
        <w:t xml:space="preserve">. None of the PSUs, the Dividend Equivalents or any interest or right therein may be sold, pledged, assigned or transferred in any manner other than by will or the laws of descent and distribution, unless and until the shares of Stock underlying the PSUs have been issued, and all restrictions applicable to such shares have lapsed. Neither the PSUs nor any interest or right therein shall be liable for the debts, contracts or engagements of the Participant or his or her successors in interest or shall be subject to disposition by transfer, alienation, anticipation, pledge, encumbrance, assignment or any other means, whether such disposition be voluntary or involuntary or by operation of law by judgment, levy,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10.23</w:t>
      </w:r>
    </w:p>
    <w:p>
      <w:pPr>
        <w:pStyle w:val="TextBody"/>
        <w:spacing w:lineRule="auto" w:line="345"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attachment, garnishment or any other legal or equitable proceedings (including bankruptcy), and any attempted disposition thereof shall be null and void and of no effect against the Company and its Affiliates, except to the extent that such disposition is expressly permitted by the preceding sentence.</w:t>
      </w:r>
    </w:p>
    <w:p>
      <w:pPr>
        <w:pStyle w:val="TextBody"/>
        <w:spacing w:lineRule="auto" w:line="345" w:before="120" w:after="283"/>
        <w:ind w:left="0" w:right="0" w:firstLine="720"/>
        <w:jc w:val="both"/>
        <w:rPr/>
      </w:pPr>
      <w:r>
        <w:rPr>
          <w:rFonts w:ascii="Times New Roman;sans-serif" w:hAnsi="Times New Roman;sans-serif"/>
          <w:b w:val="false"/>
          <w:color w:val="000000"/>
          <w:sz w:val="22"/>
        </w:rPr>
        <w:t>7.</w:t>
      </w:r>
      <w:r>
        <w:rPr>
          <w:color w:val="000000"/>
        </w:rPr>
        <w:t xml:space="preserve"> </w:t>
      </w:r>
      <w:r>
        <w:rPr>
          <w:rFonts w:ascii="Times New Roman;sans-serif" w:hAnsi="Times New Roman;sans-serif"/>
          <w:b/>
          <w:color w:val="000000"/>
          <w:sz w:val="24"/>
          <w:u w:val="single"/>
        </w:rPr>
        <w:t>Compliance with Applicable Law</w:t>
      </w:r>
      <w:r>
        <w:rPr>
          <w:rFonts w:ascii="Times New Roman;sans-serif" w:hAnsi="Times New Roman;sans-serif"/>
          <w:b w:val="false"/>
          <w:color w:val="000000"/>
          <w:sz w:val="22"/>
        </w:rPr>
        <w:t>. Notwithstanding any provision of this Agreement to the contrary, the issuance of shares of Stock hereunder will be subject to compliance with all requirements of applicable law with respect to such securities and with the requirements of any stock exchange or market system upon which the Stock may then be listed. No shares of Stock will be issued hereunder if such issuance would constitute a violation of any applicable law or regulation or the requirements of any stock exchange or market system upon which the Stock may then be listed. In addition, shares of Stock will not be issued hereunder unless (a) a registration statement under the Securities Act is in effect at the time of such issuance with respect to the shares to be issued, (b) in the opinion of legal counsel to the Company, the shares to be issued are permitted to be issued in accordance with the terms of an applicable exemption from the registration requirements of the Securities Act or (c) the Company has attained from any regulatory body having jurisdiction the requisite authority, if any, deemed by the Company’s legal counsel to be necessary for the lawful issuance and sale of any shares of Stock hereunder. As a condition to any issuance of Stock hereunder, the Company may require the Participant to satisfy any requirements that may be necessary or appropriate to evidence compliance with any applicable law or regulation and to make any representation or warranty with respect to such compliance.</w:t>
      </w:r>
    </w:p>
    <w:p>
      <w:pPr>
        <w:pStyle w:val="TextBody"/>
        <w:spacing w:lineRule="auto" w:line="345" w:before="120" w:after="283"/>
        <w:ind w:left="0" w:right="0" w:firstLine="720"/>
        <w:jc w:val="both"/>
        <w:rPr/>
      </w:pPr>
      <w:r>
        <w:rPr>
          <w:rFonts w:ascii="Times New Roman;sans-serif" w:hAnsi="Times New Roman;sans-serif"/>
          <w:b w:val="false"/>
          <w:color w:val="000000"/>
          <w:sz w:val="22"/>
        </w:rPr>
        <w:t>8.</w:t>
      </w:r>
      <w:r>
        <w:rPr>
          <w:color w:val="000000"/>
        </w:rPr>
        <w:t xml:space="preserve"> </w:t>
      </w:r>
      <w:r>
        <w:rPr>
          <w:rFonts w:ascii="Times New Roman;sans-serif" w:hAnsi="Times New Roman;sans-serif"/>
          <w:b/>
          <w:color w:val="000000"/>
          <w:sz w:val="24"/>
          <w:u w:val="single"/>
        </w:rPr>
        <w:t>Rights as a Stockholder</w:t>
      </w:r>
      <w:r>
        <w:rPr>
          <w:rFonts w:ascii="Times New Roman;sans-serif" w:hAnsi="Times New Roman;sans-serif"/>
          <w:b w:val="false"/>
          <w:color w:val="000000"/>
          <w:sz w:val="22"/>
        </w:rPr>
        <w:t>. The Participant shall have no rights as a stockholder of the Company with respect to any shares of Stock that may become deliverable hereunder unless and until the Participant has become the holder of record of such shares of Stock, and no adjustments shall be made for dividends in cash or other property, distributions or other rights in respect of any such shares of Stock, except as otherwise specifically provided for in the Plan or this Agreement.</w:t>
      </w:r>
    </w:p>
    <w:p>
      <w:pPr>
        <w:pStyle w:val="TextBody"/>
        <w:spacing w:lineRule="auto" w:line="345" w:before="120" w:after="283"/>
        <w:ind w:left="0" w:right="0" w:firstLine="720"/>
        <w:jc w:val="both"/>
        <w:rPr/>
      </w:pPr>
      <w:r>
        <w:rPr>
          <w:rFonts w:ascii="Times New Roman;sans-serif" w:hAnsi="Times New Roman;sans-serif"/>
          <w:b w:val="false"/>
          <w:color w:val="000000"/>
          <w:sz w:val="22"/>
        </w:rPr>
        <w:t>9.</w:t>
      </w:r>
      <w:r>
        <w:rPr>
          <w:color w:val="000000"/>
        </w:rPr>
        <w:t xml:space="preserve"> </w:t>
      </w:r>
      <w:r>
        <w:rPr>
          <w:rFonts w:ascii="Times New Roman;sans-serif" w:hAnsi="Times New Roman;sans-serif"/>
          <w:b/>
          <w:color w:val="000000"/>
          <w:sz w:val="24"/>
          <w:u w:val="single"/>
        </w:rPr>
        <w:t>Execution of Receipts and Releases</w:t>
      </w:r>
      <w:r>
        <w:rPr>
          <w:rFonts w:ascii="Times New Roman;sans-serif" w:hAnsi="Times New Roman;sans-serif"/>
          <w:b w:val="false"/>
          <w:color w:val="000000"/>
          <w:sz w:val="22"/>
        </w:rPr>
        <w:t>. Any issuance or transfer of shares of Stock or other property to the Participant or the Participant’s legal representative, heir, legatee or distributee, in accordance with this Agreement shall be in full satisfaction of all claims of such person hereunder. As a condition precedent to such payment or issuance, the Company may require the Participant or the Participant’s legal representative, heir, legatee or distributee to execute (and not revoke within any time provided to do so) a release and receipt therefor in such form as it shall determine appropriate; provided, however, that any review period under such release will not modify the date of settlement with respect to vested PSUs.</w:t>
      </w:r>
    </w:p>
    <w:p>
      <w:pPr>
        <w:pStyle w:val="TextBody"/>
        <w:spacing w:lineRule="auto" w:line="345" w:before="120" w:after="283"/>
        <w:ind w:left="0" w:right="0" w:firstLine="720"/>
        <w:jc w:val="both"/>
        <w:rPr/>
      </w:pPr>
      <w:r>
        <w:rPr>
          <w:rFonts w:ascii="Times New Roman;sans-serif" w:hAnsi="Times New Roman;sans-serif"/>
          <w:b w:val="false"/>
          <w:color w:val="000000"/>
          <w:sz w:val="22"/>
        </w:rPr>
        <w:t>10.</w:t>
      </w:r>
      <w:r>
        <w:rPr>
          <w:color w:val="000000"/>
        </w:rPr>
        <w:t xml:space="preserve"> </w:t>
      </w:r>
      <w:r>
        <w:rPr>
          <w:rFonts w:ascii="Times New Roman;sans-serif" w:hAnsi="Times New Roman;sans-serif"/>
          <w:b/>
          <w:color w:val="000000"/>
          <w:sz w:val="24"/>
          <w:u w:val="single"/>
        </w:rPr>
        <w:t>No Right to Continued Employment or Awards</w:t>
      </w:r>
      <w:r>
        <w:rPr>
          <w:rFonts w:ascii="Times New Roman;sans-serif" w:hAnsi="Times New Roman;sans-serif"/>
          <w:b w:val="false"/>
          <w:color w:val="000000"/>
          <w:sz w:val="22"/>
        </w:rPr>
        <w:t>. Nothing in the adoption of the Plan, nor the award of the PSUs thereunder pursuant to the Grant Notice and this Agreement, shall confer upon the Participant the right to continued employment by the Company or any Affiliate, or any other entity, or affect in any way the right of the Company or any such Affiliate, or any other entity to terminate such employment at any time. The grant of the PSUs is a one-time benefit and does not create any contractual or other right to receive a grant of Awards or benefits in lieu of Awards in the future.</w:t>
      </w:r>
    </w:p>
    <w:p>
      <w:pPr>
        <w:pStyle w:val="TextBody"/>
        <w:spacing w:lineRule="auto" w:line="345" w:before="120" w:after="283"/>
        <w:ind w:left="0" w:right="0" w:firstLine="720"/>
        <w:jc w:val="both"/>
        <w:rPr/>
      </w:pPr>
      <w:r>
        <w:rPr>
          <w:rFonts w:ascii="Times New Roman;sans-serif" w:hAnsi="Times New Roman;sans-serif"/>
          <w:b w:val="false"/>
          <w:color w:val="000000"/>
          <w:sz w:val="22"/>
        </w:rPr>
        <w:t>11.</w:t>
      </w:r>
      <w:r>
        <w:rPr>
          <w:color w:val="000000"/>
        </w:rPr>
        <w:t xml:space="preserve"> </w:t>
      </w:r>
      <w:r>
        <w:rPr>
          <w:rFonts w:ascii="Times New Roman;sans-serif" w:hAnsi="Times New Roman;sans-serif"/>
          <w:b/>
          <w:color w:val="000000"/>
          <w:sz w:val="24"/>
          <w:u w:val="single"/>
        </w:rPr>
        <w:t>Agreement to Furnish Information</w:t>
      </w:r>
      <w:r>
        <w:rPr>
          <w:rFonts w:ascii="Times New Roman;sans-serif" w:hAnsi="Times New Roman;sans-serif"/>
          <w:b w:val="false"/>
          <w:color w:val="000000"/>
          <w:sz w:val="22"/>
        </w:rPr>
        <w:t>. The Participant agrees to furnish to the Company all information requested by the Company to enable it to comply with any reporting or other requirement imposed upon the Company by or under any applicable statute or regulation.</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10.23</w:t>
      </w:r>
    </w:p>
    <w:p>
      <w:pPr>
        <w:pStyle w:val="TextBody"/>
        <w:spacing w:lineRule="auto" w:line="345" w:before="120" w:after="283"/>
        <w:ind w:left="0" w:right="0" w:firstLine="720"/>
        <w:jc w:val="both"/>
        <w:rPr/>
      </w:pPr>
      <w:r>
        <w:rPr>
          <w:rFonts w:ascii="Times New Roman;sans-serif" w:hAnsi="Times New Roman;sans-serif"/>
          <w:b w:val="false"/>
          <w:color w:val="000000"/>
          <w:sz w:val="22"/>
        </w:rPr>
        <w:t>12.</w:t>
      </w:r>
      <w:r>
        <w:rPr>
          <w:color w:val="000000"/>
        </w:rPr>
        <w:t xml:space="preserve"> </w:t>
      </w:r>
      <w:r>
        <w:rPr>
          <w:rFonts w:ascii="Times New Roman;sans-serif" w:hAnsi="Times New Roman;sans-serif"/>
          <w:b/>
          <w:color w:val="000000"/>
          <w:sz w:val="24"/>
          <w:u w:val="single"/>
        </w:rPr>
        <w:t>Entire Agreement; Amendment</w:t>
      </w:r>
      <w:r>
        <w:rPr>
          <w:rFonts w:ascii="Times New Roman;sans-serif" w:hAnsi="Times New Roman;sans-serif"/>
          <w:b w:val="false"/>
          <w:color w:val="000000"/>
          <w:sz w:val="22"/>
        </w:rPr>
        <w:t>. This Agreement, the Grant Notice and the Plan constitute the entire agreement of the parties with regard to the subject matter hereof, and contains all the covenants, promises, representations, warranties and agreements between the parties with respect to the PSUs granted hereby; provided, however, that the terms of this Agreement shall not modify and shall be subject to the terms and conditions of any employment, consulting and/or severance agreement between the Company (or an Affiliate or other entity) and the Participant in effect as of the date a determination is to be made under this Agreement. Without limiting the scope of the preceding sentence, except as provided therein, all prior understandings and agreements, if any, among the parties hereto relating to the subject matter hereof are hereby null and void and of no further force and effect. The Committee may, in its sole discretion, amend this Agreement from time to time in any manner that is not inconsistent with the Plan.</w:t>
      </w:r>
    </w:p>
    <w:p>
      <w:pPr>
        <w:pStyle w:val="TextBody"/>
        <w:spacing w:lineRule="auto" w:line="345" w:before="120" w:after="283"/>
        <w:ind w:left="0" w:right="0" w:firstLine="720"/>
        <w:jc w:val="both"/>
        <w:rPr/>
      </w:pPr>
      <w:r>
        <w:rPr>
          <w:rFonts w:ascii="Times New Roman;sans-serif" w:hAnsi="Times New Roman;sans-serif"/>
          <w:b w:val="false"/>
          <w:color w:val="000000"/>
          <w:sz w:val="22"/>
        </w:rPr>
        <w:t>13.</w:t>
      </w:r>
      <w:r>
        <w:rPr>
          <w:color w:val="000000"/>
        </w:rPr>
        <w:t xml:space="preserve"> </w:t>
      </w:r>
      <w:r>
        <w:rPr>
          <w:rFonts w:ascii="Times New Roman;sans-serif" w:hAnsi="Times New Roman;sans-serif"/>
          <w:b/>
          <w:color w:val="000000"/>
          <w:sz w:val="24"/>
          <w:u w:val="single"/>
        </w:rPr>
        <w:t>Governing Law</w:t>
      </w:r>
      <w:r>
        <w:rPr>
          <w:rFonts w:ascii="Times New Roman;sans-serif" w:hAnsi="Times New Roman;sans-serif"/>
          <w:b w:val="false"/>
          <w:color w:val="000000"/>
          <w:sz w:val="22"/>
        </w:rPr>
        <w:t>. This Agreement shall be governed by, and construed in accordance with, the laws of the State of Delaware, without regard to conflicts of law principles thereof.</w:t>
      </w:r>
    </w:p>
    <w:p>
      <w:pPr>
        <w:pStyle w:val="TextBody"/>
        <w:spacing w:lineRule="auto" w:line="345" w:before="120" w:after="283"/>
        <w:ind w:left="0" w:right="0" w:firstLine="720"/>
        <w:jc w:val="both"/>
        <w:rPr/>
      </w:pPr>
      <w:r>
        <w:rPr>
          <w:rFonts w:ascii="Times New Roman;sans-serif" w:hAnsi="Times New Roman;sans-serif"/>
          <w:b w:val="false"/>
          <w:color w:val="000000"/>
          <w:sz w:val="22"/>
        </w:rPr>
        <w:t>14.</w:t>
      </w:r>
      <w:r>
        <w:rPr>
          <w:color w:val="000000"/>
        </w:rPr>
        <w:t xml:space="preserve"> </w:t>
      </w:r>
      <w:r>
        <w:rPr>
          <w:rFonts w:ascii="Times New Roman;sans-serif" w:hAnsi="Times New Roman;sans-serif"/>
          <w:b/>
          <w:color w:val="000000"/>
          <w:sz w:val="24"/>
          <w:u w:val="single"/>
        </w:rPr>
        <w:t>Successors and Assigns</w:t>
      </w:r>
      <w:r>
        <w:rPr>
          <w:rFonts w:ascii="Times New Roman;sans-serif" w:hAnsi="Times New Roman;sans-serif"/>
          <w:b w:val="false"/>
          <w:color w:val="000000"/>
          <w:sz w:val="22"/>
        </w:rPr>
        <w:t>. The Company may assign any of its rights under this Agreement without the Participant’s consent. This Agreement will be binding upon and inure to the benefit of the successors and assigns of the Company. Subject to the restrictions on transfer set forth herein and in the Plan, this Agreement will be binding upon the Participant and the Participant’s beneficiaries, executors, administrators and the person(s) to whom this Award may be transferred by will or the laws of descent or distribution.</w:t>
      </w:r>
    </w:p>
    <w:p>
      <w:pPr>
        <w:pStyle w:val="TextBody"/>
        <w:spacing w:lineRule="auto" w:line="345" w:before="120" w:after="283"/>
        <w:ind w:left="0" w:right="0" w:firstLine="720"/>
        <w:jc w:val="both"/>
        <w:rPr/>
      </w:pPr>
      <w:r>
        <w:rPr>
          <w:rFonts w:ascii="Times New Roman;sans-serif" w:hAnsi="Times New Roman;sans-serif"/>
          <w:b w:val="false"/>
          <w:color w:val="000000"/>
          <w:sz w:val="22"/>
        </w:rPr>
        <w:t>15.</w:t>
      </w:r>
      <w:r>
        <w:rPr>
          <w:color w:val="000000"/>
        </w:rPr>
        <w:t xml:space="preserve"> </w:t>
      </w:r>
      <w:r>
        <w:rPr>
          <w:rFonts w:ascii="Times New Roman;sans-serif" w:hAnsi="Times New Roman;sans-serif"/>
          <w:b/>
          <w:color w:val="000000"/>
          <w:sz w:val="24"/>
          <w:u w:val="single"/>
        </w:rPr>
        <w:t>Clawback</w:t>
      </w:r>
      <w:r>
        <w:rPr>
          <w:rFonts w:ascii="Times New Roman;sans-serif" w:hAnsi="Times New Roman;sans-serif"/>
          <w:b w:val="false"/>
          <w:color w:val="000000"/>
          <w:sz w:val="22"/>
        </w:rPr>
        <w:t>. Notwithstanding any provision in this Agreement, the Grant Notice or the Plan to the contrary, to the extent required by (a) applicable law and/or (b) any policy that may be adopted or amended by the Board from time to time, all shares of Stock issued hereunder shall be subject to forfeiture, repurchase, recoupment and/or cancellation to the extent necessary to comply with such law(s) and/or policy.</w:t>
      </w:r>
    </w:p>
    <w:p>
      <w:pPr>
        <w:pStyle w:val="TextBody"/>
        <w:spacing w:lineRule="auto" w:line="345" w:before="120" w:after="283"/>
        <w:ind w:left="0" w:right="0" w:firstLine="720"/>
        <w:jc w:val="both"/>
        <w:rPr/>
      </w:pPr>
      <w:r>
        <w:rPr>
          <w:rFonts w:ascii="Times New Roman;sans-serif" w:hAnsi="Times New Roman;sans-serif"/>
          <w:b w:val="false"/>
          <w:color w:val="000000"/>
          <w:sz w:val="22"/>
        </w:rPr>
        <w:t>16.</w:t>
      </w:r>
      <w:r>
        <w:rPr>
          <w:color w:val="000000"/>
        </w:rPr>
        <w:t xml:space="preserve"> </w:t>
      </w:r>
      <w:r>
        <w:rPr>
          <w:rFonts w:ascii="Times New Roman;sans-serif" w:hAnsi="Times New Roman;sans-serif"/>
          <w:b/>
          <w:color w:val="000000"/>
          <w:sz w:val="24"/>
          <w:u w:val="single"/>
        </w:rPr>
        <w:t>Severability</w:t>
      </w:r>
      <w:r>
        <w:rPr>
          <w:rFonts w:ascii="Times New Roman;sans-serif" w:hAnsi="Times New Roman;sans-serif"/>
          <w:b w:val="false"/>
          <w:color w:val="000000"/>
          <w:sz w:val="22"/>
        </w:rPr>
        <w:t>. If a court of competent jurisdiction determines that any provision of this Agreement (or any portion thereof) is invalid or unenforceable, then the invalidity or unenforceability of such provision (or portion thereof) shall not affect the validity or enforceability of any other provision of this Agreement, and all other provisions shall remain in full force and effect</w:t>
      </w:r>
    </w:p>
    <w:p>
      <w:pPr>
        <w:pStyle w:val="TextBody"/>
        <w:spacing w:lineRule="auto" w:line="345" w:before="120" w:after="283"/>
        <w:ind w:left="0" w:right="0" w:firstLine="720"/>
        <w:jc w:val="both"/>
        <w:rPr/>
      </w:pPr>
      <w:r>
        <w:rPr>
          <w:rFonts w:ascii="Times New Roman;sans-serif" w:hAnsi="Times New Roman;sans-serif"/>
          <w:b w:val="false"/>
          <w:color w:val="000000"/>
          <w:sz w:val="22"/>
        </w:rPr>
        <w:t>17.</w:t>
      </w:r>
      <w:r>
        <w:rPr>
          <w:color w:val="000000"/>
        </w:rPr>
        <w:t xml:space="preserve"> </w:t>
      </w:r>
      <w:r>
        <w:rPr>
          <w:rFonts w:ascii="Times New Roman;sans-serif" w:hAnsi="Times New Roman;sans-serif"/>
          <w:b/>
          <w:color w:val="000000"/>
          <w:sz w:val="24"/>
          <w:u w:val="single"/>
        </w:rPr>
        <w:t>Section 409A</w:t>
      </w:r>
      <w:r>
        <w:rPr>
          <w:rFonts w:ascii="Times New Roman;sans-serif" w:hAnsi="Times New Roman;sans-serif"/>
          <w:b w:val="false"/>
          <w:color w:val="000000"/>
          <w:sz w:val="22"/>
        </w:rPr>
        <w:t>. Notwithstanding anything herein or in the Plan to the contrary, the PSUs granted pursuant to this Agreement are intended to be exempt from the applicable requirements of the Nonqualified Deferred Compensation Rules and shall be limited, construed and interpreted in accordance with such intent. Notwithstanding the foregoing, the Company and its Affiliates make no representations that the PSUs provided under this Agreement are exempt from or compliant with the Nonqualified Deferred Compensation Rules and in no event shall the Company or any Affiliate be liable for all or any portion of any taxes, penalties, interest or other expenses that may be incurred by the Participant on account of non-compliance with the Nonqualified Deferred Compensation Rules. The Participant’s employment shall terminate on the date that he or she experiences a “separation from service” as defined under the Nonqualified Deferred Compensation Rules.</w:t>
      </w:r>
    </w:p>
    <w:p>
      <w:pPr>
        <w:pStyle w:val="TextBody"/>
        <w:spacing w:lineRule="auto" w:line="345" w:before="12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[Remainder of Page Intentionally Blank]</w:t>
      </w:r>
    </w:p>
    <w:p>
      <w:pPr>
        <w:pStyle w:val="TextBody"/>
        <w:spacing w:before="120" w:after="283"/>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spacing w:lineRule="auto" w:line="417" w:before="16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spacing w:lineRule="auto" w:line="417"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Andrew Rubenstein, certify that:</w:t>
      </w:r>
    </w:p>
    <w:p>
      <w:pPr>
        <w:pStyle w:val="TextBody"/>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Accel Entertainment, Inc.;</w:t>
      </w:r>
    </w:p>
    <w:p>
      <w:pPr>
        <w:pStyle w:val="TextBody"/>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345" w:before="160" w:after="30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6401" w:type="dxa"/>
        <w:jc w:val="center"/>
        <w:tblInd w:w="0" w:type="dxa"/>
        <w:tblCellMar>
          <w:top w:w="28" w:type="dxa"/>
          <w:left w:w="28" w:type="dxa"/>
          <w:bottom w:w="28" w:type="dxa"/>
          <w:right w:w="28" w:type="dxa"/>
        </w:tblCellMar>
      </w:tblPr>
      <w:tblGrid>
        <w:gridCol w:w="591"/>
        <w:gridCol w:w="520"/>
        <w:gridCol w:w="523"/>
        <w:gridCol w:w="109"/>
        <w:gridCol w:w="109"/>
        <w:gridCol w:w="109"/>
        <w:gridCol w:w="1299"/>
        <w:gridCol w:w="1299"/>
        <w:gridCol w:w="1842"/>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842"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0" w:type="dxa"/>
            <w:gridSpan w:val="3"/>
            <w:tcBorders/>
            <w:shd w:fill="auto" w:val="clear"/>
            <w:tcMar>
              <w:top w:w="0" w:type="dxa"/>
              <w:left w:w="0" w:type="dxa"/>
              <w:bottom w:w="0" w:type="dxa"/>
              <w:right w:w="0" w:type="dxa"/>
            </w:tcMar>
            <w:vAlign w:val="center"/>
          </w:tcPr>
          <w:p>
            <w:pPr>
              <w:pStyle w:val="TableContents"/>
              <w:spacing w:lineRule="auto" w:line="240" w:before="40" w:after="40"/>
              <w:jc w:val="both"/>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Andrew Rubenstein</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Andrew Rubenstein</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spacing w:lineRule="auto" w:line="417" w:before="16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Mathew Ellis, certify that:</w:t>
      </w:r>
    </w:p>
    <w:p>
      <w:pPr>
        <w:pStyle w:val="TextBody"/>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Accel Entertainment, Inc.;</w:t>
      </w:r>
    </w:p>
    <w:p>
      <w:pPr>
        <w:pStyle w:val="TextBody"/>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345" w:before="160" w:after="30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6280" w:type="dxa"/>
        <w:jc w:val="center"/>
        <w:tblInd w:w="0" w:type="dxa"/>
        <w:tblCellMar>
          <w:top w:w="28" w:type="dxa"/>
          <w:left w:w="28" w:type="dxa"/>
          <w:bottom w:w="28" w:type="dxa"/>
          <w:right w:w="28" w:type="dxa"/>
        </w:tblCellMar>
      </w:tblPr>
      <w:tblGrid>
        <w:gridCol w:w="591"/>
        <w:gridCol w:w="520"/>
        <w:gridCol w:w="523"/>
        <w:gridCol w:w="109"/>
        <w:gridCol w:w="109"/>
        <w:gridCol w:w="109"/>
        <w:gridCol w:w="1264"/>
        <w:gridCol w:w="1264"/>
        <w:gridCol w:w="1791"/>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1791"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9" w:type="dxa"/>
            <w:gridSpan w:val="3"/>
            <w:tcBorders/>
            <w:shd w:fill="auto" w:val="clear"/>
            <w:tcMar>
              <w:top w:w="0" w:type="dxa"/>
              <w:left w:w="0" w:type="dxa"/>
              <w:bottom w:w="0" w:type="dxa"/>
              <w:right w:w="0" w:type="dxa"/>
            </w:tcMar>
            <w:vAlign w:val="center"/>
          </w:tcPr>
          <w:p>
            <w:pPr>
              <w:pStyle w:val="TableContents"/>
              <w:spacing w:lineRule="auto" w:line="240" w:before="40" w:after="40"/>
              <w:jc w:val="both"/>
              <w:rPr>
                <w:rFonts w:ascii="Times New Roman;sans-serif" w:hAnsi="Times New Roman;sans-serif"/>
                <w:b w:val="false"/>
                <w:i/>
                <w:color w:val="000000"/>
                <w:sz w:val="20"/>
              </w:rPr>
            </w:pPr>
            <w:r>
              <w:rPr>
                <w:rFonts w:ascii="Times New Roman;sans-serif" w:hAnsi="Times New Roman;sans-serif"/>
                <w:b w:val="false"/>
                <w:i/>
                <w:color w:val="000000"/>
                <w:sz w:val="20"/>
              </w:rPr>
              <w:t>/s/ Mathew Ellis</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Mathew Ellis</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w:t>
      </w:r>
    </w:p>
    <w:p>
      <w:pPr>
        <w:pStyle w:val="TextBody"/>
        <w:spacing w:lineRule="auto" w:line="417" w:before="160" w:after="283"/>
        <w:jc w:val="center"/>
        <w:rPr>
          <w:rFonts w:ascii="Times New Roman;sans-serif" w:hAnsi="Times New Roman;sans-serif"/>
          <w:b/>
          <w:color w:val="000000"/>
          <w:sz w:val="20"/>
        </w:rPr>
      </w:pPr>
      <w:r>
        <w:rPr>
          <w:rFonts w:ascii="Times New Roman;sans-serif" w:hAnsi="Times New Roman;sans-serif"/>
          <w:b/>
          <w:color w:val="000000"/>
          <w:sz w:val="20"/>
        </w:rPr>
        <w:t>Section 1350 Certification of Principal Executive Officer</w:t>
      </w:r>
    </w:p>
    <w:p>
      <w:pPr>
        <w:pStyle w:val="TextBody"/>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Accel Entertainment, Inc. (the “Company”) for the three months ended March 31, 2023 as filed with the Securities and Exchange Commission on the date hereof (the “Report”), I, Andrew Rubenstein, Chief Executive Officer of the Company, certify, to the best of my knowledge and belief, pursuant to 18 U.S.C. § 1350, as adopted pursuant to § 906 of the Sarbanes-Oxley Act of 2002, that:</w:t>
      </w:r>
    </w:p>
    <w:p>
      <w:pPr>
        <w:pStyle w:val="TextBody"/>
        <w:spacing w:lineRule="auto" w:line="345" w:before="180" w:after="283"/>
        <w:ind w:left="0" w:right="0" w:hanging="585"/>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(15 U.S.C. 78m(a) or 78o(d)); and</w:t>
      </w:r>
    </w:p>
    <w:p>
      <w:pPr>
        <w:pStyle w:val="TextBody"/>
        <w:spacing w:lineRule="auto" w:line="345" w:before="180" w:after="283"/>
        <w:ind w:left="0" w:right="0" w:hanging="585"/>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454" w:type="dxa"/>
        <w:jc w:val="left"/>
        <w:tblInd w:w="0" w:type="dxa"/>
        <w:tblCellMar>
          <w:top w:w="28" w:type="dxa"/>
          <w:left w:w="28" w:type="dxa"/>
          <w:bottom w:w="28" w:type="dxa"/>
          <w:right w:w="28" w:type="dxa"/>
        </w:tblCellMar>
      </w:tblPr>
      <w:tblGrid>
        <w:gridCol w:w="1425"/>
        <w:gridCol w:w="1253"/>
        <w:gridCol w:w="1776"/>
      </w:tblGrid>
      <w:tr>
        <w:trPr/>
        <w:tc>
          <w:tcPr>
            <w:tcW w:w="1425" w:type="dxa"/>
            <w:tcBorders/>
            <w:shd w:fill="auto" w:val="clear"/>
            <w:vAlign w:val="center"/>
          </w:tcPr>
          <w:p>
            <w:pPr>
              <w:pStyle w:val="TableContents"/>
              <w:spacing w:before="0" w:after="283"/>
              <w:rPr>
                <w:sz w:val="4"/>
                <w:szCs w:val="4"/>
              </w:rPr>
            </w:pPr>
            <w:r>
              <w:rPr>
                <w:sz w:val="4"/>
                <w:szCs w:val="4"/>
              </w:rPr>
            </w:r>
          </w:p>
        </w:tc>
        <w:tc>
          <w:tcPr>
            <w:tcW w:w="1253" w:type="dxa"/>
            <w:tcBorders/>
            <w:shd w:fill="auto" w:val="clear"/>
            <w:vAlign w:val="center"/>
          </w:tcPr>
          <w:p>
            <w:pPr>
              <w:pStyle w:val="TableContents"/>
              <w:spacing w:before="0" w:after="283"/>
              <w:rPr>
                <w:sz w:val="4"/>
                <w:szCs w:val="4"/>
              </w:rPr>
            </w:pPr>
            <w:r>
              <w:rPr>
                <w:sz w:val="4"/>
                <w:szCs w:val="4"/>
              </w:rPr>
            </w:r>
          </w:p>
        </w:tc>
        <w:tc>
          <w:tcPr>
            <w:tcW w:w="1776"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auto" w:val="clear"/>
            <w:tcMar>
              <w:top w:w="0" w:type="dxa"/>
              <w:left w:w="0" w:type="dxa"/>
              <w:bottom w:w="0" w:type="dxa"/>
              <w:right w:w="0" w:type="dxa"/>
            </w:tcMar>
            <w:vAlign w:val="center"/>
          </w:tcPr>
          <w:p>
            <w:pPr>
              <w:pStyle w:val="TableContents"/>
              <w:spacing w:lineRule="auto" w:line="240" w:before="40" w:after="40"/>
              <w:jc w:val="both"/>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Andrew Rubenstein</w:t>
            </w:r>
          </w:p>
        </w:tc>
      </w:tr>
      <w:tr>
        <w:trPr/>
        <w:tc>
          <w:tcPr>
            <w:tcW w:w="44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Andrew Rubenstein</w:t>
            </w:r>
          </w:p>
        </w:tc>
      </w:tr>
      <w:tr>
        <w:trPr/>
        <w:tc>
          <w:tcPr>
            <w:tcW w:w="44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r>
    </w:tbl>
    <w:p>
      <w:pPr>
        <w:pStyle w:val="TextBody"/>
        <w:spacing w:lineRule="auto" w:line="417"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3, 2023 </w:t>
      </w:r>
    </w:p>
    <w:p>
      <w:pPr>
        <w:pStyle w:val="TextBody"/>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Quarterly Report on Form 10-Q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Quarterly Report on Form 10-Q), irrespective of any general incorporation language contained in such filing.</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32.2</w:t>
      </w:r>
    </w:p>
    <w:p>
      <w:pPr>
        <w:pStyle w:val="TextBody"/>
        <w:spacing w:lineRule="auto" w:line="417" w:before="160" w:after="283"/>
        <w:jc w:val="center"/>
        <w:rPr>
          <w:rFonts w:ascii="Times New Roman;sans-serif" w:hAnsi="Times New Roman;sans-serif"/>
          <w:b/>
          <w:color w:val="000000"/>
          <w:sz w:val="20"/>
        </w:rPr>
      </w:pPr>
      <w:r>
        <w:rPr>
          <w:rFonts w:ascii="Times New Roman;sans-serif" w:hAnsi="Times New Roman;sans-serif"/>
          <w:b/>
          <w:color w:val="000000"/>
          <w:sz w:val="20"/>
        </w:rPr>
        <w:t>Section 1350 Certification of Principal Financial Officer</w:t>
      </w:r>
    </w:p>
    <w:p>
      <w:pPr>
        <w:pStyle w:val="TextBody"/>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Accel Entertainment, Inc. (the “Company”) for the three months ended March 31, 2023 as filed with the Securities and Exchange Commission on the date hereof (the “Report”), I, Mathew Ellis, Chief Financial Officer of the Company, certify, to the best of my knowledge and belief, pursuant to 18 U.S.C. § 1350, as adopted pursuant to § 906 of the Sarbanes-Oxley Act of 2002, that:</w:t>
      </w:r>
    </w:p>
    <w:p>
      <w:pPr>
        <w:pStyle w:val="TextBody"/>
        <w:spacing w:lineRule="auto" w:line="345" w:before="180" w:after="283"/>
        <w:ind w:left="0" w:right="0" w:hanging="585"/>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(15 U.S.C. 78m(a) or 78o(d)); and</w:t>
      </w:r>
    </w:p>
    <w:p>
      <w:pPr>
        <w:pStyle w:val="TextBody"/>
        <w:spacing w:lineRule="auto" w:line="345" w:before="180" w:after="283"/>
        <w:ind w:left="0" w:right="0" w:hanging="585"/>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334" w:type="dxa"/>
        <w:jc w:val="left"/>
        <w:tblInd w:w="0" w:type="dxa"/>
        <w:tblCellMar>
          <w:top w:w="28" w:type="dxa"/>
          <w:left w:w="28" w:type="dxa"/>
          <w:bottom w:w="28" w:type="dxa"/>
          <w:right w:w="28" w:type="dxa"/>
        </w:tblCellMar>
      </w:tblPr>
      <w:tblGrid>
        <w:gridCol w:w="1386"/>
        <w:gridCol w:w="1217"/>
        <w:gridCol w:w="1731"/>
      </w:tblGrid>
      <w:tr>
        <w:trPr/>
        <w:tc>
          <w:tcPr>
            <w:tcW w:w="1386"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1731"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240" w:before="40" w:after="40"/>
              <w:jc w:val="both"/>
              <w:rPr>
                <w:rFonts w:ascii="Times New Roman;sans-serif" w:hAnsi="Times New Roman;sans-serif"/>
                <w:b w:val="false"/>
                <w:i/>
                <w:color w:val="000000"/>
                <w:sz w:val="20"/>
              </w:rPr>
            </w:pPr>
            <w:r>
              <w:rPr>
                <w:rFonts w:ascii="Times New Roman;sans-serif" w:hAnsi="Times New Roman;sans-serif"/>
                <w:b w:val="false"/>
                <w:i/>
                <w:color w:val="000000"/>
                <w:sz w:val="20"/>
              </w:rPr>
              <w:t>/s/ Mathew Ellis</w:t>
            </w:r>
          </w:p>
        </w:tc>
      </w:tr>
      <w:tr>
        <w:trPr/>
        <w:tc>
          <w:tcPr>
            <w:tcW w:w="43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Mathew Ellis</w:t>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spacing w:lineRule="auto" w:line="417"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3, 2023 </w:t>
      </w:r>
    </w:p>
    <w:p>
      <w:pPr>
        <w:pStyle w:val="TextBody"/>
        <w:spacing w:lineRule="auto" w:line="345"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Quarterly Report on Form 10-Q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Quarterly Report on Form 10-Q), irrespective of any general incorporation language contained in such filing.</w:t>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23</Pages>
  <Words>26814</Words>
  <CharactersWithSpaces>172819</CharactersWithSpaces>
  <Paragraphs>2030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