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March 31, 2025</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2"/>
        </w:rPr>
        <w:t>Accel Entertainment, Inc.</w:t>
      </w:r>
      <w:r>
        <w:rPr>
          <w:color w:val="000000"/>
        </w:rPr>
        <w:t xml:space="preserve">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449"/>
        <w:gridCol w:w="396"/>
        <w:gridCol w:w="396"/>
        <w:gridCol w:w="396"/>
        <w:gridCol w:w="396"/>
        <w:gridCol w:w="409"/>
        <w:gridCol w:w="455"/>
        <w:gridCol w:w="455"/>
        <w:gridCol w:w="650"/>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98-1350261</w:t>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140 Tower Drive</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Burr Ridge, Illinois 60527 </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(Zip Code)</w:t>
            </w:r>
          </w:p>
        </w:tc>
      </w:tr>
    </w:tbl>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94"/>
        <w:gridCol w:w="1222"/>
        <w:gridCol w:w="1239"/>
        <w:gridCol w:w="444"/>
        <w:gridCol w:w="444"/>
        <w:gridCol w:w="446"/>
        <w:gridCol w:w="970"/>
        <w:gridCol w:w="970"/>
        <w:gridCol w:w="1374"/>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ACEL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May 1, 2025, there were 84,641,287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2025 </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7"/>
        <w:gridCol w:w="269"/>
        <w:gridCol w:w="272"/>
        <w:gridCol w:w="3018"/>
        <w:gridCol w:w="2979"/>
        <w:gridCol w:w="2986"/>
        <w:gridCol w:w="109"/>
        <w:gridCol w:w="109"/>
        <w:gridCol w:w="156"/>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0">
              <w:r>
                <w:rPr>
                  <w:rStyle w:val="InternetLink"/>
                  <w:rFonts w:ascii="Times New Roman;sans-serif" w:hAnsi="Times New Roman;sans-serif"/>
                  <w:b/>
                  <w:strike w:val="false"/>
                  <w:dstrike w:val="false"/>
                  <w:color w:val="000000"/>
                  <w:sz w:val="20"/>
                  <w:u w:val="none"/>
                  <w:effect w:val="none"/>
                </w:rPr>
                <w:t>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0">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(Unaudited) for the three months ended March 31, 2025 and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6">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(Unaudited) as of March 31, 2025 and December 31,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9">
              <w:r>
                <w:rPr>
                  <w:rStyle w:val="InternetLink"/>
                  <w:rFonts w:ascii="Times New Roman;sans-serif" w:hAnsi="Times New Roman;sans-serif"/>
                  <w:b w:val="false"/>
                  <w:strike w:val="false"/>
                  <w:dstrike w:val="false"/>
                  <w:color w:val="0000FF"/>
                  <w:sz w:val="20"/>
                  <w:u w:val="none"/>
                  <w:effect w:val="none"/>
                </w:rPr>
                <w:t>2</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22">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r>
              <w:rPr>
                <w:rFonts w:ascii="Times New Roman;sans-serif" w:hAnsi="Times New Roman;sans-serif"/>
                <w:b w:val="false"/>
                <w:color w:val="000000"/>
                <w:sz w:val="20"/>
              </w:rPr>
              <w:t xml:space="preserve"> (Unaudited) for the three months ended March 31, 2025 and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2">
              <w:r>
                <w:rPr>
                  <w:rStyle w:val="InternetLink"/>
                  <w:rFonts w:ascii="Times New Roman;sans-serif" w:hAnsi="Times New Roman;sans-serif"/>
                  <w:b w:val="false"/>
                  <w:strike w:val="false"/>
                  <w:dstrike w:val="false"/>
                  <w:color w:val="0000FF"/>
                  <w:sz w:val="20"/>
                  <w:u w:val="none"/>
                  <w:effect w:val="none"/>
                </w:rPr>
                <w:t>3</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 for the three months ended March 31, 2025 and 2024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5">
              <w:r>
                <w:rPr>
                  <w:rStyle w:val="InternetLink"/>
                  <w:rFonts w:ascii="Times New Roman;sans-serif" w:hAnsi="Times New Roman;sans-serif"/>
                  <w:b w:val="false"/>
                  <w:strike w:val="false"/>
                  <w:dstrike w:val="false"/>
                  <w:color w:val="0000FF"/>
                  <w:sz w:val="20"/>
                  <w:u w:val="none"/>
                  <w:effect w:val="none"/>
                </w:rPr>
                <w:t>4</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Condensed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8">
              <w:r>
                <w:rPr>
                  <w:rStyle w:val="InternetLink"/>
                  <w:rFonts w:ascii="Times New Roman;sans-serif" w:hAnsi="Times New Roman;sans-serif"/>
                  <w:b w:val="false"/>
                  <w:strike w:val="false"/>
                  <w:dstrike w:val="false"/>
                  <w:color w:val="0000FF"/>
                  <w:sz w:val="20"/>
                  <w:u w:val="none"/>
                  <w:effect w:val="none"/>
                </w:rPr>
                <w:t>6</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88">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88">
              <w:r>
                <w:rPr>
                  <w:rStyle w:val="InternetLink"/>
                  <w:rFonts w:ascii="Times New Roman;sans-serif" w:hAnsi="Times New Roman;sans-serif"/>
                  <w:b w:val="false"/>
                  <w:strike w:val="false"/>
                  <w:dstrike w:val="false"/>
                  <w:color w:val="0000FF"/>
                  <w:sz w:val="20"/>
                  <w:u w:val="none"/>
                  <w:effect w:val="none"/>
                </w:rPr>
                <w:t>27</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18">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18">
              <w:r>
                <w:rPr>
                  <w:rStyle w:val="InternetLink"/>
                  <w:rFonts w:ascii="Times New Roman;sans-serif" w:hAnsi="Times New Roman;sans-serif"/>
                  <w:b w:val="false"/>
                  <w:strike w:val="false"/>
                  <w:dstrike w:val="false"/>
                  <w:color w:val="0000FF"/>
                  <w:sz w:val="20"/>
                  <w:u w:val="none"/>
                  <w:effect w:val="none"/>
                </w:rPr>
                <w:t>38</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1">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1">
              <w:r>
                <w:rPr>
                  <w:rStyle w:val="InternetLink"/>
                  <w:rFonts w:ascii="Times New Roman;sans-serif" w:hAnsi="Times New Roman;sans-serif"/>
                  <w:b w:val="false"/>
                  <w:strike w:val="false"/>
                  <w:dstrike w:val="false"/>
                  <w:color w:val="0000FF"/>
                  <w:sz w:val="20"/>
                  <w:u w:val="none"/>
                  <w:effect w:val="none"/>
                </w:rPr>
                <w:t>38</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4">
              <w:r>
                <w:rPr>
                  <w:rStyle w:val="InternetLink"/>
                  <w:rFonts w:ascii="Times New Roman;sans-serif" w:hAnsi="Times New Roman;sans-serif"/>
                  <w:b/>
                  <w:strike w:val="false"/>
                  <w:dstrike w:val="false"/>
                  <w:color w:val="000000"/>
                  <w:sz w:val="20"/>
                  <w:u w:val="none"/>
                  <w:effect w:val="non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4">
              <w:r>
                <w:rPr>
                  <w:rStyle w:val="InternetLink"/>
                  <w:rFonts w:ascii="Times New Roman;sans-serif" w:hAnsi="Times New Roman;sans-serif"/>
                  <w:b w:val="false"/>
                  <w:strike w:val="false"/>
                  <w:dstrike w:val="false"/>
                  <w:color w:val="0000FF"/>
                  <w:sz w:val="20"/>
                  <w:u w:val="none"/>
                  <w:effect w:val="none"/>
                </w:rPr>
                <w:t>39</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7">
              <w:r>
                <w:rPr>
                  <w:rStyle w:val="InternetLink"/>
                  <w:rFonts w:ascii="Times New Roman;sans-serif" w:hAnsi="Times New Roman;sans-serif"/>
                  <w:b w:val="false"/>
                  <w:strike w:val="false"/>
                  <w:dstrike w:val="false"/>
                  <w:color w:val="000000"/>
                  <w:sz w:val="20"/>
                  <w:u w:val="none"/>
                  <w:effect w:val="non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7">
              <w:r>
                <w:rPr>
                  <w:rStyle w:val="InternetLink"/>
                  <w:rFonts w:ascii="Times New Roman;sans-serif" w:hAnsi="Times New Roman;sans-serif"/>
                  <w:b w:val="false"/>
                  <w:strike w:val="false"/>
                  <w:dstrike w:val="false"/>
                  <w:color w:val="0000FF"/>
                  <w:sz w:val="20"/>
                  <w:u w:val="none"/>
                  <w:effect w:val="none"/>
                </w:rPr>
                <w:t>39</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0">
              <w:r>
                <w:rPr>
                  <w:rStyle w:val="InternetLink"/>
                  <w:rFonts w:ascii="Times New Roman;sans-serif" w:hAnsi="Times New Roman;sans-serif"/>
                  <w:b w:val="false"/>
                  <w:strike w:val="false"/>
                  <w:dstrike w:val="false"/>
                  <w:color w:val="000000"/>
                  <w:sz w:val="20"/>
                  <w:u w:val="none"/>
                  <w:effect w:val="non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0">
              <w:r>
                <w:rPr>
                  <w:rStyle w:val="InternetLink"/>
                  <w:rFonts w:ascii="Times New Roman;sans-serif" w:hAnsi="Times New Roman;sans-serif"/>
                  <w:b w:val="false"/>
                  <w:strike w:val="false"/>
                  <w:dstrike w:val="false"/>
                  <w:color w:val="0000FF"/>
                  <w:sz w:val="20"/>
                  <w:u w:val="none"/>
                  <w:effect w:val="none"/>
                </w:rPr>
                <w:t>39</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3">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3">
              <w:r>
                <w:rPr>
                  <w:rStyle w:val="InternetLink"/>
                  <w:rFonts w:ascii="Times New Roman;sans-serif" w:hAnsi="Times New Roman;sans-serif"/>
                  <w:b w:val="false"/>
                  <w:strike w:val="false"/>
                  <w:dstrike w:val="false"/>
                  <w:color w:val="0000FF"/>
                  <w:sz w:val="20"/>
                  <w:u w:val="none"/>
                  <w:effect w:val="none"/>
                </w:rPr>
                <w:t>39</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6">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6">
              <w:r>
                <w:rPr>
                  <w:rStyle w:val="InternetLink"/>
                  <w:rFonts w:ascii="Times New Roman;sans-serif" w:hAnsi="Times New Roman;sans-serif"/>
                  <w:b w:val="false"/>
                  <w:strike w:val="false"/>
                  <w:dstrike w:val="false"/>
                  <w:color w:val="0000FF"/>
                  <w:sz w:val="20"/>
                  <w:u w:val="none"/>
                  <w:effect w:val="none"/>
                </w:rPr>
                <w:t>40</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9">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9">
              <w:r>
                <w:rPr>
                  <w:rStyle w:val="InternetLink"/>
                  <w:rFonts w:ascii="Times New Roman;sans-serif" w:hAnsi="Times New Roman;sans-serif"/>
                  <w:b w:val="false"/>
                  <w:strike w:val="false"/>
                  <w:dstrike w:val="false"/>
                  <w:color w:val="0000FF"/>
                  <w:sz w:val="20"/>
                  <w:u w:val="none"/>
                  <w:effect w:val="none"/>
                </w:rPr>
                <w:t>40</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2">
              <w:r>
                <w:rPr>
                  <w:rStyle w:val="InternetLink"/>
                  <w:rFonts w:ascii="Times New Roman;sans-serif" w:hAnsi="Times New Roman;sans-serif"/>
                  <w:b w:val="false"/>
                  <w:strike w:val="false"/>
                  <w:dstrike w:val="false"/>
                  <w:color w:val="0000FF"/>
                  <w:sz w:val="20"/>
                  <w:u w:val="none"/>
                  <w:effect w:val="none"/>
                </w:rPr>
                <w:t>40</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48">
              <w:r>
                <w:rPr>
                  <w:rStyle w:val="InternetLink"/>
                  <w:rFonts w:ascii="Times New Roman;sans-serif" w:hAnsi="Times New Roman;sans-serif"/>
                  <w:b w:val="false"/>
                  <w:strike w:val="false"/>
                  <w:dstrike w:val="false"/>
                  <w:color w:val="000000"/>
                  <w:sz w:val="20"/>
                  <w:u w:val="none"/>
                  <w:effect w:val="non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8">
              <w:r>
                <w:rPr>
                  <w:rStyle w:val="InternetLink"/>
                  <w:rFonts w:ascii="Times New Roman;sans-serif" w:hAnsi="Times New Roman;sans-serif"/>
                  <w:b w:val="false"/>
                  <w:strike w:val="false"/>
                  <w:dstrike w:val="false"/>
                  <w:color w:val="0000FF"/>
                  <w:sz w:val="20"/>
                  <w:u w:val="none"/>
                  <w:effect w:val="none"/>
                </w:rPr>
                <w:t>41</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51">
              <w:r>
                <w:rPr>
                  <w:rStyle w:val="InternetLink"/>
                  <w:rFonts w:ascii="Times New Roman;sans-serif" w:hAnsi="Times New Roman;sans-serif"/>
                  <w:b w:val="false"/>
                  <w:strike w:val="false"/>
                  <w:dstrike w:val="false"/>
                  <w:color w:val="000000"/>
                  <w:sz w:val="20"/>
                  <w:u w:val="none"/>
                  <w:effect w:val="non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51">
              <w:r>
                <w:rPr>
                  <w:rStyle w:val="InternetLink"/>
                  <w:rFonts w:ascii="Times New Roman;sans-serif" w:hAnsi="Times New Roman;sans-serif"/>
                  <w:b w:val="false"/>
                  <w:strike w:val="false"/>
                  <w:dstrike w:val="false"/>
                  <w:color w:val="0000FF"/>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2658"/>
        <w:gridCol w:w="2216"/>
        <w:gridCol w:w="2230"/>
        <w:gridCol w:w="211"/>
        <w:gridCol w:w="826"/>
        <w:gridCol w:w="109"/>
        <w:gridCol w:w="109"/>
        <w:gridCol w:w="109"/>
        <w:gridCol w:w="109"/>
        <w:gridCol w:w="211"/>
        <w:gridCol w:w="826"/>
        <w:gridCol w:w="109"/>
        <w:gridCol w:w="109"/>
        <w:gridCol w:w="109"/>
        <w:gridCol w:w="109"/>
        <w:gridCol w:w="155"/>
      </w:tblGrid>
      <w:tr>
        <w:trPr/>
        <w:tc>
          <w:tcPr>
            <w:tcW w:w="2658"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before income tax expense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Less: Net income attributed to redeemable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gain on interest rate caplets (net of income tax (benefit) expense of $(426), and $405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Less: Comprehensive income attributable to redeemable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Accel Entertainment,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26"/>
        <w:gridCol w:w="2168"/>
        <w:gridCol w:w="2185"/>
        <w:gridCol w:w="196"/>
        <w:gridCol w:w="871"/>
        <w:gridCol w:w="109"/>
        <w:gridCol w:w="109"/>
        <w:gridCol w:w="109"/>
        <w:gridCol w:w="109"/>
        <w:gridCol w:w="196"/>
        <w:gridCol w:w="871"/>
        <w:gridCol w:w="156"/>
      </w:tblGrid>
      <w:tr>
        <w:trPr/>
        <w:tc>
          <w:tcPr>
            <w:tcW w:w="312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1,048,398 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Liabilities, Temporary equity,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670,738 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Temporary equity - Redeemable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March 31, 2025 and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96,110,689 shares issued and 84,927,240 shares outstanding at March 31, 2025; 95,865,026 shares issued and 85,670,255 shares outstanding at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Total liabilities, temporary equity,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1,048,398 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635" w:type="dxa"/>
        <w:jc w:val="center"/>
        <w:tblInd w:w="0" w:type="dxa"/>
        <w:tblLayout w:type="fixed"/>
        <w:tblCellMar>
          <w:top w:w="28" w:type="dxa"/>
          <w:left w:w="28" w:type="dxa"/>
          <w:bottom w:w="28" w:type="dxa"/>
          <w:right w:w="28" w:type="dxa"/>
        </w:tblCellMar>
      </w:tblPr>
      <w:tblGrid>
        <w:gridCol w:w="591"/>
        <w:gridCol w:w="282"/>
        <w:gridCol w:w="283"/>
        <w:gridCol w:w="259"/>
        <w:gridCol w:w="736"/>
        <w:gridCol w:w="14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January 1, 2025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85,670,255 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(10,194,771)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84,927,240 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(11,183,449)</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560" w:type="dxa"/>
        <w:jc w:val="center"/>
        <w:tblInd w:w="0" w:type="dxa"/>
        <w:tblLayout w:type="fixed"/>
        <w:tblCellMar>
          <w:top w:w="28" w:type="dxa"/>
          <w:left w:w="28" w:type="dxa"/>
          <w:bottom w:w="28" w:type="dxa"/>
          <w:right w:w="28" w:type="dxa"/>
        </w:tblCellMar>
      </w:tblPr>
      <w:tblGrid>
        <w:gridCol w:w="516"/>
        <w:gridCol w:w="282"/>
        <w:gridCol w:w="283"/>
        <w:gridCol w:w="314"/>
        <w:gridCol w:w="651"/>
        <w:gridCol w:w="17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January 1, 2024</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84,123,385 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(10,893,575)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83,778,268 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(11,488,392)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deposits and other current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Deposits against a portion of the purchase price on a pending business acquisition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(25,896)</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stock-based awards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decrease in cash and cash equivalents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(7,692)</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271,939 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253,919 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8"/>
        <w:gridCol w:w="1524"/>
        <w:gridCol w:w="1513"/>
        <w:gridCol w:w="467"/>
        <w:gridCol w:w="1543"/>
        <w:gridCol w:w="259"/>
        <w:gridCol w:w="259"/>
        <w:gridCol w:w="259"/>
        <w:gridCol w:w="259"/>
        <w:gridCol w:w="467"/>
        <w:gridCol w:w="1543"/>
        <w:gridCol w:w="374"/>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 - (Continued)</w:t>
              <w:br/>
              <w:t>(Unaudited)</w:t>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net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schedules of noncash investing and financing activities: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premium on interest rate caplets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 acquired</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shd w:fill="FFFFFF" w:val="clear"/>
        </w:rPr>
        <w:t xml:space="preserve">the </w:t>
      </w:r>
      <w:r>
        <w:rPr>
          <w:color w:val="000000"/>
        </w:rPr>
        <w:t>“</w:t>
      </w:r>
      <w:r>
        <w:rPr>
          <w:rFonts w:ascii="Times New Roman;sans-serif" w:hAnsi="Times New Roman;sans-serif"/>
          <w:b w:val="false"/>
          <w:color w:val="000000"/>
          <w:sz w:val="20"/>
          <w:shd w:fill="FFFFFF" w:val="clear"/>
        </w:rPr>
        <w:t>Company</w:t>
      </w:r>
      <w:r>
        <w:rPr>
          <w:color w:val="000000"/>
        </w:rPr>
        <w:t xml:space="preserve">” </w:t>
      </w:r>
      <w:r>
        <w:rPr>
          <w:rFonts w:ascii="Times New Roman;sans-serif" w:hAnsi="Times New Roman;sans-serif"/>
          <w:b w:val="false"/>
          <w:color w:val="000000"/>
          <w:sz w:val="20"/>
        </w:rPr>
        <w:t>or “Accel”)</w:t>
      </w:r>
      <w:r>
        <w:rPr>
          <w:color w:val="000000"/>
          <w:shd w:fill="FFFFFF" w:val="clear"/>
        </w:rPr>
        <w:t xml:space="preserve"> </w:t>
      </w:r>
      <w:r>
        <w:rPr>
          <w:rFonts w:ascii="Times New Roman;sans-serif" w:hAnsi="Times New Roman;sans-serif"/>
          <w:b w:val="false"/>
          <w:color w:val="000000"/>
          <w:sz w:val="20"/>
          <w:shd w:fill="FFFFFF" w:val="clear"/>
        </w:rPr>
        <w:t>is a leading distributed gaming operator in the United States (“U.S.”), as well as a developer of brick-and-mortar casinos that serve local gaming markets and horse racing venues. The Company has operations in Illinois, Montana, Nevada, Nebraska, Georgia, Iowa, Louisiana and Pennsylvania. The Company is subject to the various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as well as casinos and horse racing venues. The Company also operates stand-alone ATMs in gaming and non-gaming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ans-serif" w:hAnsi="Times New Roman;sans-serif"/>
          <w:b/>
          <w:color w:val="000000"/>
          <w:sz w:val="20"/>
          <w:shd w:fill="FFFFFF" w:val="clear"/>
        </w:rPr>
        <w:t>Basis of presentation and preparation</w:t>
      </w:r>
      <w:r>
        <w:rPr>
          <w:rFonts w:ascii="Times New Roman;sans-serif" w:hAnsi="Times New Roman;sans-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condensed consolidated financial statements include the accounts of the Company and of its wholly-owned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2024 </w:t>
      </w:r>
      <w:r>
        <w:rPr>
          <w:rFonts w:ascii="Times New Roman;sans-serif" w:hAnsi="Times New Roman;sans-serif"/>
          <w:b w:val="false"/>
          <w:color w:val="000000"/>
          <w:sz w:val="20"/>
          <w:shd w:fill="FFFFFF" w:val="clear"/>
        </w:rPr>
        <w:t>(the “Form 10-K”)</w:t>
      </w:r>
      <w:r>
        <w:rPr>
          <w:rFonts w:ascii="Times New Roman;sans-serif" w:hAnsi="Times New Roman;sans-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ans-serif" w:hAnsi="Times New Roman;sans-serif"/>
          <w:b/>
          <w:color w:val="000000"/>
          <w:sz w:val="20"/>
          <w:shd w:fill="FFFFFF" w:val="clear"/>
        </w:rPr>
        <w:t>Use of estimates</w:t>
      </w:r>
      <w:r>
        <w:rPr>
          <w:rFonts w:ascii="Times New Roman;sans-serif" w:hAnsi="Times New Roman;sans-serif"/>
          <w:b w:val="false"/>
          <w:color w:val="000000"/>
          <w:sz w:val="20"/>
          <w:shd w:fill="FFFFFF" w:val="clear"/>
        </w:rPr>
        <w:t>: The preparation of the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the valuation of interest rate caplets, contingencies, and the expected term of share-based compensation awards and stock price volatility when computing stock-based compensation expense. Actual results may differ from those estimates.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color w:val="000000"/>
          <w:sz w:val="20"/>
          <w:shd w:fill="FFFFFF" w:val="clear"/>
        </w:rPr>
        <w:t>Equity method investments:</w:t>
      </w:r>
      <w:r>
        <w:rPr>
          <w:color w:val="000000"/>
          <w:shd w:fill="FFFFFF" w:val="clear"/>
        </w:rPr>
        <w:t xml:space="preserve"> </w:t>
      </w:r>
      <w:r>
        <w:rPr>
          <w:rFonts w:ascii="Times New Roman;sans-serif" w:hAnsi="Times New Roman;sans-serif"/>
          <w:b w:val="false"/>
          <w:color w:val="000000"/>
          <w:sz w:val="20"/>
          <w:shd w:fill="FFFFFF" w:val="clear"/>
        </w:rPr>
        <w:t xml:space="preserve">In the normal course of business, the Company makes investments within companies that will allow it to expand the Company’s core business 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Among the factors the Company’s management assesses whether it has a </w:t>
      </w:r>
      <w:r>
        <w:rPr>
          <w:rFonts w:ascii="Times New Roman;sans-serif" w:hAnsi="Times New Roman;sans-serif"/>
          <w:b w:val="false"/>
          <w:color w:val="000000"/>
          <w:sz w:val="20"/>
        </w:rPr>
        <w:t xml:space="preserve">controlling financial interest </w:t>
      </w:r>
      <w:r>
        <w:rPr>
          <w:rFonts w:ascii="Times New Roman;sans-serif" w:hAnsi="Times New Roman;sans-serif"/>
          <w:b w:val="false"/>
          <w:color w:val="000000"/>
          <w:sz w:val="20"/>
          <w:shd w:fill="FFFFFF" w:val="clear"/>
        </w:rPr>
        <w:t xml:space="preserve">is the Company’s risk of loss, its investment percentage and its ability to control the operations of the investment. If the Company determines it is not the primary beneficiary, it will account for the investment under the equity method of accounting. </w:t>
      </w:r>
    </w:p>
    <w:p>
      <w:pPr>
        <w:pStyle w:val="TextBody"/>
        <w:bidi w:val="0"/>
        <w:spacing w:lineRule="auto" w:line="345" w:before="180" w:after="283"/>
        <w:jc w:val="both"/>
        <w:rPr/>
      </w:pPr>
      <w:r>
        <w:rPr>
          <w:rFonts w:ascii="Times New Roman;sans-serif" w:hAnsi="Times New Roman;sans-serif"/>
          <w:b w:val="false"/>
          <w:color w:val="000000"/>
          <w:sz w:val="20"/>
        </w:rPr>
        <w:t xml:space="preserve">The Company accounts for its investments in unconsolidated affiliates, which do not meet the controlling financial interest consolidation criteria of the authoritative accounting guidance for VIEs, under the equity method of accounting. Under the equity method of accounting, </w:t>
      </w:r>
      <w:r>
        <w:rPr>
          <w:rFonts w:ascii="Times New Roman;sans-serif" w:hAnsi="Times New Roman;sans-serif"/>
          <w:b w:val="false"/>
          <w:color w:val="000000"/>
          <w:sz w:val="20"/>
          <w:shd w:fill="FFFFFF" w:val="clear"/>
        </w:rPr>
        <w:t xml:space="preserve">the Company records its share of net income or loss from equity method investments within (income) loss from unconsolidated affiliates in the condensed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 </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On June 17, 2024, the Company invested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 xml:space="preserve">in HBC Gaming LLC (“HBC”), in exchange for a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equity interest. HBC is a local entertainment company based in Hampton, New Hampshire that specializes in providing a variety of gaming services to its customers. The Company’s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investment qualifies for equity method accounting. The Company recorded its initial investment of </w:t>
      </w:r>
      <w:r>
        <w:rPr>
          <w:rFonts w:ascii="Times New Roman;sans-serif" w:hAnsi="Times New Roman;sans-serif"/>
          <w:b w:val="false"/>
          <w:color w:val="000000"/>
          <w:sz w:val="20"/>
        </w:rPr>
        <w:t>$5.0 million within other assets on th</w:t>
      </w:r>
      <w:r>
        <w:rPr>
          <w:rFonts w:ascii="Times New Roman;sans-serif" w:hAnsi="Times New Roman;sans-serif"/>
          <w:b w:val="false"/>
          <w:color w:val="000000"/>
          <w:sz w:val="20"/>
          <w:shd w:fill="FFFFFF" w:val="clear"/>
        </w:rPr>
        <w:t xml:space="preserve">e condensed consolidated balance sheets. The Company also has obligations to fund additional equity investments in the event certain construction and development milestones are met in an amount up to </w:t>
      </w:r>
      <w:r>
        <w:rPr>
          <w:rFonts w:ascii="Times New Roman;sans-serif" w:hAnsi="Times New Roman;sans-serif"/>
          <w:b w:val="false"/>
          <w:color w:val="000000"/>
          <w:sz w:val="20"/>
        </w:rPr>
        <w:t>10%</w:t>
      </w:r>
      <w:r>
        <w:rPr>
          <w:color w:val="000000"/>
          <w:shd w:fill="FFFFFF" w:val="clear"/>
        </w:rPr>
        <w:t xml:space="preserve"> </w:t>
      </w:r>
      <w:r>
        <w:rPr>
          <w:rFonts w:ascii="Times New Roman;sans-serif" w:hAnsi="Times New Roman;sans-serif"/>
          <w:b w:val="false"/>
          <w:color w:val="000000"/>
          <w:sz w:val="20"/>
          <w:shd w:fill="FFFFFF" w:val="clear"/>
        </w:rPr>
        <w:t xml:space="preserve">ownership of HBC, on an undiluted basis, at an additional cost of up to </w:t>
      </w:r>
      <w:r>
        <w:rPr>
          <w:rFonts w:ascii="Times New Roman;sans-serif" w:hAnsi="Times New Roman;sans-serif"/>
          <w:b w:val="false"/>
          <w:color w:val="000000"/>
          <w:sz w:val="20"/>
        </w:rPr>
        <w:t>$6.5 million</w:t>
      </w:r>
      <w:r>
        <w:rPr>
          <w:rFonts w:ascii="Times New Roman;sans-serif" w:hAnsi="Times New Roman;sans-serif"/>
          <w:b w:val="false"/>
          <w:color w:val="000000"/>
          <w:sz w:val="20"/>
          <w:shd w:fill="FFFFFF" w:val="clear"/>
        </w:rPr>
        <w: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The Company recorded a loss from unconsolidated affiliates of less than </w:t>
      </w:r>
      <w:r>
        <w:rPr>
          <w:rFonts w:ascii="Times New Roman;sans-serif" w:hAnsi="Times New Roman;sans-serif"/>
          <w:b w:val="false"/>
          <w:color w:val="000000"/>
          <w:sz w:val="20"/>
        </w:rPr>
        <w:t xml:space="preserve">$0.1 million for the three months ended </w:t>
      </w:r>
      <w:r>
        <w:rPr>
          <w:rFonts w:ascii="Times New Roman;sans-serif" w:hAnsi="Times New Roman;sans-serif"/>
          <w:b w:val="false"/>
          <w:color w:val="000000"/>
          <w:sz w:val="20"/>
          <w:shd w:fill="FFFFFF" w:val="clear"/>
        </w:rPr>
        <w:t>March 31, 2025.</w:t>
      </w:r>
    </w:p>
    <w:p>
      <w:pPr>
        <w:pStyle w:val="TextBody"/>
        <w:bidi w:val="0"/>
        <w:spacing w:lineRule="auto" w:line="345" w:before="160" w:after="283"/>
        <w:jc w:val="both"/>
        <w:rPr/>
      </w:pPr>
      <w:r>
        <w:rPr>
          <w:rFonts w:ascii="Times New Roman;sans-serif" w:hAnsi="Times New Roman;sans-serif"/>
          <w:b/>
          <w:color w:val="000000"/>
          <w:sz w:val="20"/>
          <w:shd w:fill="FFFFFF" w:val="clear"/>
        </w:rPr>
        <w:t>Revenue recognition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primarily generates revenues from the following types of services: gaming terminals, amusements, and ATMs. The Company also generates manufacturing revenue from the sale of gaming terminals and associated software, as well as revenue from its racing operations. Revenue is disaggregated by type of revenue and is presented on the face of the condensed consolidated statements of operations and comprehensive income.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Total net revenues for the three months ended </w:t>
      </w:r>
      <w:r>
        <w:rPr>
          <w:rFonts w:ascii="Times New Roman;sans-serif" w:hAnsi="Times New Roman;sans-serif"/>
          <w:b w:val="false"/>
          <w:color w:val="000000"/>
          <w:sz w:val="20"/>
        </w:rPr>
        <w:t>March 31,</w:t>
      </w:r>
      <w:r>
        <w:rPr>
          <w:color w:val="000000"/>
          <w:shd w:fill="FFFFFF" w:val="clear"/>
        </w:rPr>
        <w:t xml:space="preserve"> </w:t>
      </w:r>
      <w:r>
        <w:rPr>
          <w:rFonts w:ascii="Times New Roman;sans-serif" w:hAnsi="Times New Roman;sans-serif"/>
          <w:b w:val="false"/>
          <w:color w:val="000000"/>
          <w:sz w:val="20"/>
          <w:shd w:fill="FFFFFF" w:val="clear"/>
        </w:rPr>
        <w:t>2025 and 2024 is disaggregated in the following table by the primary states in which the Company operates.</w:t>
      </w:r>
    </w:p>
    <w:tbl>
      <w:tblPr>
        <w:tblW w:w="5486"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09"/>
        <w:gridCol w:w="109"/>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ans-serif" w:hAnsi="Times New Roman;sans-serif"/>
          <w:b/>
          <w:color w:val="000000"/>
          <w:sz w:val="20"/>
          <w:shd w:fill="FFFFFF" w:val="clear"/>
        </w:rPr>
        <w:t>Recent accounting pronouncements</w:t>
      </w:r>
      <w:r>
        <w:rPr>
          <w:rFonts w:ascii="Times New Roman;sans-serif" w:hAnsi="Times New Roman;sans-serif"/>
          <w:b w:val="false"/>
          <w:i/>
          <w:color w:val="000000"/>
          <w:sz w:val="20"/>
          <w:shd w:fill="FFFFFF" w:val="clear"/>
        </w:rPr>
        <w:t>: </w:t>
      </w:r>
      <w:r>
        <w:rPr>
          <w:rFonts w:ascii="Times New Roman;sans-serif" w:hAnsi="Times New Roman;sans-serif"/>
          <w:b w:val="false"/>
          <w:color w:val="000000"/>
          <w:sz w:val="20"/>
          <w:shd w:fill="FFFFFF" w:val="clear"/>
        </w:rPr>
        <w:t xml:space="preserve">In November 2024, the Financial Accounting Standards Board </w:t>
      </w:r>
      <w:r>
        <w:rPr>
          <w:rFonts w:ascii="Times New Roman;sans-serif" w:hAnsi="Times New Roman;sans-serif"/>
          <w:b w:val="false"/>
          <w:color w:val="000000"/>
          <w:sz w:val="20"/>
        </w:rPr>
        <w:t>(“FASB”) is</w:t>
      </w:r>
      <w:r>
        <w:rPr>
          <w:rFonts w:ascii="Times New Roman;sans-serif" w:hAnsi="Times New Roman;sans-serif"/>
          <w:b w:val="false"/>
          <w:color w:val="000000"/>
          <w:sz w:val="20"/>
          <w:shd w:fill="FFFFFF" w:val="clear"/>
        </w:rPr>
        <w:t>sued Accounting Standards Update (</w:t>
      </w:r>
      <w:r>
        <w:rPr>
          <w:color w:val="000000"/>
        </w:rPr>
        <w:t>“</w:t>
      </w:r>
      <w:r>
        <w:rPr>
          <w:rFonts w:ascii="Times New Roman;sans-serif" w:hAnsi="Times New Roman;sans-serif"/>
          <w:b w:val="false"/>
          <w:color w:val="000000"/>
          <w:sz w:val="20"/>
        </w:rPr>
        <w:t xml:space="preserve">ASU”) </w:t>
      </w:r>
      <w:r>
        <w:rPr>
          <w:rFonts w:ascii="Times New Roman;sans-serif" w:hAnsi="Times New Roman;sans-serif"/>
          <w:b w:val="false"/>
          <w:color w:val="000000"/>
          <w:sz w:val="20"/>
          <w:shd w:fill="FFFFFF" w:val="clear"/>
        </w:rPr>
        <w:t xml:space="preserve">2024-03, </w:t>
      </w:r>
      <w:r>
        <w:rPr>
          <w:rFonts w:ascii="Times New Roman;sans-serif" w:hAnsi="Times New Roman;sans-serif"/>
          <w:b w:val="false"/>
          <w:i/>
          <w:color w:val="000000"/>
          <w:sz w:val="20"/>
          <w:shd w:fill="FFFFFF" w:val="clear"/>
        </w:rPr>
        <w:t>Income Statement - Reporting Comprehensive Income (Subtopic 220-40)</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Disaggregation of Income Statement Expenses,</w:t>
      </w:r>
      <w:r>
        <w:rPr>
          <w:color w:val="000000"/>
          <w:shd w:fill="FFFFFF" w:val="clear"/>
        </w:rPr>
        <w:t xml:space="preserve"> </w:t>
      </w:r>
      <w:r>
        <w:rPr>
          <w:rFonts w:ascii="Times New Roman;sans-serif" w:hAnsi="Times New Roman;sans-serif"/>
          <w:b w:val="false"/>
          <w:color w:val="000000"/>
          <w:sz w:val="20"/>
          <w:shd w:fill="FFFFFF" w:val="clear"/>
        </w:rPr>
        <w:t xml:space="preserve">which requires public entities to disclose information about certain costs and expenses. The amendments in this ASU improve financial reporting by requiring additional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 </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In November 2024, the FASB issued ASU 2024-04, </w:t>
      </w:r>
      <w:r>
        <w:rPr>
          <w:rFonts w:ascii="Times New Roman;sans-serif" w:hAnsi="Times New Roman;sans-serif"/>
          <w:b w:val="false"/>
          <w:i/>
          <w:color w:val="000000"/>
          <w:sz w:val="20"/>
          <w:shd w:fill="FFFFFF" w:val="clear"/>
        </w:rPr>
        <w:t>Debt - Debt with Conversion and Other Options (Subtopic 470-20)</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Induced Conversion of Convertible Debt Instruments,</w:t>
      </w:r>
      <w:r>
        <w:rPr>
          <w:color w:val="000000"/>
          <w:shd w:fill="FFFFFF" w:val="clear"/>
        </w:rPr>
        <w:t xml:space="preserve"> </w:t>
      </w:r>
      <w:r>
        <w:rPr>
          <w:rFonts w:ascii="Times New Roman;sans-serif" w:hAnsi="Times New Roman;sans-serif"/>
          <w:b w:val="false"/>
          <w:color w:val="000000"/>
          <w:sz w:val="20"/>
          <w:shd w:fill="FFFFFF" w:val="clear"/>
        </w:rPr>
        <w:t>which requires public entities that settle convertible debt instruments for which the conversion privileges were changed to induce conversion and enhances current guidance on induced conversions applies only to conversions that include the issuance of all equity securities issuable pursuant to the conversion privileges provided in the terms of the debt at issuance. The ASU is effective for fiscal years beginning after December 15, 2025, and interim periods within annual reporting periods.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On December 14, 2023, the FASB issued ASU 2023-09, </w:t>
      </w:r>
      <w:r>
        <w:rPr>
          <w:rFonts w:ascii="Times New Roman;sans-serif" w:hAnsi="Times New Roman;sans-serif"/>
          <w:b w:val="false"/>
          <w:i/>
          <w:color w:val="000000"/>
          <w:sz w:val="20"/>
          <w:shd w:fill="FFFFFF" w:val="clear"/>
        </w:rPr>
        <w:t>Income Taxes (Topic 740): Improvements to Income Tax Disclosures</w:t>
      </w:r>
      <w:r>
        <w:rPr>
          <w:rFonts w:ascii="Times New Roman;sans-serif" w:hAnsi="Times New Roman;sans-serif"/>
          <w:b w:val="false"/>
          <w:color w:val="000000"/>
          <w:sz w:val="20"/>
          <w:shd w:fill="FFFFFF" w:val="clear"/>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Inventories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Inventories consist of the following as of</w:t>
      </w:r>
      <w:r>
        <w:rPr>
          <w:color w:val="000000"/>
        </w:rPr>
        <w:t xml:space="preserve">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and December 31, 2024</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625" w:type="dxa"/>
        <w:jc w:val="center"/>
        <w:tblInd w:w="0" w:type="dxa"/>
        <w:tblLayout w:type="fixed"/>
        <w:tblCellMar>
          <w:top w:w="28" w:type="dxa"/>
          <w:left w:w="28" w:type="dxa"/>
          <w:bottom w:w="28" w:type="dxa"/>
          <w:right w:w="28" w:type="dxa"/>
        </w:tblCellMar>
      </w:tblPr>
      <w:tblGrid>
        <w:gridCol w:w="1287"/>
        <w:gridCol w:w="1132"/>
        <w:gridCol w:w="1135"/>
        <w:gridCol w:w="220"/>
        <w:gridCol w:w="642"/>
        <w:gridCol w:w="113"/>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8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As of March 31, 2025 and December 31,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no write down of inventory was determined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31, 2023, the Company and Gold Rush Amusements, Inc. (“Gold Rush”), another terminal operator in Illinois, entered into a settlement agreement which resolved any and all lawsuits and all outstanding obligations under the Company’s investment in Gold Rush’s convertible notes. As part of the settlement, the Company had a receivable from Gold Rush of $1.5 million as of </w:t>
      </w:r>
      <w:r>
        <w:rPr>
          <w:rFonts w:ascii="Times New Roman;sans-serif" w:hAnsi="Times New Roman;sans-serif"/>
          <w:b w:val="false"/>
          <w:color w:val="000000"/>
          <w:sz w:val="20"/>
          <w:shd w:fill="FFFFFF" w:val="clear"/>
        </w:rPr>
        <w:t xml:space="preserve">March 31, 2025, </w:t>
      </w:r>
      <w:r>
        <w:rPr>
          <w:rFonts w:ascii="Times New Roman;sans-serif" w:hAnsi="Times New Roman;sans-serif"/>
          <w:b w:val="false"/>
          <w:color w:val="000000"/>
          <w:sz w:val="20"/>
        </w:rPr>
        <w:t xml:space="preserve">which was paid in full on April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Property and equipment consist of the following as of</w:t>
      </w:r>
      <w:r>
        <w:rPr>
          <w:color w:val="000000"/>
        </w:rPr>
        <w:t xml:space="preserve">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and December 31, 2024</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827"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31"/>
        <w:gridCol w:w="905"/>
        <w:gridCol w:w="168"/>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software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ATM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546,995 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307,997 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Depreciation and amortization of property and equipment was $12.3 million and </w:t>
      </w:r>
      <w:r>
        <w:rPr>
          <w:rFonts w:ascii="Times New Roman;sans-serif" w:hAnsi="Times New Roman;sans-serif"/>
          <w:b w:val="false"/>
          <w:color w:val="000000"/>
          <w:sz w:val="20"/>
        </w:rPr>
        <w:t xml:space="preserve">$10.4 million for the three months ended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2024, respectively</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$11.6 million and $11.2 million as of March 31, 2025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2024, respectively. Payments are due over varying terms of the individual agreements and are discounted at the Company’s incremental borrowing rate associated with its long-term debt at the time the contract is acquired. The net present value of payments due was $9.7 million and $9.4 million as of March 31, 2025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December 31, 2024, respectively, of which approximately $2.2 million was included in current liabilities in the accompanying condensed consolidated balance sheets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shd w:fill="FFFFFF" w:val="clear"/>
        </w:rPr>
        <w:t>both March 31, 2025</w:t>
      </w:r>
      <w:r>
        <w:rPr>
          <w:color w:val="000000"/>
        </w:rPr>
        <w:t xml:space="preserve"> </w:t>
      </w:r>
      <w:r>
        <w:rPr>
          <w:rFonts w:ascii="Times New Roman;sans-serif" w:hAnsi="Times New Roman;sans-serif"/>
          <w:b w:val="false"/>
          <w:color w:val="000000"/>
          <w:sz w:val="20"/>
          <w:shd w:fill="FFFFFF" w:val="clear"/>
        </w:rPr>
        <w:t>and December 31, 2024, respectively. The route and customer acquisition cost asset was comprised of upfront payments made on the contracts of $22.7 million and $22.3 million as of March 31, 2025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December 31, 2024, respectively. The Company has upfront payments of commissions paid to the third parties for the acquisition of the customer contracts that are subject to a clawback provision if the customer cancels the contract prior to completion. The payments subject to a clawback were $1.3 million and </w:t>
      </w:r>
      <w:r>
        <w:rPr>
          <w:rFonts w:ascii="Times New Roman;sans-serif" w:hAnsi="Times New Roman;sans-serif"/>
          <w:b w:val="false"/>
          <w:color w:val="000000"/>
          <w:sz w:val="20"/>
        </w:rPr>
        <w:t>$1.2 million</w:t>
      </w:r>
      <w:r>
        <w:rPr>
          <w:color w:val="000000"/>
          <w:shd w:fill="FFFFFF" w:val="clear"/>
        </w:rPr>
        <w:t xml:space="preserve"> </w:t>
      </w:r>
      <w:r>
        <w:rPr>
          <w:rFonts w:ascii="Times New Roman;sans-serif" w:hAnsi="Times New Roman;sans-serif"/>
          <w:b w:val="false"/>
          <w:color w:val="000000"/>
          <w:sz w:val="20"/>
          <w:shd w:fill="FFFFFF" w:val="clear"/>
        </w:rPr>
        <w:t>as of March 31, 2025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2024,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Route and customer acquisition costs consisted of the following as of March 31, 2025 and December 31, 2024 (in thousands):</w:t>
      </w:r>
    </w:p>
    <w:tbl>
      <w:tblPr>
        <w:tblW w:w="6167" w:type="dxa"/>
        <w:jc w:val="center"/>
        <w:tblInd w:w="0" w:type="dxa"/>
        <w:tblLayout w:type="fixed"/>
        <w:tblCellMar>
          <w:top w:w="28" w:type="dxa"/>
          <w:left w:w="28" w:type="dxa"/>
          <w:bottom w:w="28" w:type="dxa"/>
          <w:right w:w="28" w:type="dxa"/>
        </w:tblCellMar>
      </w:tblPr>
      <w:tblGrid>
        <w:gridCol w:w="1260"/>
        <w:gridCol w:w="1111"/>
        <w:gridCol w:w="1123"/>
        <w:gridCol w:w="211"/>
        <w:gridCol w:w="721"/>
        <w:gridCol w:w="109"/>
        <w:gridCol w:w="109"/>
        <w:gridCol w:w="109"/>
        <w:gridCol w:w="109"/>
        <w:gridCol w:w="253"/>
        <w:gridCol w:w="867"/>
        <w:gridCol w:w="185"/>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rPr>
        <w:t xml:space="preserve">Amortization expense of route and customer acquisition costs was $0.6 million and $0.5 million for the three months ended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 assets acquired in business acquisitions are recorded at fair value based on an income approach. Location contracts acquired consisted of the following as of March 31, 2025 and December 31, 2024 (in thousands):</w:t>
      </w:r>
    </w:p>
    <w:tbl>
      <w:tblPr>
        <w:tblW w:w="5506"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31"/>
        <w:gridCol w:w="905"/>
        <w:gridCol w:w="168"/>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202,618 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Amortization expense of location contracts acquired was </w:t>
      </w:r>
      <w:r>
        <w:rPr>
          <w:rFonts w:ascii="Times New Roman;sans-serif" w:hAnsi="Times New Roman;sans-serif"/>
          <w:b w:val="false"/>
          <w:color w:val="000000"/>
          <w:sz w:val="20"/>
        </w:rPr>
        <w:t xml:space="preserve">$5.1 million and $4.3 million for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had goodwill of $116.3 million as of both March 31, 2025 and </w:t>
      </w:r>
      <w:r>
        <w:rPr>
          <w:rFonts w:ascii="Times New Roman;sans-serif" w:hAnsi="Times New Roman;sans-serif"/>
          <w:b w:val="false"/>
          <w:color w:val="000000"/>
          <w:sz w:val="20"/>
          <w:shd w:fill="FFFFFF" w:val="clear"/>
        </w:rPr>
        <w:t>December 31, 2024, respectively,</w:t>
      </w:r>
      <w:r>
        <w:rPr>
          <w:color w:val="000000"/>
        </w:rPr>
        <w:t xml:space="preserve"> </w:t>
      </w:r>
      <w:r>
        <w:rPr>
          <w:rFonts w:ascii="Times New Roman;sans-serif" w:hAnsi="Times New Roman;sans-serif"/>
          <w:b w:val="false"/>
          <w:color w:val="000000"/>
          <w:sz w:val="20"/>
        </w:rPr>
        <w:t xml:space="preserve">of which $38.2 million was deductible for tax purposes as of March 31, 2025. </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consist of definite-lived trade names, customer relationships, software applications and indefinite-lived operating licenses. Other intangible assets are amortized over their estimated 7 to 20-year useful lives.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 of the following as of March 31, 2025 and December 31, 2024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37"/>
        <w:gridCol w:w="695"/>
        <w:gridCol w:w="133"/>
        <w:gridCol w:w="109"/>
        <w:gridCol w:w="109"/>
        <w:gridCol w:w="109"/>
        <w:gridCol w:w="200"/>
        <w:gridCol w:w="661"/>
        <w:gridCol w:w="111"/>
        <w:gridCol w:w="109"/>
        <w:gridCol w:w="109"/>
        <w:gridCol w:w="109"/>
        <w:gridCol w:w="201"/>
        <w:gridCol w:w="665"/>
        <w:gridCol w:w="112"/>
        <w:gridCol w:w="109"/>
        <w:gridCol w:w="109"/>
        <w:gridCol w:w="109"/>
        <w:gridCol w:w="237"/>
        <w:gridCol w:w="695"/>
        <w:gridCol w:w="133"/>
        <w:gridCol w:w="109"/>
        <w:gridCol w:w="109"/>
        <w:gridCol w:w="109"/>
        <w:gridCol w:w="200"/>
        <w:gridCol w:w="660"/>
        <w:gridCol w:w="17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Licenses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Amortization expense of other intangible assets was </w:t>
      </w:r>
      <w:r>
        <w:rPr>
          <w:rFonts w:ascii="Times New Roman;sans-serif" w:hAnsi="Times New Roman;sans-serif"/>
          <w:b w:val="false"/>
          <w:color w:val="000000"/>
          <w:sz w:val="20"/>
        </w:rPr>
        <w:t xml:space="preserve">$0.6 million for both the three months ended March 31, 2025, and 2024,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 are tested for impairment annually or when triggering events occur. There were no indicators of impairment of indefinite-lived intangibles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Debt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March 31, 2025 and December 31, 2024, consisted of the following (in thousands):</w:t>
      </w:r>
    </w:p>
    <w:tbl>
      <w:tblPr>
        <w:tblW w:w="8124" w:type="dxa"/>
        <w:jc w:val="center"/>
        <w:tblInd w:w="0" w:type="dxa"/>
        <w:tblLayout w:type="fixed"/>
        <w:tblCellMar>
          <w:top w:w="28" w:type="dxa"/>
          <w:left w:w="28" w:type="dxa"/>
          <w:bottom w:w="28" w:type="dxa"/>
          <w:right w:w="28" w:type="dxa"/>
        </w:tblCellMar>
      </w:tblPr>
      <w:tblGrid>
        <w:gridCol w:w="1975"/>
        <w:gridCol w:w="1739"/>
        <w:gridCol w:w="1746"/>
        <w:gridCol w:w="211"/>
        <w:gridCol w:w="826"/>
        <w:gridCol w:w="109"/>
        <w:gridCol w:w="109"/>
        <w:gridCol w:w="109"/>
        <w:gridCol w:w="109"/>
        <w:gridCol w:w="211"/>
        <w:gridCol w:w="82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Remaining premium on interest rate caplets financed as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2025, the weighted-average interest rate on the Company’s borrowings was approximately 6.5%.</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the 1-month SOFR interest rates on the first $300 million of the term loan under the Company’s existing credit agreement, as amended, by entering into a 4-year series of 48 deferred premium caplets (“caplets</w:t>
      </w:r>
      <w:r>
        <w:rPr>
          <w:color w:val="000000"/>
        </w:rPr>
        <w:t>”</w:t>
      </w:r>
      <w:r>
        <w:rPr>
          <w:rFonts w:ascii="Times New Roman;sans-serif" w:hAnsi="Times New Roman;sans-serif"/>
          <w:b w:val="false"/>
          <w:color w:val="000000"/>
          <w:sz w:val="20"/>
        </w:rPr>
        <w: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recognized an </w:t>
      </w:r>
      <w:r>
        <w:rPr>
          <w:rFonts w:ascii="Times New Roman;sans-serif" w:hAnsi="Times New Roman;sans-serif"/>
          <w:b w:val="false"/>
          <w:color w:val="000000"/>
          <w:sz w:val="20"/>
        </w:rPr>
        <w:t>unrealized loss, net of taxes,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$1.1 million for the three months ended </w:t>
      </w:r>
      <w:r>
        <w:rPr>
          <w:rFonts w:ascii="Times New Roman;sans-serif" w:hAnsi="Times New Roman;sans-serif"/>
          <w:b w:val="false"/>
          <w:color w:val="000000"/>
          <w:sz w:val="20"/>
          <w:shd w:fill="FFFFFF" w:val="clear"/>
        </w:rPr>
        <w:t xml:space="preserve">March 31, 2025. In comparison, the Company recognized </w:t>
      </w:r>
      <w:r>
        <w:rPr>
          <w:rFonts w:ascii="Times New Roman;sans-serif" w:hAnsi="Times New Roman;sans-serif"/>
          <w:b w:val="false"/>
          <w:color w:val="000000"/>
          <w:sz w:val="20"/>
        </w:rPr>
        <w:t xml:space="preserve">an unrealized gain, net of taxes,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$1.1 million for the three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For more information on how the Company determines the fair value of the caplets, see </w:t>
      </w:r>
      <w:r>
        <w:rPr>
          <w:rFonts w:ascii="Times New Roman;sans-serif" w:hAnsi="Times New Roman;sans-serif"/>
          <w:b w:val="false"/>
          <w:color w:val="000000"/>
          <w:sz w:val="20"/>
        </w:rPr>
        <w:t>Note 12. T</w:t>
      </w:r>
      <w:r>
        <w:rPr>
          <w:rFonts w:ascii="Times New Roman;sans-serif" w:hAnsi="Times New Roman;sans-serif"/>
          <w:b w:val="false"/>
          <w:color w:val="000000"/>
          <w:sz w:val="20"/>
          <w:shd w:fill="FFFFFF" w:val="clear"/>
        </w:rPr>
        <w:t xml:space="preserve">he Company also recognized interest income on the caplets of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$2.6 million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w:t>
      </w:r>
      <w:r>
        <w:rPr>
          <w:rFonts w:ascii="Times New Roman;sans-serif" w:hAnsi="Times New Roman;sans-serif"/>
          <w:b w:val="false"/>
          <w:color w:val="000000"/>
          <w:sz w:val="20"/>
        </w:rPr>
        <w:t xml:space="preserve">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 xml:space="preserve">2024, </w:t>
      </w:r>
      <w:r>
        <w:rPr>
          <w:rFonts w:ascii="Times New Roman;sans-serif" w:hAnsi="Times New Roman;sans-serif"/>
          <w:b w:val="false"/>
          <w:color w:val="000000"/>
          <w:sz w:val="20"/>
          <w:shd w:fill="FFFFFF" w:val="clear"/>
        </w:rPr>
        <w:t xml:space="preserve">respectively. </w:t>
      </w:r>
      <w:r>
        <w:rPr>
          <w:rFonts w:ascii="Times New Roman;sans-serif" w:hAnsi="Times New Roman;sans-serif"/>
          <w:b w:val="false"/>
          <w:color w:val="000000"/>
          <w:sz w:val="20"/>
        </w:rPr>
        <w:t xml:space="preserve">These amounts are </w:t>
      </w:r>
      <w:r>
        <w:rPr>
          <w:rFonts w:ascii="Times New Roman;sans-serif" w:hAnsi="Times New Roman;sans-serif"/>
          <w:b w:val="false"/>
          <w:color w:val="000000"/>
          <w:sz w:val="20"/>
          <w:shd w:fill="FFFFFF" w:val="clear"/>
        </w:rPr>
        <w:t xml:space="preserve">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Business Acquisitions</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2024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Randy’s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23, 2024, the Company completed its acquisition of certain assets of Randy’s Vending (“Randy’s”), an Illinois based operator, for a total consideration transferred of $0.3 million, which included i) $0.1 million in cash at closing and ii) contingent purchase consideration with an estimated fair value of $0.2 million.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purchase price was allocated to the following assets: i) amusement equipment totaling less than $0.1 million and ii) location contracts totaling $0.2 million. The results of operations for Randy’s are included in the </w:t>
      </w:r>
      <w:r>
        <w:rPr>
          <w:rFonts w:ascii="Times New Roman;sans-serif" w:hAnsi="Times New Roman;sans-serif"/>
          <w:b w:val="false"/>
          <w:color w:val="000000"/>
          <w:sz w:val="20"/>
          <w:shd w:fill="FFFFFF" w:val="clear"/>
        </w:rPr>
        <w:t>condensed</w:t>
      </w:r>
      <w:r>
        <w:rPr>
          <w:color w:val="000000"/>
        </w:rPr>
        <w:t xml:space="preserve"> </w:t>
      </w:r>
      <w:r>
        <w:rPr>
          <w:rFonts w:ascii="Times New Roman;sans-serif" w:hAnsi="Times New Roman;sans-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Fairmount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2, 2024, the Company completed its acquisition of </w:t>
      </w:r>
      <w:r>
        <w:rPr>
          <w:rFonts w:ascii="Times New Roman;sans-serif" w:hAnsi="Times New Roman;sans-serif"/>
          <w:b w:val="false"/>
          <w:color w:val="141414"/>
          <w:sz w:val="20"/>
        </w:rPr>
        <w:t xml:space="preserve">Fairmount Holdings, Inc. (“Fairmount”), the owner of the FanDuel Sportsbook &amp; Racetrack in Collinsville, Illinois, for total stock consideration of approximately </w:t>
      </w:r>
      <w:r>
        <w:rPr>
          <w:rFonts w:ascii="Times New Roman;sans-serif" w:hAnsi="Times New Roman;sans-serif"/>
          <w:b w:val="false"/>
          <w:color w:val="000000"/>
          <w:sz w:val="20"/>
        </w:rPr>
        <w:t>$40.5 million. Consideration transferred was approximately 3.5 million</w:t>
      </w:r>
      <w:r>
        <w:rPr>
          <w:color w:val="141414"/>
        </w:rPr>
        <w:t xml:space="preserve"> </w:t>
      </w:r>
      <w:r>
        <w:rPr>
          <w:rFonts w:ascii="Times New Roman;sans-serif" w:hAnsi="Times New Roman;sans-serif"/>
          <w:b w:val="false"/>
          <w:color w:val="141414"/>
          <w:sz w:val="20"/>
        </w:rPr>
        <w:t xml:space="preserve">shares of the Company’s Class A-1 common stock and the value was based on a prior twenty-day trailing weighted average close price. </w:t>
      </w:r>
      <w:r>
        <w:rPr>
          <w:rFonts w:ascii="Times New Roman;sans-serif" w:hAnsi="Times New Roman;sans-serif"/>
          <w:b w:val="false"/>
          <w:color w:val="000000"/>
          <w:sz w:val="20"/>
        </w:rPr>
        <w:t>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$12.0 million has been recorded as goodwill. The Fairmount acquisition resulted in recorded goodwill as a result of a higher consideration paid driven by the maturity of Fairmount’s operations, industry and workforce. While management has integrated certain operations of Fairmount into its existing business structure, Fairmount is its own operating segment, casino and racing.</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following table summarizes the fair value of consideration transferred and the fair values of the assets acquired and liabilities assumed at the date of acquisition (in thousands):</w:t>
      </w:r>
    </w:p>
    <w:tbl>
      <w:tblPr>
        <w:tblW w:w="4926" w:type="dxa"/>
        <w:jc w:val="center"/>
        <w:tblInd w:w="0" w:type="dxa"/>
        <w:tblLayout w:type="fixed"/>
        <w:tblCellMar>
          <w:top w:w="28" w:type="dxa"/>
          <w:left w:w="28" w:type="dxa"/>
          <w:bottom w:w="28" w:type="dxa"/>
          <w:right w:w="28" w:type="dxa"/>
        </w:tblCellMar>
      </w:tblPr>
      <w:tblGrid>
        <w:gridCol w:w="1389"/>
        <w:gridCol w:w="1223"/>
        <w:gridCol w:w="1228"/>
        <w:gridCol w:w="211"/>
        <w:gridCol w:w="72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treasury stock issued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results of operations for Fairmount are included in the condensed consolidated financial statements of the Company from the date of acquisition. Fairmount's </w:t>
      </w:r>
      <w:r>
        <w:rPr>
          <w:rFonts w:ascii="Times New Roman;sans-serif" w:hAnsi="Times New Roman;sans-serif"/>
          <w:b w:val="false"/>
          <w:color w:val="000000"/>
          <w:sz w:val="20"/>
        </w:rPr>
        <w:t>acquired assets generated revenues and net loss of $5.9 million and $0.8 million, respectively, for the three months ended March 31, 2025. The unaudited pro forma revenue and net income of Fairmount, as if this acquisition had occurred as of the beginning of the fiscal year prior to the fiscal year of acquisition, is not material to the condensed consolidated results of the Company for the three months ended March 31, 2025.</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Bayou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21, 2024, the Company completed its acquisition of Bayou Gaming, Inc. (“Bayou”), a Louisiana based operator and owner of multiple licensed video poker establishments, for a total purchase price of $0.5 million, which the Company paid in cash at closing. The acquisition was accounted for as an asset acquisition in accordance with Topic 805. The purchase price was allocated to the following assets: i) gaming and amusement equipment totaling $0.1 million and ii) location contracts totaling $0.4 million. The results of operations for Bayou are included in the </w:t>
      </w:r>
      <w:r>
        <w:rPr>
          <w:rFonts w:ascii="Times New Roman;sans-serif" w:hAnsi="Times New Roman;sans-serif"/>
          <w:b w:val="false"/>
          <w:color w:val="000000"/>
          <w:sz w:val="20"/>
          <w:shd w:fill="FFFFFF" w:val="clear"/>
        </w:rPr>
        <w:t>condensed</w:t>
      </w:r>
      <w:r>
        <w:rPr>
          <w:color w:val="000000"/>
        </w:rPr>
        <w:t xml:space="preserve"> </w:t>
      </w:r>
      <w:r>
        <w:rPr>
          <w:rFonts w:ascii="Times New Roman;sans-serif" w:hAnsi="Times New Roman;sans-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Pelican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21, 2024, the Company completed its acquisition of Pelican State Gaming, Inc. (“Pelican”), a Louisiana based operator and owner of multiple licensed video poker establishments, for a total consideration of $1.8 million, which included i) $1.5 million paid in cash at closing and ii) contingent purchase consideration with an estimated fair value of $0.3 million. The acquisition was accounted for as an asset acquisition in accordance with Topic 805. The purchase price was allocated to the following assets: i) gaming and amusement assets totaling $0.3 million and ii) location contracts totaling $1.5 million. The results of operations for Pelican are included in the </w:t>
      </w:r>
      <w:r>
        <w:rPr>
          <w:rFonts w:ascii="Times New Roman;sans-serif" w:hAnsi="Times New Roman;sans-serif"/>
          <w:b w:val="false"/>
          <w:color w:val="000000"/>
          <w:sz w:val="20"/>
          <w:shd w:fill="FFFFFF" w:val="clear"/>
        </w:rPr>
        <w:t>condensed</w:t>
      </w:r>
      <w:r>
        <w:rPr>
          <w:color w:val="000000"/>
        </w:rPr>
        <w:t xml:space="preserve"> </w:t>
      </w:r>
      <w:r>
        <w:rPr>
          <w:rFonts w:ascii="Times New Roman;sans-serif" w:hAnsi="Times New Roman;sans-serif"/>
          <w:b w:val="false"/>
          <w:color w:val="000000"/>
          <w:sz w:val="20"/>
        </w:rPr>
        <w:t xml:space="preserve">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Xtreme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1, 2024, the Company completed its acquisition of certain assets of Xtreme ATM of Louisiana LLC, (“Xtreme”) for a total purchase price of $1.5 million, which the Company paid in cash at closing. The acquisition was accounted for as an asset acquisition in accordance with Topic 805. The purchase price was allocated to the following assets: i) location contract assets totaling $1.4 million and ii) redemption equipment totaling less than $0.1 million. The results of operations for Xtreme are included in the </w:t>
      </w:r>
      <w:r>
        <w:rPr>
          <w:rFonts w:ascii="Times New Roman;sans-serif" w:hAnsi="Times New Roman;sans-serif"/>
          <w:b w:val="false"/>
          <w:color w:val="000000"/>
          <w:sz w:val="20"/>
          <w:shd w:fill="FFFFFF" w:val="clear"/>
        </w:rPr>
        <w:t>condensed</w:t>
      </w:r>
      <w:r>
        <w:rPr>
          <w:color w:val="000000"/>
        </w:rPr>
        <w:t xml:space="preserve"> </w:t>
      </w:r>
      <w:r>
        <w:rPr>
          <w:rFonts w:ascii="Times New Roman;sans-serif" w:hAnsi="Times New Roman;sans-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Toucan Gaming</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1, 2024, the Company completed its acquisition of 85% </w:t>
      </w:r>
      <w:r>
        <w:rPr>
          <w:rFonts w:ascii="Times New Roman;sans-serif" w:hAnsi="Times New Roman;sans-serif"/>
          <w:b w:val="false"/>
          <w:color w:val="000000"/>
          <w:sz w:val="20"/>
          <w:shd w:fill="FFFFFF" w:val="clear"/>
        </w:rPr>
        <w:t>of the ownership interests in both Toucan Gaming, LLC and LSM Gaming, LLC (herein referred to as “Toucan Gaming”)</w:t>
      </w:r>
      <w:r>
        <w:rPr>
          <w:color w:val="000000"/>
        </w:rPr>
        <w:t xml:space="preserve"> </w:t>
      </w:r>
      <w:r>
        <w:rPr>
          <w:rFonts w:ascii="Times New Roman;sans-serif" w:hAnsi="Times New Roman;sans-serif"/>
          <w:b w:val="false"/>
          <w:color w:val="000000"/>
          <w:sz w:val="20"/>
        </w:rPr>
        <w:t>for a total cash consideration of $41.6 million, of which $38.3 million was paid in cash (of which $4.6 million was paid in the prior year as an advance on the purchase price) and the remaining $3.3 million was recorded as consideration payable. 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$2.1 million has been recorded as goodwill. The Toucan Gaming acquisition resulted in recorded goodwill as a result of a higher consideration paid driven by the maturity and quality of Toucan Gaming’s operations, industry and workforce. Management integrated Toucan Gaming into its existing business structure, which is comprised of a single reporting unit.</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following table summarizes the fair value of consideration transferred and the fair values of the assets acquired and liabilities assumed at the date of acquisition (in thousands):</w:t>
      </w:r>
    </w:p>
    <w:tbl>
      <w:tblPr>
        <w:tblW w:w="5661" w:type="dxa"/>
        <w:jc w:val="center"/>
        <w:tblInd w:w="0" w:type="dxa"/>
        <w:tblLayout w:type="fixed"/>
        <w:tblCellMar>
          <w:top w:w="28" w:type="dxa"/>
          <w:left w:w="28" w:type="dxa"/>
          <w:bottom w:w="28" w:type="dxa"/>
          <w:right w:w="28" w:type="dxa"/>
        </w:tblCellMar>
      </w:tblPr>
      <w:tblGrid>
        <w:gridCol w:w="1649"/>
        <w:gridCol w:w="1453"/>
        <w:gridCol w:w="1473"/>
        <w:gridCol w:w="211"/>
        <w:gridCol w:w="721"/>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current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Temporary equity -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results of operations for Toucan Gaming are included in the condensed consolidated financial statements of the Company from the date of acquisition. Toucan Gaming's </w:t>
      </w:r>
      <w:r>
        <w:rPr>
          <w:rFonts w:ascii="Times New Roman;sans-serif" w:hAnsi="Times New Roman;sans-serif"/>
          <w:b w:val="false"/>
          <w:color w:val="000000"/>
          <w:sz w:val="20"/>
        </w:rPr>
        <w:t>acquired assets generated revenues and net loss of $9.0 million and $0.3 million, respectively, for the three months ended March 31, 2025. The unaudited pro forma revenue and net income of Toucan Gaming, as if this acquisition had occurred as of the beginning of the fiscal year prior to the fiscal year of acquisition, is not material to the condensed consolidated results of the Company for the three months ended March 31, 2025.</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24th Street Station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19, 2024, the Company completed its acquisition of 24th Street Station for a total purchase price of $0.8 million, which the Company paid in cash at closing. </w:t>
      </w:r>
      <w:r>
        <w:rPr>
          <w:rFonts w:ascii="Times New Roman;sans-serif" w:hAnsi="Times New Roman;sans-serif"/>
          <w:b w:val="false"/>
          <w:color w:val="000000"/>
          <w:sz w:val="20"/>
          <w:shd w:fill="FFFFFF" w:val="clear"/>
        </w:rPr>
        <w:t xml:space="preserve">The acquisition was accounted for as a business combination in accordance with Topic 805. </w:t>
      </w:r>
      <w:r>
        <w:rPr>
          <w:rFonts w:ascii="Times New Roman;sans-serif" w:hAnsi="Times New Roman;sans-serif"/>
          <w:b w:val="false"/>
          <w:color w:val="000000"/>
          <w:sz w:val="20"/>
        </w:rPr>
        <w:t>The purchase price was allocated to the following assets: i) indefinite-lived intangible assets totaling $0.7 million and ii) goodwill totaling $0.1 million. The results of operations for the 24th Street Station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Lucky 7s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19, 2024, the Company completed its acquisition of Lucky 7s for a total purchase price of $0.8 million, which the Company paid in cash at closing. </w:t>
      </w:r>
      <w:r>
        <w:rPr>
          <w:rFonts w:ascii="Times New Roman;sans-serif" w:hAnsi="Times New Roman;sans-serif"/>
          <w:b w:val="false"/>
          <w:color w:val="000000"/>
          <w:sz w:val="20"/>
          <w:shd w:fill="FFFFFF" w:val="clear"/>
        </w:rPr>
        <w:t xml:space="preserve">The acquisition was accounted for as a business combination in accordance with Topic 805. </w:t>
      </w:r>
      <w:r>
        <w:rPr>
          <w:rFonts w:ascii="Times New Roman;sans-serif" w:hAnsi="Times New Roman;sans-serif"/>
          <w:b w:val="false"/>
          <w:color w:val="000000"/>
          <w:sz w:val="20"/>
        </w:rPr>
        <w:t xml:space="preserve">The purchase price was allocated to the following assets: i) indefinite-lived intangible assets totaling $0.7 million and ii) goodwill totaling $0.1 million. The results of operations for Lucky 7s are included in the condensed 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Jorgenson’s Lounge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June 26, 2024, the Company acquired Jorgenson’s Lounge for a total purchase price of $1.1 million, which the Company paid in cash at closing. </w:t>
      </w:r>
      <w:r>
        <w:rPr>
          <w:rFonts w:ascii="Times New Roman;sans-serif" w:hAnsi="Times New Roman;sans-serif"/>
          <w:b w:val="false"/>
          <w:color w:val="000000"/>
          <w:sz w:val="20"/>
          <w:shd w:fill="FFFFFF" w:val="clear"/>
        </w:rPr>
        <w:t xml:space="preserve">The acquisition was accounted for as a business combination in accordance with Topic 805. </w:t>
      </w:r>
      <w:r>
        <w:rPr>
          <w:rFonts w:ascii="Times New Roman;sans-serif" w:hAnsi="Times New Roman;sans-serif"/>
          <w:b w:val="false"/>
          <w:color w:val="000000"/>
          <w:sz w:val="20"/>
        </w:rPr>
        <w:t>The purchase price was allocated to the following assets: i) indefinite-lived intangible assets totaling $0.8 million and ii) goodwill totaling $0.3 million. The results of operations for Jorgenson’s Lounge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1, 2024, the Company acquired certain assets of Illinois Gaming Entertainment LLC (“IGE”), an Illinois-based terminal operator. The Company acquired 16 operational locations,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present value of the consideration payable was $2.1 million as of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is recorded in consideration payable on the condensed consolidated balance sheets. </w:t>
      </w:r>
      <w:r>
        <w:rPr>
          <w:rFonts w:ascii="Times New Roman;sans-serif" w:hAnsi="Times New Roman;sans-serif"/>
          <w:b w:val="false"/>
          <w:color w:val="000000"/>
          <w:sz w:val="20"/>
        </w:rPr>
        <w:t xml:space="preserve">The aggregate purchase consideration of $13.5 million was allocated to the following assets: i) location contracts totaling $11.6 million, ii) gaming equipment totaling $1.6 million and iii) redemption equipment totaling $0.3 million. The results of operations for IGE are included in the condensed consolidated financial statements of the Company from the date of acquisition and were not material.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Great Lakes Vending</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22, 2024, the Company acquired certain assets of Great Lakes Vending Corporation (“GLV”), an Illinois-based terminal operator. The Company acquired one operational location, as well as gaming and redemption terminal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Doc &amp; Eddy’s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January 10, 2024, the Company acquired Doc &amp; Eddy’s West (“D&amp;E”), a hospitality operation in Montana.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$2.3 million, which the Company paid in cash at closing, and was allocated to the following assets: i) buildings totaling $1.0 million, ii) indefinite long-lived assets totaling $0.9 million and iii) land totaling $0.4 million. The results of operations for D&amp;E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March 31, 2025 and December 31, 2024. The contingent consideration accrued is measured at fair value on a recurring basis. The Company presents on its condensed consolidated statement of cash flows, payments for consideration payable within 90-days in investing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payments after 90-days and up to the acquisition date fair value in financing activities, and payments in excess of the acquisition date fair value in operating activities. </w:t>
      </w:r>
    </w:p>
    <w:p>
      <w:pPr>
        <w:pStyle w:val="TextBody"/>
        <w:bidi w:val="0"/>
        <w:spacing w:lineRule="auto" w:line="28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long-term portions of consideration payable consist of the following as of March 31, 2025 and December 31, 2024 (in thousands):</w:t>
      </w:r>
    </w:p>
    <w:tbl>
      <w:tblPr>
        <w:tblW w:w="6785" w:type="dxa"/>
        <w:jc w:val="center"/>
        <w:tblInd w:w="0" w:type="dxa"/>
        <w:tblLayout w:type="fixed"/>
        <w:tblCellMar>
          <w:top w:w="28" w:type="dxa"/>
          <w:left w:w="28" w:type="dxa"/>
          <w:bottom w:w="28" w:type="dxa"/>
          <w:right w:w="28" w:type="dxa"/>
        </w:tblCellMar>
      </w:tblPr>
      <w:tblGrid>
        <w:gridCol w:w="613"/>
        <w:gridCol w:w="538"/>
        <w:gridCol w:w="544"/>
        <w:gridCol w:w="211"/>
        <w:gridCol w:w="616"/>
        <w:gridCol w:w="109"/>
        <w:gridCol w:w="109"/>
        <w:gridCol w:w="109"/>
        <w:gridCol w:w="109"/>
        <w:gridCol w:w="222"/>
        <w:gridCol w:w="759"/>
        <w:gridCol w:w="115"/>
        <w:gridCol w:w="109"/>
        <w:gridCol w:w="109"/>
        <w:gridCol w:w="109"/>
        <w:gridCol w:w="211"/>
        <w:gridCol w:w="616"/>
        <w:gridCol w:w="109"/>
        <w:gridCol w:w="109"/>
        <w:gridCol w:w="109"/>
        <w:gridCol w:w="109"/>
        <w:gridCol w:w="221"/>
        <w:gridCol w:w="757"/>
        <w:gridCol w:w="163"/>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Fair Share Gaming</w:t>
            </w:r>
            <w:r>
              <w:rPr>
                <w:rFonts w:ascii="Times New Roman;sans-serif" w:hAnsi="Times New Roman;sans-serif"/>
                <w:b w:val="false"/>
                <w:color w:val="000000"/>
                <w:sz w:val="13"/>
              </w:rPr>
              <w: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Skyhigh</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IVSM</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IGE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Island</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Randy’s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Toucan Gaming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Pelican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Acquisitions that occurred prior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 </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market condition for the settlement of Tranche I was satisfied. As a result, 1,666,636 shares of the 1,666,666 shares of Class A-2 common stock were converted into Class A-1 common stock.</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conditions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ASC Topic 820, </w:t>
      </w:r>
      <w:r>
        <w:rPr>
          <w:rFonts w:ascii="Times New Roman;sans-serif" w:hAnsi="Times New Roman;sans-serif"/>
          <w:b w:val="false"/>
          <w:i/>
          <w:color w:val="000000"/>
          <w:sz w:val="20"/>
          <w:shd w:fill="FFFFFF" w:val="clear"/>
        </w:rPr>
        <w:t>Fair Value Measurements and Disclosures,</w:t>
      </w:r>
      <w:r>
        <w:rPr>
          <w:color w:val="000000"/>
          <w:shd w:fill="FFFFFF" w:val="clear"/>
        </w:rPr>
        <w:t xml:space="preserve"> </w:t>
      </w:r>
      <w:r>
        <w:rPr>
          <w:rFonts w:ascii="Times New Roman;sans-serif" w:hAnsi="Times New Roman;sans-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2</w:t>
      </w:r>
      <w:r>
        <w:rPr>
          <w:rFonts w:ascii="Times New Roman;sans-serif" w:hAnsi="Times New Roman;sans-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3</w:t>
      </w:r>
      <w:r>
        <w:rPr>
          <w:rFonts w:ascii="Times New Roman;sans-serif" w:hAnsi="Times New Roman;sans-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bidi w:val="0"/>
        <w:spacing w:lineRule="auto" w:line="345" w:before="180" w:after="283"/>
        <w:ind w:left="0" w:right="0" w:firstLine="27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60"/>
        <w:gridCol w:w="406"/>
        <w:gridCol w:w="409"/>
        <w:gridCol w:w="419"/>
        <w:gridCol w:w="284"/>
        <w:gridCol w:w="284"/>
        <w:gridCol w:w="109"/>
        <w:gridCol w:w="109"/>
        <w:gridCol w:w="109"/>
        <w:gridCol w:w="814"/>
        <w:gridCol w:w="814"/>
        <w:gridCol w:w="816"/>
        <w:gridCol w:w="162"/>
        <w:gridCol w:w="162"/>
        <w:gridCol w:w="162"/>
        <w:gridCol w:w="735"/>
        <w:gridCol w:w="735"/>
        <w:gridCol w:w="737"/>
        <w:gridCol w:w="162"/>
        <w:gridCol w:w="162"/>
        <w:gridCol w:w="162"/>
        <w:gridCol w:w="580"/>
        <w:gridCol w:w="580"/>
        <w:gridCol w:w="833"/>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5"/>
        <w:gridCol w:w="384"/>
        <w:gridCol w:w="390"/>
        <w:gridCol w:w="401"/>
        <w:gridCol w:w="361"/>
        <w:gridCol w:w="362"/>
        <w:gridCol w:w="109"/>
        <w:gridCol w:w="109"/>
        <w:gridCol w:w="109"/>
        <w:gridCol w:w="802"/>
        <w:gridCol w:w="802"/>
        <w:gridCol w:w="804"/>
        <w:gridCol w:w="161"/>
        <w:gridCol w:w="161"/>
        <w:gridCol w:w="161"/>
        <w:gridCol w:w="730"/>
        <w:gridCol w:w="730"/>
        <w:gridCol w:w="732"/>
        <w:gridCol w:w="161"/>
        <w:gridCol w:w="161"/>
        <w:gridCol w:w="161"/>
        <w:gridCol w:w="576"/>
        <w:gridCol w:w="576"/>
        <w:gridCol w:w="827"/>
      </w:tblGrid>
      <w:tr>
        <w:trPr/>
        <w:tc>
          <w:tcPr>
            <w:tcW w:w="4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 (Level 1)</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ans-serif" w:hAnsi="Times New Roman;sans-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69"/>
        <w:gridCol w:w="500"/>
        <w:gridCol w:w="505"/>
        <w:gridCol w:w="225"/>
        <w:gridCol w:w="772"/>
        <w:gridCol w:w="116"/>
        <w:gridCol w:w="109"/>
        <w:gridCol w:w="109"/>
        <w:gridCol w:w="109"/>
        <w:gridCol w:w="734"/>
        <w:gridCol w:w="1416"/>
        <w:gridCol w:w="381"/>
        <w:gridCol w:w="111"/>
        <w:gridCol w:w="111"/>
        <w:gridCol w:w="111"/>
        <w:gridCol w:w="425"/>
        <w:gridCol w:w="1454"/>
        <w:gridCol w:w="220"/>
        <w:gridCol w:w="111"/>
        <w:gridCol w:w="111"/>
        <w:gridCol w:w="111"/>
        <w:gridCol w:w="365"/>
        <w:gridCol w:w="1248"/>
        <w:gridCol w:w="282"/>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30,748 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6"/>
        <w:gridCol w:w="1400"/>
        <w:gridCol w:w="377"/>
        <w:gridCol w:w="111"/>
        <w:gridCol w:w="111"/>
        <w:gridCol w:w="111"/>
        <w:gridCol w:w="422"/>
        <w:gridCol w:w="1441"/>
        <w:gridCol w:w="218"/>
        <w:gridCol w:w="111"/>
        <w:gridCol w:w="111"/>
        <w:gridCol w:w="111"/>
        <w:gridCol w:w="361"/>
        <w:gridCol w:w="1236"/>
        <w:gridCol w:w="276"/>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ans-serif" w:hAnsi="Times New Roman;sans-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ans-serif" w:hAnsi="Times New Roman;sans-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ans-serif" w:hAnsi="Times New Roman;sans-serif"/>
          <w:b w:val="false"/>
          <w:color w:val="000000"/>
          <w:sz w:val="20"/>
        </w:rPr>
        <w:t xml:space="preserve">The valuation of the Company's contingent consideration is considered to be a Level 2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rPr>
        <w:t xml:space="preserve">value measurement. </w:t>
      </w:r>
      <w:r>
        <w:rPr>
          <w:rFonts w:ascii="Times New Roman;sans-serif" w:hAnsi="Times New Roman;sans-serif"/>
          <w:b w:val="false"/>
          <w:color w:val="000000"/>
          <w:sz w:val="20"/>
          <w:shd w:fill="FFFFFF" w:val="clear"/>
        </w:rPr>
        <w:t xml:space="preserve">Changes in the fair value of contingent earnout shares are included within loss on change in fair value of contingent earnout shares on the accompanying condensed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the Company to acquire any particular amount of shares, and the share repurchase program may be suspended or discontinued at any time at the Company’s discretion. As of </w:t>
      </w:r>
      <w:r>
        <w:rPr>
          <w:rFonts w:ascii="Times New Roman;sans-serif" w:hAnsi="Times New Roman;sans-serif"/>
          <w:b w:val="false"/>
          <w:color w:val="000000"/>
          <w:sz w:val="20"/>
          <w:shd w:fill="FFFFFF" w:val="clear"/>
        </w:rPr>
        <w:t>March 31, 2025, the Company acquired a total of 14,844,575 shares under the share repurchase program at a total purchase price of $153.8 million, of which 988,678 shares at a total purchase price of $10.2 million were acquired during the three</w:t>
      </w:r>
      <w:r>
        <w:rPr>
          <w:color w:val="000000"/>
        </w:rPr>
        <w:t xml:space="preserve"> </w:t>
      </w:r>
      <w:r>
        <w:rPr>
          <w:rFonts w:ascii="Times New Roman;sans-serif" w:hAnsi="Times New Roman;sans-serif"/>
          <w:b w:val="false"/>
          <w:color w:val="000000"/>
          <w:sz w:val="20"/>
        </w:rPr>
        <w:t>months ended March 31, 2025</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Segment Reporting</w:t>
      </w:r>
    </w:p>
    <w:p>
      <w:pPr>
        <w:pStyle w:val="TextBody"/>
        <w:bidi w:val="0"/>
        <w:spacing w:lineRule="auto" w:line="345" w:before="180" w:after="100"/>
        <w:ind w:left="0" w:right="0" w:firstLine="360"/>
        <w:jc w:val="both"/>
        <w:rPr/>
      </w:pPr>
      <w:r>
        <w:rPr>
          <w:rFonts w:ascii="Times New Roman;sans-serif" w:hAnsi="Times New Roman;sans-serif"/>
          <w:b w:val="false"/>
          <w:color w:val="000000"/>
          <w:sz w:val="20"/>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w:t>
      </w:r>
      <w:r>
        <w:rPr>
          <w:color w:val="000000"/>
          <w:shd w:fill="FFFFFF" w:val="clear"/>
        </w:rPr>
        <w:t xml:space="preserve"> </w:t>
      </w:r>
      <w:r>
        <w:rPr>
          <w:rFonts w:ascii="Times New Roman;sans-serif" w:hAnsi="Times New Roman;sans-serif"/>
          <w:b w:val="false"/>
          <w:color w:val="000000"/>
          <w:sz w:val="20"/>
          <w:shd w:fill="FFFFFF" w:val="clear"/>
        </w:rPr>
        <w:t xml:space="preserve">understand the Company’s underlying drivers of profitability, trends in its business, and to facilitate company-to-company and period-to-period comparisons. Segment asset information is provided to the CODM but is not used to allocate resources.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The Company defines Adjusted EBITDA</w:t>
      </w:r>
      <w:r>
        <w:rPr>
          <w:color w:val="000000"/>
          <w:shd w:fill="FFFFFF" w:val="clear"/>
        </w:rPr>
        <w:t xml:space="preserve"> </w:t>
      </w:r>
      <w:r>
        <w:rPr>
          <w:rFonts w:ascii="Times New Roman;sans-serif" w:hAnsi="Times New Roman;sans-serif"/>
          <w:b w:val="false"/>
          <w:color w:val="000000"/>
          <w:sz w:val="20"/>
          <w:shd w:fill="FFFFFF" w:val="clear"/>
        </w:rPr>
        <w:t>as net income plus: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Loss from unconsolidated affiliates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(Gain) loss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Interest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Emerging markets, which reflects the results, on an Adjusted EBITDA basis, for non-core jurisdictions where the Company’s operations are developing</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Income tax expense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distributed gaming reportable segment consists of the installation, maintenance, and operation of gaming terminals, redemption devices that disburse winnings and contain ATM functionality and other amusement devises in authorized non-casino locations such as restaurants, bars, convenience stores, liquor stores, truck stops and grocery stores. The Company’s operations and services are consistent in the Company’s markets.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with the acquisition of the FanDuel Sportsbook &amp; Horse Racing, which has been rebranded as Fairmount Park - Casino &amp; Racing in Collinsville, Illinois, that as of March 31, 2025, it has two operating segments: distributed gaming and casino and racing. However, due to the fact the construction of the Fairmount Park casino is in the process of being completed and the limited operations of racing in the winter months, the casino and racing operating segment does not reach the criteria of being a reportable segment in the first quarter of 2025. In April 2025, the Fairmount Park casino opened and the racing season began. As such, the Company expects to disclose a second reportable segment in the second quarter of 2025.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segment expenses, including disaggregated significant expenses that are presented within general and administrative expenses, are presented in the Company’s condensed consolidated statement of operations and comprehensive income and are included in the table below.</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financial information with respect to the Company’s single reportable segment, distributed gaming, for the for the three months ended March 31, 2025 and 2024. Additionally, the Company has included an "all other" operating segment which is its casino and racing business that is neither individually reportable nor able to be aggregated or combined with another operating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tbl>
      <w:tblPr>
        <w:tblW w:w="9576" w:type="dxa"/>
        <w:jc w:val="center"/>
        <w:tblInd w:w="0" w:type="dxa"/>
        <w:tblLayout w:type="fixed"/>
        <w:tblCellMar>
          <w:top w:w="28" w:type="dxa"/>
          <w:left w:w="28" w:type="dxa"/>
          <w:bottom w:w="28" w:type="dxa"/>
          <w:right w:w="28" w:type="dxa"/>
        </w:tblCellMar>
      </w:tblPr>
      <w:tblGrid>
        <w:gridCol w:w="2231"/>
        <w:gridCol w:w="1955"/>
        <w:gridCol w:w="1963"/>
        <w:gridCol w:w="109"/>
        <w:gridCol w:w="109"/>
        <w:gridCol w:w="109"/>
        <w:gridCol w:w="211"/>
        <w:gridCol w:w="826"/>
        <w:gridCol w:w="109"/>
        <w:gridCol w:w="109"/>
        <w:gridCol w:w="109"/>
        <w:gridCol w:w="109"/>
        <w:gridCol w:w="211"/>
        <w:gridCol w:w="826"/>
        <w:gridCol w:w="109"/>
        <w:gridCol w:w="109"/>
        <w:gridCol w:w="109"/>
        <w:gridCol w:w="109"/>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Total net revenues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Compensation related costs - operations</w:t>
            </w:r>
            <w:r>
              <w:rPr>
                <w:color w:val="000000"/>
              </w:rPr>
              <w:t xml:space="preser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Compensation related costs - general and administrative</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 other segment items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 for distributed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Adjusted EBITDA for “all other” operating segment </w:t>
            </w:r>
            <w:r>
              <w:rPr>
                <w:rFonts w:ascii="Times New Roman;sans-serif" w:hAnsi="Times New Roman;sans-serif"/>
                <w:b/>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change in fair value of contingent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45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(1)Total net revenues is further disaggregated by revenue stream as included on the condensed consolidated statements of operations and comprehensive income.</w:t>
      </w:r>
    </w:p>
    <w:p>
      <w:pPr>
        <w:pStyle w:val="TextBody"/>
        <w:bidi w:val="0"/>
        <w:spacing w:lineRule="auto" w:line="345" w:before="0" w:after="0"/>
        <w:ind w:left="0" w:right="0" w:hanging="45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(2)The significant expense categories and amounts align with the segment-level information that is regularly provided to the CODM.</w:t>
      </w:r>
    </w:p>
    <w:p>
      <w:pPr>
        <w:pStyle w:val="TextBody"/>
        <w:bidi w:val="0"/>
        <w:spacing w:lineRule="auto" w:line="345" w:before="0" w:after="0"/>
        <w:ind w:left="0" w:right="0" w:hanging="45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(3)Compensation related costs represent payroll and other related costs that are included in general and administrative on the condensed consolidated statements of operations and comprehensive income.</w:t>
      </w:r>
    </w:p>
    <w:p>
      <w:pPr>
        <w:pStyle w:val="TextBody"/>
        <w:bidi w:val="0"/>
        <w:spacing w:lineRule="auto" w:line="345" w:before="0" w:after="0"/>
        <w:ind w:left="0" w:right="0" w:hanging="45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(4)All other segment items include other operating and general and administrative expenses (such as general and administrative expenses related to parts, advertising, information technology, etc.) which are included in general and administrative on the condensed consolidated statements of operations and comprehensive income and cost of manufacturing good sold, as well as, adjustments for stock-based compensation expense and emerging markets.</w:t>
      </w:r>
    </w:p>
    <w:p>
      <w:pPr>
        <w:pStyle w:val="TextBody"/>
        <w:bidi w:val="0"/>
        <w:spacing w:lineRule="auto" w:line="345" w:before="0" w:after="0"/>
        <w:ind w:left="0" w:right="0" w:hanging="45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(5)All corporate expenses were allocated to the distributed gaming reportable segment as of March 31, 2025. The "all other" operating segment had total net revenues of $5.9 million; cost of revenues of $1.8 million; compensation related costs - operations of $2.6 million and all other segment items of $1.3 million.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assets associated with the distributed gaming segment are $1.0 billion and the assets for the "all other" operating segment were $34.2 million.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condensed consolidated financial statements for other financial information (such as cash used for capital expenditures, etc.) regarding the Company’s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Accel Entertainment, Inc. Long Term Incentive Plan, the Company issued 159,105 restricted stock units (“RSUs”) to the Board of Directors and certain eligible employees during the first quarter of 2025, which will vest over a period of 3 years for employees and by the end of 2025 for the Board of Directors. The Company also issued 242,230 performance-based restricted stock units (“PSUs”) to certain eligible employees during the first quarter of 2025,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$4.0 million.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Stock-based compensation expense, which pertains to the Company’s RSUs and PSUs, was $2.1 million for the three months ended March 31, 2025. In comparison, stock-based compensation expense was $2.4 million for the three months ended March 31, 2024. Stock-based compensation expense is included within </w:t>
      </w:r>
      <w:r>
        <w:rPr>
          <w:rFonts w:ascii="Times New Roman;sans-serif" w:hAnsi="Times New Roman;sans-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$5.0 million and $4.8 million for the three months ended March 31, 2025 and 2024,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25.5% and 39.1% for the three months ended March 31, 2025 and 2024,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Commitments and Contingencies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bidi w:val="0"/>
        <w:spacing w:lineRule="auto" w:line="345"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its exclusive rights with the Defendant Establishments (the “J&amp;J Assigned Agreements”). At the time of the assignment of such rights to J&amp;J, the Defendant Establishments were not yet licensed by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petition for leave to appeal was denied by the Illinois Supreme Court. The second case is awaiting a ruling at the trial court level. The Company does not have a present estimate regarding the potential damages, if any, that could potentially be awarded in this litigation and, accordingly, has established no reserves relating to such matters.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2019, the Company filed a lawsuit in the Circuit Court of Cook County, Illinois against Rowell and other parties related to Rowell’s breaches of his non-compete agreement with Accel. The Company alleged that Rowell and a competitor were working together to interfere with the Company’s customer relationships. On November 7, 2019, Rowell filed a lawsuit in the Circuit Court of Cook County, Illinois against the Company alleging that he had not received certain equity interests in the Company to which he was allegedly entitled under his agreement. On July 18, 2024, the Company and Rowell entered into a settlement agreement pursuant to which the Company paid Rowell $0.1 million in exchange for a mutual release of the Company's claims against Rowell and Rowell's claims against the Company. The litigation involving Action Gaming, J&amp;J, and the other parties, as described above, remains pending.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heard argument in January 2025. The judge granted and denied, in part, the motion for summary judgement. The parties are proceeding with discovery.</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has made the appropriate payments to the municipality during 2024 and 2025.</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 On March 21, 2025, the judge ruled in favor of the Company and a coalition of terminal operators’ motion for judgment on the pleadings that the municipality ordinance was pre-empted by State law as well as the other 54 municipal push tax ordinances. The cases were all dismissed and the municipality is expected to appeal.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Earnings Per Share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components of basic and diluted earnings per share </w:t>
      </w:r>
      <w:r>
        <w:rPr>
          <w:rFonts w:ascii="Times New Roman;sans-serif" w:hAnsi="Times New Roman;sans-serif"/>
          <w:b w:val="false"/>
          <w:color w:val="000000"/>
          <w:sz w:val="20"/>
          <w:shd w:fill="FFFFFF" w:val="clear"/>
        </w:rPr>
        <w:t>(“EPS”)</w:t>
      </w:r>
      <w:r>
        <w:rPr>
          <w:color w:val="000000"/>
        </w:rPr>
        <w:t xml:space="preserve"> </w:t>
      </w:r>
      <w:r>
        <w:rPr>
          <w:rFonts w:ascii="Times New Roman;sans-serif" w:hAnsi="Times New Roman;sans-serif"/>
          <w:b w:val="false"/>
          <w:color w:val="000000"/>
          <w:sz w:val="20"/>
        </w:rPr>
        <w:t>were as follows for the three months ended March 31 (in thousands, except per share amounts):</w:t>
      </w:r>
    </w:p>
    <w:tbl>
      <w:tblPr>
        <w:tblW w:w="7990" w:type="dxa"/>
        <w:jc w:val="center"/>
        <w:tblInd w:w="0" w:type="dxa"/>
        <w:tblLayout w:type="fixed"/>
        <w:tblCellMar>
          <w:top w:w="28" w:type="dxa"/>
          <w:left w:w="28" w:type="dxa"/>
          <w:bottom w:w="28" w:type="dxa"/>
          <w:right w:w="28" w:type="dxa"/>
        </w:tblCellMar>
      </w:tblPr>
      <w:tblGrid>
        <w:gridCol w:w="1884"/>
        <w:gridCol w:w="1658"/>
        <w:gridCol w:w="1663"/>
        <w:gridCol w:w="211"/>
        <w:gridCol w:w="721"/>
        <w:gridCol w:w="109"/>
        <w:gridCol w:w="109"/>
        <w:gridCol w:w="109"/>
        <w:gridCol w:w="109"/>
        <w:gridCol w:w="211"/>
        <w:gridCol w:w="616"/>
        <w:gridCol w:w="109"/>
        <w:gridCol w:w="109"/>
        <w:gridCol w:w="109"/>
        <w:gridCol w:w="109"/>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4,382,703 and 4,339,250 shares as of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2024. This discussion and analysis should also be read in conjunction with “Management’s Discussion and Analysis of Financial Condition and Results of Operations”, set forth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Company Overview</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 such as our recent acquisition of the FanDuel Sportsbook &amp; Horse Racing, which has been rebranded as Fairmount Park - Casino &amp; Racing (“Fairmount”) in Collinsville, Illinois. In April 2025, the casino opened and the racing season began at Fairmount.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in the following states:    </w:t>
      </w:r>
    </w:p>
    <w:tbl>
      <w:tblPr>
        <w:tblW w:w="10205"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638"/>
        <w:gridCol w:w="638"/>
        <w:gridCol w:w="640"/>
        <w:gridCol w:w="109"/>
        <w:gridCol w:w="109"/>
        <w:gridCol w:w="109"/>
        <w:gridCol w:w="567"/>
        <w:gridCol w:w="567"/>
        <w:gridCol w:w="572"/>
        <w:gridCol w:w="109"/>
        <w:gridCol w:w="109"/>
        <w:gridCol w:w="109"/>
        <w:gridCol w:w="1385"/>
        <w:gridCol w:w="1385"/>
        <w:gridCol w:w="197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Operations</w:t>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ans-serif" w:hAnsi="Times New Roman;sans-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Large truck stops (Up to 10 gaming terminals)</w:t>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Fairmount Park - Casino + Racing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an active horse racing track with ~50 annual race days starting April 2025</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Opened Phase I casino in April 2025 with Phase II build out of a permanent facility anticipated to start shortly.</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Revenue share agreement with FanDuel to operate a sportsbook at Fairmount </w:t>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Business locations licensed to sell alcoholic beverages for on-premises consumption only, including locations restricted to offering a maximum of 20 gaming terminals</w:t>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438"/>
        <w:gridCol w:w="385"/>
        <w:gridCol w:w="393"/>
        <w:gridCol w:w="109"/>
        <w:gridCol w:w="109"/>
        <w:gridCol w:w="109"/>
        <w:gridCol w:w="565"/>
        <w:gridCol w:w="565"/>
        <w:gridCol w:w="566"/>
        <w:gridCol w:w="109"/>
        <w:gridCol w:w="109"/>
        <w:gridCol w:w="109"/>
        <w:gridCol w:w="847"/>
        <w:gridCol w:w="574"/>
        <w:gridCol w:w="576"/>
        <w:gridCol w:w="109"/>
        <w:gridCol w:w="109"/>
        <w:gridCol w:w="109"/>
        <w:gridCol w:w="1322"/>
        <w:gridCol w:w="1239"/>
        <w:gridCol w:w="1754"/>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Operations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Designs and manufactures gaming terminals and software that are sold to Montana, South Dakota, and West Virginia</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Develops proprietary gaming terminals and related software as well as other ancillary equipment for our distributed gaming routes in Montana, Nevada, Nebraska and Georgia</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Yellowstone Casino and other local retail/parlor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Retail gaming locations licensed to sell alcoholic beverages and offering a maximum of 20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Certain locations have attractive food offerings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Currently, we have five parlor locations </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Games are generally limited to 15 or fewer gaming terminals with no other forms of gaming activity permitted</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Retail establishments include any business location that is open to the public for the sale of goods other than gaming terminals and that possesses a valid sales tax permit</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ans-serif" w:hAnsi="Times New Roman;sans-serif"/>
                <w:b w:val="false"/>
                <w:color w:val="000000"/>
                <w:sz w:val="20"/>
              </w:rPr>
              <w:t>Operate gaming terminals which are skill-based coin-operated amusement machines with winnings paid in points that may be redeemed for noncash merchandise, prizes, toys, gift cards, or novelties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Toucan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Truck stop gaming parlors (up to 50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Establishments with a liquor license (up to 3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Veterans’ organizations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amusement concessions, including games of chance and games of skill, which we define as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 taverns, and restaurants with a certain class of liquor license are permitted to operate up to four electrical or mechanical games of chance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Licensed to operate at qualified truck stops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Actively exploring opportunities </w:t>
            </w:r>
          </w:p>
        </w:tc>
      </w:tr>
    </w:tbl>
    <w:p>
      <w:pPr>
        <w:pStyle w:val="TextBody"/>
        <w:bidi w:val="0"/>
        <w:spacing w:before="0" w:after="0"/>
        <w:ind w:left="0" w:right="0" w:firstLine="90"/>
        <w:jc w:val="left"/>
        <w:rPr/>
      </w:pPr>
      <w:r>
        <w:rPr/>
      </w:r>
    </w:p>
    <w:p>
      <w:pPr>
        <w:pStyle w:val="TextBody"/>
        <w:bidi w:val="0"/>
        <w:spacing w:before="160" w:after="283"/>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ind w:left="0" w:right="0" w:firstLine="9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Distributed Gaming Competitive Landscape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in the distributed gaming landscape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tbl>
      <w:tblPr>
        <w:tblW w:w="10205" w:type="dxa"/>
        <w:jc w:val="left"/>
        <w:tblInd w:w="0" w:type="dxa"/>
        <w:tblLayout w:type="fixed"/>
        <w:tblCellMar>
          <w:top w:w="28" w:type="dxa"/>
          <w:left w:w="28" w:type="dxa"/>
          <w:bottom w:w="28" w:type="dxa"/>
          <w:right w:w="28" w:type="dxa"/>
        </w:tblCellMar>
      </w:tblPr>
      <w:tblGrid>
        <w:gridCol w:w="2038"/>
        <w:gridCol w:w="1792"/>
        <w:gridCol w:w="1771"/>
        <w:gridCol w:w="109"/>
        <w:gridCol w:w="109"/>
        <w:gridCol w:w="109"/>
        <w:gridCol w:w="1294"/>
        <w:gridCol w:w="1234"/>
        <w:gridCol w:w="1749"/>
      </w:tblGrid>
      <w:tr>
        <w:trPr/>
        <w:tc>
          <w:tcPr>
            <w:tcW w:w="203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Statutory Splits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Negotiated Splits</w:t>
            </w:r>
          </w:p>
        </w:tc>
      </w:tr>
      <w:tr>
        <w:trPr/>
        <w:tc>
          <w:tcPr>
            <w:tcW w:w="5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terminal income splits are statutorily predetermined; minimum and maximum wagers are mandated by the applicable governing bodies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terminal income splits are negotiated </w:t>
            </w:r>
          </w:p>
        </w:tc>
      </w:tr>
      <w:tr>
        <w:trPr/>
        <w:tc>
          <w:tcPr>
            <w:tcW w:w="5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Pricing is not considered a factor as revenue splits with our locations are mandated by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Pricing is driver in contract negotiations as all revenue splits are negotiated</w:t>
            </w:r>
          </w:p>
        </w:tc>
      </w:tr>
      <w:tr>
        <w:trPr/>
        <w:tc>
          <w:tcPr>
            <w:tcW w:w="5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and customer experience are key differentiating factors for selecting us over our competitors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focus on player appeal, customer service and reputation are also key factors impacting competition</w:t>
            </w:r>
          </w:p>
        </w:tc>
      </w:tr>
      <w:tr>
        <w:trPr/>
        <w:tc>
          <w:tcPr>
            <w:tcW w:w="5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markets with statutory splits are: Illinois, Georgia, 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markets with negotiated splits are: Montana, Nevada, Nebraska, Iowa, Louisiana</w:t>
            </w:r>
          </w:p>
        </w:tc>
      </w:tr>
    </w:tbl>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Ongoing interest rate uncertainty, persistent inflation and increased and/or reciprocal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observed material impacts in our business or outlook, outside of observed increases in our costs related to higher wages and increased interest expense on our debt. In the first half of 2024, we accelerated certain of our capital expenditures related to gaming machines and related components to manage our supply chain.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Performance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revenues</w:t>
      </w:r>
    </w:p>
    <w:p>
      <w:pPr>
        <w:pStyle w:val="TextBody"/>
        <w:bidi w:val="0"/>
        <w:spacing w:lineRule="auto" w:line="345" w:before="160" w:after="283"/>
        <w:jc w:val="both"/>
        <w:rPr/>
      </w:pPr>
      <w:r>
        <w:rPr>
          <w:rFonts w:ascii="Times New Roman;sans-serif" w:hAnsi="Times New Roman;sans-serif"/>
          <w:b w:val="false"/>
          <w:i/>
          <w:color w:val="000000"/>
          <w:sz w:val="20"/>
          <w:shd w:fill="FFFFFF" w:val="clear"/>
        </w:rPr>
        <w:t xml:space="preserve">Net gaming. </w:t>
      </w:r>
      <w:r>
        <w:rPr>
          <w:rFonts w:ascii="Times New Roman;sans-serif" w:hAnsi="Times New Roman;sans-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bidi w:val="0"/>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and software as well as other ancillary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ATM fees and other. </w:t>
      </w:r>
      <w:r>
        <w:rPr>
          <w:rFonts w:ascii="Times New Roman;sans-serif" w:hAnsi="Times New Roman;sans-serif"/>
          <w:b w:val="false"/>
          <w:color w:val="000000"/>
          <w:sz w:val="20"/>
        </w:rPr>
        <w:t>ATM fees and other consist of fees charged for the withdrawal of funds from our redemption devices and stand-alone ATMs and is recognized at the time of the ATM transaction. Beginning in the first quarter of 2025, revenues from our racing operations are also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Cost of revenue consists of (i) taxes on net gaming revenue that is payable to the appropriate jurisdiction (effective July 1, 2024, the tax on net gaming revenue in the State of Illinois increased from 34% to 35%, which is split equally between us and our locations in Illinois), (ii) licenses, permits and other fees required for the operation of our business, (iii) location revenue share, which is governed by local governing bodies and location contracts, (iv) ATM and amusement commissions payable to locations, (v) ATM and amusement fees and (vi) expenses from our racing operations.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manufacturing goods sold. </w:t>
      </w:r>
      <w:r>
        <w:rPr>
          <w:rFonts w:ascii="Times New Roman;sans-serif" w:hAnsi="Times New Roman;sans-serif"/>
          <w:b w:val="false"/>
          <w:color w:val="000000"/>
          <w:sz w:val="20"/>
        </w:rPr>
        <w:t>Cost of manufacturing goods sold consists of costs associated with the sale of gaming terminals and software as well as other ancillary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compensation-related costs for account managers, business development managers, marketing, and other corporate personnel. In addition, general and administrative expense also includes marketing, information technology, insurance, rent and professional fees.</w:t>
      </w:r>
    </w:p>
    <w:p>
      <w:pPr>
        <w:pStyle w:val="TextBody"/>
        <w:bidi w:val="0"/>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 net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expense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45" w:before="240" w:after="283"/>
        <w:ind w:left="0" w:right="0" w:firstLine="360"/>
        <w:jc w:val="left"/>
        <w:rPr/>
      </w:pPr>
      <w:r>
        <w:rPr>
          <w:rFonts w:ascii="Times New Roman;sans-serif" w:hAnsi="Times New Roman;sans-serif"/>
          <w:b w:val="false"/>
          <w:color w:val="000000"/>
          <w:sz w:val="20"/>
          <w:shd w:fill="FFFFFF" w:val="clear"/>
        </w:rPr>
        <w:t>The following table summarizes our results of operations on a consolidated basis 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March 31, 2025 and 2024:</w:t>
      </w:r>
    </w:p>
    <w:tbl>
      <w:tblPr>
        <w:tblW w:w="10205" w:type="dxa"/>
        <w:jc w:val="center"/>
        <w:tblInd w:w="0" w:type="dxa"/>
        <w:tblLayout w:type="fixed"/>
        <w:tblCellMar>
          <w:top w:w="28" w:type="dxa"/>
          <w:left w:w="28" w:type="dxa"/>
          <w:bottom w:w="28" w:type="dxa"/>
          <w:right w:w="28" w:type="dxa"/>
        </w:tblCellMar>
      </w:tblPr>
      <w:tblGrid>
        <w:gridCol w:w="1819"/>
        <w:gridCol w:w="1414"/>
        <w:gridCol w:w="14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66"/>
        <w:gridCol w:w="292"/>
        <w:gridCol w:w="576"/>
      </w:tblGrid>
      <w:tr>
        <w:trPr/>
        <w:tc>
          <w:tcPr>
            <w:tcW w:w="181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for the three months ended March 31, 2025 were $323.9 million, an increase of $22.1 million, or 7.3%, compared to the prior-year period. This increase was primarily driven by higher net gaming revenue of $13.8 million, which reflected an increase in gaming locations and terminals, and higher ATM fees and other revenue of $12.2 million, an increase of $6.9 million, or 128.3%, which included revenue from our racing operations. Net revenues by state are presented below:</w:t>
      </w:r>
    </w:p>
    <w:tbl>
      <w:tblPr>
        <w:tblW w:w="7475"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three months ended March 31, 2025 was $221.5 million, an increase of $12.3 million, or 5.9%, compared to the prior-year period, driven by higher net gaming revenue and revenue from our racing operations,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three months ended March 31, 2025 was $2.1 million, an increase of $0.9 million, or 79.1%, compared to the prior-year period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three months ended March 31, 2025 were $53.0 million, an increase of $5.4 million, or 11.3%, compared to the prior-year period. The increase was attributable to higher compensation-related costs, as we continue to grow our operations, partially offset by lower parts and repair expense.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 for the three months ended March 31, 2025 was $12.3 million, an increase of $1.9 million, or 17.9%, compared to the prior-year period due to an increased number of gaming terminals.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pPr>
      <w:r>
        <w:rPr>
          <w:rFonts w:ascii="Times New Roman;sans-serif" w:hAnsi="Times New Roman;sans-serif"/>
          <w:b w:val="false"/>
          <w:color w:val="000000"/>
          <w:sz w:val="20"/>
        </w:rPr>
        <w:t>Amortization of intangible assets and route and customer acquisition costs for the three months ended March 31, 2025 were $6.3 million, an increase of $0.9 million, or 15.7%, compared to the prior-year period due to higher a</w:t>
      </w:r>
      <w:r>
        <w:rPr>
          <w:rFonts w:ascii="Times New Roman;sans-serif" w:hAnsi="Times New Roman;sans-serif"/>
          <w:b w:val="false"/>
          <w:color w:val="000000"/>
          <w:sz w:val="20"/>
          <w:shd w:fill="FFFFFF" w:val="clear"/>
        </w:rPr>
        <w:t>mortization expenses on location contracts acquired</w:t>
      </w:r>
      <w:r>
        <w:rPr>
          <w:rFonts w:ascii="Times New Roman;sans-serif" w:hAnsi="Times New Roman;sans-serif"/>
          <w:b w:val="false"/>
          <w:color w:val="000000"/>
          <w:sz w:val="20"/>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net for the three months ended March 31, 2025 were $2.8 million, an increase of $0.4 million, or 16.1%, compared to the prior-year period. The increase was primarily attributable to higher non-recurring expenses related to acquisitions.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Interest expense, net for the three months ended March 31, 2025 was $8.7 million, which was essentially flat compared to the prior-year period. We experienced an increase in average outstanding debt, which was offset by lower interest expense. For the three months ended March 31, 2025, the weighted average interest rate, excluding the impact of our interest rate caplets, was approximately 6.5% compared to 7.7% in the prior-year period</w:t>
      </w:r>
      <w:r>
        <w:rPr>
          <w:rFonts w:ascii="Times New Roman;sans-serif" w:hAnsi="Times New Roman;sans-serif"/>
          <w:b w:val="false"/>
          <w:color w:val="000000"/>
          <w:sz w:val="20"/>
          <w:shd w:fill="FFFFFF" w:val="clear"/>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(Gain) loss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change in the fair value of contingent earnout shares for the three months ended March 31, 2025 was a gain of $2.4 million, compared to a loss of $4.7 million the prior-</w:t>
      </w:r>
      <w:r>
        <w:rPr>
          <w:rFonts w:ascii="Times New Roman;sans-serif" w:hAnsi="Times New Roman;sans-serif"/>
          <w:b w:val="false"/>
          <w:color w:val="000000"/>
          <w:sz w:val="20"/>
          <w:shd w:fill="FFFFFF" w:val="clear"/>
        </w:rPr>
        <w:t xml:space="preserve">year period. </w:t>
      </w:r>
      <w:r>
        <w:rPr>
          <w:rFonts w:ascii="Times New Roman;sans-serif" w:hAnsi="Times New Roman;sans-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March 31, 2025 was $5.0 million, an increase of $0.2 million, or 4.7%, compared to the prior-year period. The effective tax rate for the three months ended March 31, 2025 was 25.5% compared to 39.1%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Business Metrics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Location hold-per-day</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5804" w:type="dxa"/>
        <w:jc w:val="center"/>
        <w:tblInd w:w="0" w:type="dxa"/>
        <w:tblLayout w:type="fixed"/>
        <w:tblCellMar>
          <w:top w:w="28" w:type="dxa"/>
          <w:left w:w="28" w:type="dxa"/>
          <w:bottom w:w="28" w:type="dxa"/>
          <w:right w:w="28" w:type="dxa"/>
        </w:tblCellMar>
      </w:tblPr>
      <w:tblGrid>
        <w:gridCol w:w="336"/>
        <w:gridCol w:w="295"/>
        <w:gridCol w:w="300"/>
        <w:gridCol w:w="308"/>
        <w:gridCol w:w="308"/>
        <w:gridCol w:w="176"/>
        <w:gridCol w:w="160"/>
        <w:gridCol w:w="160"/>
        <w:gridCol w:w="160"/>
        <w:gridCol w:w="308"/>
        <w:gridCol w:w="308"/>
        <w:gridCol w:w="176"/>
        <w:gridCol w:w="109"/>
        <w:gridCol w:w="109"/>
        <w:gridCol w:w="109"/>
        <w:gridCol w:w="250"/>
        <w:gridCol w:w="250"/>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our primary locations:</w:t>
      </w:r>
    </w:p>
    <w:tbl>
      <w:tblPr>
        <w:tblW w:w="6130" w:type="dxa"/>
        <w:jc w:val="center"/>
        <w:tblInd w:w="0" w:type="dxa"/>
        <w:tblLayout w:type="fixed"/>
        <w:tblCellMar>
          <w:top w:w="28" w:type="dxa"/>
          <w:left w:w="28" w:type="dxa"/>
          <w:bottom w:w="28" w:type="dxa"/>
          <w:right w:w="28" w:type="dxa"/>
        </w:tblCellMar>
      </w:tblPr>
      <w:tblGrid>
        <w:gridCol w:w="336"/>
        <w:gridCol w:w="295"/>
        <w:gridCol w:w="300"/>
        <w:gridCol w:w="360"/>
        <w:gridCol w:w="361"/>
        <w:gridCol w:w="176"/>
        <w:gridCol w:w="160"/>
        <w:gridCol w:w="160"/>
        <w:gridCol w:w="160"/>
        <w:gridCol w:w="360"/>
        <w:gridCol w:w="361"/>
        <w:gridCol w:w="176"/>
        <w:gridCol w:w="109"/>
        <w:gridCol w:w="109"/>
        <w:gridCol w:w="109"/>
        <w:gridCol w:w="308"/>
        <w:gridCol w:w="308"/>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pPr>
      <w:r>
        <w:rPr>
          <w:rFonts w:ascii="Times New Roman;sans-serif" w:hAnsi="Times New Roman;sans-serif"/>
          <w:b w:val="false"/>
          <w:i/>
          <w:color w:val="000000"/>
          <w:sz w:val="20"/>
        </w:rPr>
        <w:t>Location hold-per-day</w:t>
      </w:r>
      <w:r>
        <w:rPr>
          <w:color w:val="000000"/>
          <w:shd w:fill="FFFFFF" w:val="clear"/>
        </w:rPr>
        <w:t xml:space="preserve">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hold-per-day is calculated by dividing net gaming revenue in the period by the average number of locations. Then divide the calculated amount by the number of operational days. We utilize this metric to compare market and location performance on a normalized basis. The percent change in location hold-per-day is the underlying metric we use to determine the change in same-store sales.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following tables set forth information with respect to our location hold-per-day</w:t>
      </w:r>
      <w:r>
        <w:rPr>
          <w:color w:val="000000"/>
          <w:shd w:fill="FFFFFF" w:val="clear"/>
        </w:rPr>
        <w:t xml:space="preserve"> </w:t>
      </w:r>
      <w:r>
        <w:rPr>
          <w:rFonts w:ascii="Times New Roman;sans-serif" w:hAnsi="Times New Roman;sans-serif"/>
          <w:b w:val="false"/>
          <w:color w:val="000000"/>
          <w:sz w:val="20"/>
        </w:rPr>
        <w:t>in our primary locations for the three months ended:</w:t>
      </w:r>
    </w:p>
    <w:tbl>
      <w:tblPr>
        <w:tblW w:w="578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285"/>
        <w:gridCol w:w="240"/>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are non-GAAP financial measures, but are key metrics management uses to monitor ongoing core operations. 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 </w:t>
      </w:r>
    </w:p>
    <w:p>
      <w:pPr>
        <w:pStyle w:val="TextBody"/>
        <w:bidi w:val="0"/>
        <w:spacing w:lineRule="auto" w:line="288" w:before="180" w:after="283"/>
        <w:jc w:val="left"/>
        <w:rPr/>
      </w:pPr>
      <w:r>
        <w:rPr>
          <w:rFonts w:ascii="Times New Roman;sans-serif" w:hAnsi="Times New Roman;sans-serif"/>
          <w:b/>
          <w:color w:val="000000"/>
          <w:sz w:val="20"/>
        </w:rPr>
        <w:t xml:space="preserve">Adjusted net income </w:t>
      </w:r>
      <w:r>
        <w:rPr>
          <w:rFonts w:ascii="Times New Roman;sans-serif" w:hAnsi="Times New Roman;sans-serif"/>
          <w:b w:val="false"/>
          <w:color w:val="000000"/>
          <w:sz w:val="20"/>
        </w:rPr>
        <w:t xml:space="preserve">is defined as net income plus: </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 xml:space="preserve">Amortization of intangible assets and route and customer acquisition costs </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Loss from unconsolidated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(Gain) loss on change in fair value of contingent earnout shares</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Tax effect of adjustments</w:t>
      </w:r>
    </w:p>
    <w:p>
      <w:pPr>
        <w:pStyle w:val="TextBody"/>
        <w:bidi w:val="0"/>
        <w:spacing w:lineRule="auto" w:line="345" w:before="180" w:after="283"/>
        <w:jc w:val="left"/>
        <w:rPr/>
      </w:pPr>
      <w:r>
        <w:rPr>
          <w:rFonts w:ascii="Times New Roman;sans-serif" w:hAnsi="Times New Roman;sans-serif"/>
          <w:b/>
          <w:color w:val="000000"/>
          <w:sz w:val="20"/>
          <w:shd w:fill="FFFFFF" w:val="clear"/>
        </w:rPr>
        <w:t>Adjusted EBITDA</w:t>
      </w:r>
      <w:r>
        <w:rPr>
          <w:color w:val="000000"/>
          <w:shd w:fill="FFFFFF" w:val="clear"/>
        </w:rPr>
        <w:t xml:space="preserve"> </w:t>
      </w:r>
      <w:r>
        <w:rPr>
          <w:rFonts w:ascii="Times New Roman;sans-serif" w:hAnsi="Times New Roman;sans-serif"/>
          <w:b w:val="false"/>
          <w:color w:val="000000"/>
          <w:sz w:val="20"/>
          <w:shd w:fill="FFFFFF" w:val="clear"/>
        </w:rPr>
        <w:t>is defined as net income plus: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Loss from unconsolidated affiliates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(Gain) loss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Tax effect of adjustments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Emerging markets which reflects the results, on an Adjusted EBITDA basis, for non-core jurisdictions where our operations are developing</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We currently view Pennsylvania as an emerging market</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Prior to January 2024, Iowa was considered an emerging market</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Income tax expense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0" w:after="0"/>
        <w:jc w:val="left"/>
        <w:rPr/>
      </w:pPr>
      <w:r>
        <w:rPr>
          <w:rFonts w:ascii="Times New Roman;sans-serif" w:hAnsi="Times New Roman;sans-serif"/>
          <w:b/>
          <w:i/>
          <w:color w:val="000000"/>
          <w:sz w:val="20"/>
          <w:shd w:fill="FFFFFF" w:val="clear"/>
        </w:rPr>
        <w:t xml:space="preserve">Adjusted </w:t>
      </w:r>
      <w:r>
        <w:rPr>
          <w:rFonts w:ascii="Times New Roman;sans-serif" w:hAnsi="Times New Roman;sans-serif"/>
          <w:b/>
          <w:i/>
          <w:color w:val="000000"/>
          <w:sz w:val="20"/>
        </w:rPr>
        <w:t>net income</w:t>
      </w:r>
      <w:r>
        <w:rPr>
          <w:color w:val="000000"/>
          <w:shd w:fill="FFFFFF" w:val="clear"/>
        </w:rPr>
        <w:t xml:space="preserve"> </w:t>
      </w:r>
      <w:r>
        <w:rPr>
          <w:rFonts w:ascii="Times New Roman;sans-serif" w:hAnsi="Times New Roman;sans-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510"/>
        <w:gridCol w:w="1256"/>
        <w:gridCol w:w="1272"/>
        <w:gridCol w:w="211"/>
        <w:gridCol w:w="721"/>
        <w:gridCol w:w="109"/>
        <w:gridCol w:w="109"/>
        <w:gridCol w:w="109"/>
        <w:gridCol w:w="109"/>
        <w:gridCol w:w="211"/>
        <w:gridCol w:w="721"/>
        <w:gridCol w:w="109"/>
        <w:gridCol w:w="109"/>
        <w:gridCol w:w="109"/>
        <w:gridCol w:w="109"/>
        <w:gridCol w:w="221"/>
        <w:gridCol w:w="647"/>
        <w:gridCol w:w="114"/>
        <w:gridCol w:w="112"/>
        <w:gridCol w:w="112"/>
        <w:gridCol w:w="112"/>
        <w:gridCol w:w="329"/>
        <w:gridCol w:w="334"/>
        <w:gridCol w:w="527"/>
        <w:gridCol w:w="109"/>
        <w:gridCol w:w="109"/>
        <w:gridCol w:w="109"/>
        <w:gridCol w:w="109"/>
        <w:gridCol w:w="109"/>
        <w:gridCol w:w="109"/>
        <w:gridCol w:w="109"/>
        <w:gridCol w:w="160"/>
      </w:tblGrid>
      <w:tr>
        <w:trPr/>
        <w:tc>
          <w:tcPr>
            <w:tcW w:w="151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change in fair value of contingent earnout shares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of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markets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Adjusted EBITDA for the three</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2025, was </w:t>
      </w:r>
      <w:r>
        <w:rPr>
          <w:rFonts w:ascii="Times New Roman;sans-serif" w:hAnsi="Times New Roman;sans-serif"/>
          <w:b w:val="false"/>
          <w:color w:val="000000"/>
          <w:sz w:val="20"/>
        </w:rPr>
        <w:t>$49.5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an increase of $3.3 million, or 7.1%</w:t>
      </w:r>
      <w:r>
        <w:rPr>
          <w:rFonts w:ascii="Times New Roman;sans-serif" w:hAnsi="Times New Roman;sans-serif"/>
          <w:b w:val="false"/>
          <w:color w:val="000000"/>
          <w:sz w:val="20"/>
          <w:shd w:fill="FFFFFF" w:val="clear"/>
        </w:rPr>
        <w:t xml:space="preserve">, compared to the prior-year period. </w:t>
      </w:r>
      <w:r>
        <w:rPr>
          <w:rFonts w:ascii="Times New Roman;sans-serif" w:hAnsi="Times New Roman;sans-serif"/>
          <w:b w:val="false"/>
          <w:color w:val="000000"/>
          <w:sz w:val="20"/>
        </w:rPr>
        <w:t>The increase was attributable to an increase in the number of locations and gaming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We believe that our cash and cash equivalents, cash flows from operations and borrowing availability under the Credit Agreement (as defined below) will be sufficient to meet our capital requirements for the next twelve months. Our primary short-term cash needs are paying operating expenses and contingent earnout payments, purchases of property and equipment, servicing outstanding indebtedness, and funding our Board of Directors approved share repurchase program and near-term acquisitions. As of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we had $271.9 million in cash and cash equivalents.</w:t>
      </w:r>
    </w:p>
    <w:p>
      <w:pPr>
        <w:pStyle w:val="TextBody"/>
        <w:bidi w:val="0"/>
        <w:spacing w:lineRule="auto" w:line="345"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$150.0 million revolving credit facility, including a letter of credit facility with a $10.0 million sublimit and a swingline </w:t>
      </w:r>
      <w:r>
        <w:rPr>
          <w:rFonts w:ascii="Times New Roman;sans-serif" w:hAnsi="Times New Roman;sans-serif"/>
          <w:b w:val="false"/>
          <w:color w:val="000000"/>
          <w:sz w:val="20"/>
        </w:rPr>
        <w:t xml:space="preserve">facility with a $10.0 million sublimit,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a $350.0 million initial term loan facility, and</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 $400.0 million delayed draw term loan facility </w:t>
      </w:r>
      <w:r>
        <w:rPr>
          <w:rFonts w:ascii="Times New Roman;sans-serif" w:hAnsi="Times New Roman;sans-serif"/>
          <w:b w:val="false"/>
          <w:color w:val="000000"/>
          <w:sz w:val="20"/>
          <w:shd w:fill="FFFFFF" w:val="clear"/>
        </w:rPr>
        <w:t>(“DDTL”)</w:t>
      </w:r>
    </w:p>
    <w:p>
      <w:pPr>
        <w:pStyle w:val="TextBody"/>
        <w:bidi w:val="0"/>
        <w:spacing w:lineRule="auto" w:line="348" w:before="180" w:after="283"/>
        <w:ind w:left="0" w:right="0" w:firstLine="360"/>
        <w:jc w:val="both"/>
        <w:rPr/>
      </w:pPr>
      <w:r>
        <w:rPr>
          <w:rFonts w:ascii="Times New Roman;sans-serif" w:hAnsi="Times New Roman;sans-serif"/>
          <w:b w:val="false"/>
          <w:color w:val="000000"/>
          <w:sz w:val="20"/>
          <w:shd w:fill="FFFFFF" w:val="clear"/>
        </w:rPr>
        <w:t xml:space="preserve">Our ability to borrow on the DDTL ended on October 22, 2024. </w:t>
      </w:r>
      <w:r>
        <w:rPr>
          <w:rFonts w:ascii="Times New Roman;sans-serif" w:hAnsi="Times New Roman;sans-serif"/>
          <w:b w:val="false"/>
          <w:color w:val="000000"/>
          <w:sz w:val="20"/>
        </w:rPr>
        <w:t xml:space="preserve">The maturity date of the Credit Agreement is October 22, 2026. </w:t>
      </w:r>
    </w:p>
    <w:p>
      <w:pPr>
        <w:pStyle w:val="TextBody"/>
        <w:bidi w:val="0"/>
        <w:spacing w:lineRule="auto" w:line="34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2025, there remained $150 million of availability under the Credit Agreement and the weighted-average interest rate on our borrowings under the Credit Agreement was approximately 6.5%.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8" w:before="180" w:after="283"/>
        <w:ind w:left="0" w:right="0" w:firstLine="360"/>
        <w:jc w:val="both"/>
        <w:rPr/>
      </w:pPr>
      <w:r>
        <w:rPr>
          <w:rFonts w:ascii="Times New Roman;sans-serif" w:hAnsi="Times New Roman;sans-serif"/>
          <w:b w:val="false"/>
          <w:color w:val="000000"/>
          <w:sz w:val="20"/>
          <w:shd w:fill="FFFFFF" w:val="clear"/>
        </w:rPr>
        <w:t xml:space="preserve">We were in compliance with all debt covenants under the Credit Agreement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and expect to remain in compliance</w:t>
      </w:r>
      <w:r>
        <w:rPr>
          <w:color w:val="000000"/>
        </w:rPr>
        <w:t xml:space="preserve"> </w:t>
      </w:r>
      <w:r>
        <w:rPr>
          <w:rFonts w:ascii="Times New Roman;sans-serif" w:hAnsi="Times New Roman;sans-serif"/>
          <w:b w:val="false"/>
          <w:color w:val="000000"/>
          <w:sz w:val="20"/>
        </w:rPr>
        <w:t xml:space="preserve">for the next 12 months. </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SOFR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We recognized an </w:t>
      </w:r>
      <w:r>
        <w:rPr>
          <w:rFonts w:ascii="Times New Roman;sans-serif" w:hAnsi="Times New Roman;sans-serif"/>
          <w:b w:val="false"/>
          <w:color w:val="000000"/>
          <w:sz w:val="20"/>
        </w:rPr>
        <w:t>unrealized loss, net of taxes,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$1.1 million for the three months ended </w:t>
      </w:r>
      <w:r>
        <w:rPr>
          <w:rFonts w:ascii="Times New Roman;sans-serif" w:hAnsi="Times New Roman;sans-serif"/>
          <w:b w:val="false"/>
          <w:color w:val="000000"/>
          <w:sz w:val="20"/>
          <w:shd w:fill="FFFFFF" w:val="clear"/>
        </w:rPr>
        <w:t xml:space="preserve">March 31, 2025. In comparison, we recognized an unrealized gain of </w:t>
      </w:r>
      <w:r>
        <w:rPr>
          <w:rFonts w:ascii="Times New Roman;sans-serif" w:hAnsi="Times New Roman;sans-serif"/>
          <w:b w:val="false"/>
          <w:color w:val="000000"/>
          <w:sz w:val="20"/>
        </w:rPr>
        <w:t>$1.1 million</w:t>
      </w:r>
      <w:r>
        <w:rPr>
          <w:rFonts w:ascii="Times New Roman;sans-serif" w:hAnsi="Times New Roman;sans-serif"/>
          <w:b w:val="false"/>
          <w:color w:val="000000"/>
          <w:sz w:val="20"/>
          <w:shd w:fill="FFFFFF" w:val="clear"/>
        </w:rPr>
        <w:t xml:space="preserve">, net of taxes, </w:t>
      </w:r>
      <w:r>
        <w:rPr>
          <w:rFonts w:ascii="Times New Roman;sans-serif" w:hAnsi="Times New Roman;sans-serif"/>
          <w:b w:val="false"/>
          <w:color w:val="000000"/>
          <w:sz w:val="20"/>
        </w:rPr>
        <w:t>for the three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We also recognized interest income on the caplets of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$2.6 million</w:t>
      </w:r>
      <w:r>
        <w:rPr>
          <w:color w:val="000000"/>
          <w:shd w:fill="FFFFFF" w:val="clear"/>
        </w:rPr>
        <w:t xml:space="preserve">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 xml:space="preserve">March 31, 2025 and 2024, respectively, which are 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8945" w:type="dxa"/>
        <w:jc w:val="center"/>
        <w:tblInd w:w="0" w:type="dxa"/>
        <w:tblLayout w:type="fixed"/>
        <w:tblCellMar>
          <w:top w:w="28" w:type="dxa"/>
          <w:left w:w="28" w:type="dxa"/>
          <w:bottom w:w="28" w:type="dxa"/>
          <w:right w:w="28" w:type="dxa"/>
        </w:tblCellMar>
      </w:tblPr>
      <w:tblGrid>
        <w:gridCol w:w="1256"/>
        <w:gridCol w:w="1103"/>
        <w:gridCol w:w="1106"/>
        <w:gridCol w:w="211"/>
        <w:gridCol w:w="721"/>
        <w:gridCol w:w="109"/>
        <w:gridCol w:w="109"/>
        <w:gridCol w:w="109"/>
        <w:gridCol w:w="109"/>
        <w:gridCol w:w="211"/>
        <w:gridCol w:w="721"/>
        <w:gridCol w:w="109"/>
        <w:gridCol w:w="109"/>
        <w:gridCol w:w="109"/>
        <w:gridCol w:w="109"/>
        <w:gridCol w:w="211"/>
        <w:gridCol w:w="722"/>
        <w:gridCol w:w="109"/>
        <w:gridCol w:w="109"/>
        <w:gridCol w:w="109"/>
        <w:gridCol w:w="109"/>
        <w:gridCol w:w="343"/>
        <w:gridCol w:w="347"/>
        <w:gridCol w:w="685"/>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345"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net cash provided by operating activities was $44.8 million, an increase in cash of $16.0 million compared to the prior-year period due primarily to changes in working capital adjustments.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net cash used in investing activities was $26.2 million, an increase in cash of $0.3 million compared to the prior-year period. The increase in cash was primarily attributable to higher purchases of property and equipment, partially offset by less cash used for business and asset acquisitions. We anticipate our capital expenditures will be approximately $75–80 million in 2025, of which $31–32 million relates to Fairmount, $5–7 million relates to Louisiana and the remaining $39–41 million for all other capital expenditures.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net cash used in financing activities was $27.9 million, an increase in cash used of $17.4 million compared to the prior-year period. The change reflects higher net repayments on our debt and higher stock repurchases.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condensed consolidated financial statements, we applied the same critical accounting policies as described in our Annual Report on Form 10-K for the year ended December 31, 2024,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Our horse racing operations only operate during the months where the weather is conducive to racing, which is typically from late spring through the early fall.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Market risk represents the risk of loss that may impact our financial position due to adverse changes in financial market prices and rates. Market risk exposure is primarily the result of fluctuations in interest rates.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business. Borrowings under our senior secured credit facility were $582.5 million as of March 31, 2025. If the underlying interest rates were to increase by 1.0%, or 100 basis points, the increase in interest expense on our floating rate debt would negatively impact future earnings and cash flows by approximately $2.8 million annually, assuming the balance outstanding under the credit facility remained at $582.5 million. </w:t>
      </w:r>
      <w:r>
        <w:rPr>
          <w:rFonts w:ascii="Times New Roman;sans-serif" w:hAnsi="Times New Roman;sans-serif"/>
          <w:b w:val="false"/>
          <w:color w:val="000000"/>
          <w:sz w:val="20"/>
          <w:shd w:fill="FFFFFF" w:val="clear"/>
        </w:rPr>
        <w:t>In order to protect against higher interest rates in the future on our credit facility, we hedged the variability of the cash flows attributable to the changes in the 1-month SOFR interest rate on the first $300 million of the term loan by entering into a 4-year series of 48 deferred premium caplets (“caplets</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on January 12, 2022. The caplets mature at the end of each month and are used to protect our exposure as the 1-month SOFR interest rate exceeded 2%.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filing of this Form 10-Q for the quarter ended March 31, 2025,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our disclosure controls and procedures were effective at the reasonable assurance level as of March 31, 2025. </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during the quarter ended March 31, 2025,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discussion in Note 17,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A-1 common stock involves a high degree of risk. You should carefully consider the risk factors described under Part I - Item 1A. “Risk Factors” in our Annual Report on Form 10-K for the year ended December 31, 2024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the risk factors described in Item 1A. “Risk Factors”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our Board of Directors approved a share repurchase program of up to $200 million shares of our Class A-1 common stock. On February 27, 2025,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us to acquire any particular amount of shares, and the share repurchase program may be suspended or discontinued at any time at our discretion.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 repurchases were made under our publicly announced share repurchase program, and there are no other programs under which we repurchase shares. Repurchases under our share repurchase program, during applicable restricted trading windows that we periodically establish, are executed under the terms of a pre-set trading plan meeting the requirements of Rule 10b5-1(c) of the Securities Exchange Act of 1934, as amended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share repurchases made during the first quarter of 2025:</w:t>
      </w:r>
    </w:p>
    <w:tbl>
      <w:tblPr>
        <w:tblW w:w="10205" w:type="dxa"/>
        <w:jc w:val="center"/>
        <w:tblInd w:w="0" w:type="dxa"/>
        <w:tblLayout w:type="fixed"/>
        <w:tblCellMar>
          <w:top w:w="28" w:type="dxa"/>
          <w:left w:w="28" w:type="dxa"/>
          <w:bottom w:w="28" w:type="dxa"/>
          <w:right w:w="28" w:type="dxa"/>
        </w:tblCellMar>
      </w:tblPr>
      <w:tblGrid>
        <w:gridCol w:w="678"/>
        <w:gridCol w:w="548"/>
        <w:gridCol w:w="554"/>
        <w:gridCol w:w="109"/>
        <w:gridCol w:w="109"/>
        <w:gridCol w:w="109"/>
        <w:gridCol w:w="580"/>
        <w:gridCol w:w="580"/>
        <w:gridCol w:w="582"/>
        <w:gridCol w:w="109"/>
        <w:gridCol w:w="109"/>
        <w:gridCol w:w="109"/>
        <w:gridCol w:w="495"/>
        <w:gridCol w:w="495"/>
        <w:gridCol w:w="497"/>
        <w:gridCol w:w="109"/>
        <w:gridCol w:w="109"/>
        <w:gridCol w:w="109"/>
        <w:gridCol w:w="1233"/>
        <w:gridCol w:w="1233"/>
        <w:gridCol w:w="1749"/>
      </w:tblGrid>
      <w:tr>
        <w:trPr/>
        <w:tc>
          <w:tcPr>
            <w:tcW w:w="6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$53.8</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67,498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$199.8</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677,750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$193.2</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988,678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2024, Derek Harmer, our Chief Compliance Officer, entered into a pre-arranged written stock sale plan in accordance with Rule 10b5-1 (the “Harmer Rule 10b5-1 Plan”) under the Exchange Act, for the sale of shares of our Class A-1 common stock. The Harmer Rule 10b5-1 Plan was adopted during an open trading window in accordance with our insider trading policy and is intended to satisfy the affirmative defense of Rule 10b5-1(c) under the Exchange Act. The Harmer Rule 10b5-1 Plan provides for the potential sale of up to 40,000 shares of our Class A-1 common stock, so long as the market price of our Class A-1 common stock is higher than certain minimum threshold prices specified in the Harmer Rule 10b5-1 Plan between March 13, 2025 and December 31, 2025. The Harmer Rule 10b5-1 Plan was inadvertently omitted in Item 9B of Part II of our Annual Report on Form 10-K for the year ended December 31, 2024.</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Harmer Rule 10b5-1 Plan included a representation from Mr. Harmer to the broker administering the plan that he was not in possession of any material nonpublic information regarding us or our securities subject to the Harmer Rule 10b5-1 Plan at the time the Harmer Rule 10b5-1 Plan was entered into. A similar representation was made to us in a certification Mr. Harmer provided to us in connection with the adoption of the Harmer Rule 10b5-1 Plan under our insider trading policy. Those representations were made as of the date of adoption of the Harmer Rule 10b5-1 Plan or the certification, as applicable, and speak only as of those dates. In making those representations, there is no assurance with respect to any material nonpublic information of which the officer, was unaware, or with respect to any material nonpublic information acquired by the officer or director, as applicable, or us after the applicable date of the representation. </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under the Harmer Rule 10b5-1 Plan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Harmer or our other officers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9506"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431"/>
        <w:gridCol w:w="2431"/>
        <w:gridCol w:w="344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3312025.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3312025.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3312025.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3312025.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45"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10" w:type="dxa"/>
        <w:jc w:val="center"/>
        <w:tblInd w:w="0" w:type="dxa"/>
        <w:tblLayout w:type="fixed"/>
        <w:tblCellMar>
          <w:top w:w="28" w:type="dxa"/>
          <w:left w:w="28" w:type="dxa"/>
          <w:bottom w:w="28" w:type="dxa"/>
          <w:right w:w="28" w:type="dxa"/>
        </w:tblCellMar>
      </w:tblPr>
      <w:tblGrid>
        <w:gridCol w:w="591"/>
        <w:gridCol w:w="520"/>
        <w:gridCol w:w="523"/>
        <w:gridCol w:w="457"/>
        <w:gridCol w:w="457"/>
        <w:gridCol w:w="457"/>
        <w:gridCol w:w="644"/>
        <w:gridCol w:w="644"/>
        <w:gridCol w:w="91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2025</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401"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299"/>
        <w:gridCol w:w="1299"/>
        <w:gridCol w:w="184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of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280"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264"/>
        <w:gridCol w:w="1264"/>
        <w:gridCol w:w="179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Form 10-Q of Accel Entertainment, Inc. (the “Company”) for the three months ended March 31, 2025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5, 2025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of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Form 10-Q of Accel Entertainment, Inc. (the “Company”) for the three months ended March 31, 2025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7"/>
        <w:gridCol w:w="1731"/>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5, 2025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of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19594</Words>
  <Characters>109567</Characters>
  <CharactersWithSpaces>127818</CharactersWithSpaces>
  <Paragraphs>2349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