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2"/>
        </w:rPr>
        <w:t>Accel Entertainment, Inc.</w:t>
      </w:r>
      <w:r>
        <w:rPr>
          <w:color w:val="000000"/>
        </w:rPr>
        <w:t xml:space="preserve">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tc>
      </w:tr>
    </w:tbl>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 xml:space="preserve">(630) 972-2235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there were 81,193,475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8"/>
        <w:gridCol w:w="287"/>
        <w:gridCol w:w="290"/>
        <w:gridCol w:w="2979"/>
        <w:gridCol w:w="2969"/>
        <w:gridCol w:w="2976"/>
        <w:gridCol w:w="109"/>
        <w:gridCol w:w="109"/>
        <w:gridCol w:w="158"/>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0">
              <w:r>
                <w:rPr>
                  <w:rStyle w:val="InternetLink"/>
                  <w:rFonts w:ascii="Times New Roman;serif" w:hAnsi="Times New Roman;serif"/>
                  <w:b/>
                  <w:strike w:val="false"/>
                  <w:dstrike w:val="false"/>
                  <w:color w:val="000000"/>
                  <w:sz w:val="20"/>
                  <w:u w:val="none"/>
                  <w:effect w:val="none"/>
                </w:rPr>
                <w:t>FINANCIAL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0">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
              <w:r>
                <w:rPr>
                  <w:rStyle w:val="InternetLink"/>
                  <w:rFonts w:ascii="Times New Roman;serif" w:hAnsi="Times New Roman;serif"/>
                  <w:b w:val="false"/>
                  <w:strike w:val="false"/>
                  <w:dstrike w:val="false"/>
                  <w:color w:val="000000"/>
                  <w:sz w:val="20"/>
                  <w:u w:val="none"/>
                  <w:effect w:val="none"/>
                </w:rPr>
                <w:t>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Operations and Comprehensive Income (Unaudited)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6">
              <w:r>
                <w:rPr>
                  <w:rStyle w:val="InternetLink"/>
                  <w:rFonts w:ascii="Times New Roman;serif" w:hAnsi="Times New Roman;serif"/>
                  <w:b w:val="false"/>
                  <w:strike w:val="false"/>
                  <w:dstrike w:val="false"/>
                  <w:color w:val="0000FF"/>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9">
              <w:r>
                <w:rPr>
                  <w:rStyle w:val="InternetLink"/>
                  <w:rFonts w:ascii="Times New Roman;serif" w:hAnsi="Times New Roman;serif"/>
                  <w:b w:val="false"/>
                  <w:strike w:val="false"/>
                  <w:dstrike w:val="false"/>
                  <w:color w:val="0000FF"/>
                  <w:sz w:val="20"/>
                  <w:u w:val="none"/>
                  <w:effect w:val="non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22">
              <w:r>
                <w:rPr>
                  <w:rStyle w:val="InternetLink"/>
                  <w:rFonts w:ascii="Times New Roman;serif" w:hAnsi="Times New Roman;serif"/>
                  <w:b w:val="false"/>
                  <w:strike w:val="false"/>
                  <w:dstrike w:val="false"/>
                  <w:color w:val="000000"/>
                  <w:sz w:val="20"/>
                  <w:u w:val="none"/>
                  <w:effect w:val="none"/>
                </w:rPr>
                <w:t>Condensed Consolidated Statements of Stockholders’ Equity</w:t>
              </w:r>
            </w:hyperlink>
            <w:r>
              <w:rPr>
                <w:rFonts w:ascii="Times New Roman;serif" w:hAnsi="Times New Roman;serif"/>
                <w:b w:val="false"/>
                <w:color w:val="000000"/>
                <w:sz w:val="20"/>
              </w:rPr>
              <w:t xml:space="preserve">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2">
              <w:r>
                <w:rPr>
                  <w:rStyle w:val="InternetLink"/>
                  <w:rFonts w:ascii="Times New Roman;serif" w:hAnsi="Times New Roman;serif"/>
                  <w:b w:val="false"/>
                  <w:strike w:val="false"/>
                  <w:dstrike w:val="false"/>
                  <w:color w:val="0000FF"/>
                  <w:sz w:val="20"/>
                  <w:u w:val="none"/>
                  <w:effect w:val="non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Cash Flows (Unaudited)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5">
              <w:r>
                <w:rPr>
                  <w:rStyle w:val="InternetLink"/>
                  <w:rFonts w:ascii="Times New Roman;serif" w:hAnsi="Times New Roman;serif"/>
                  <w:b w:val="false"/>
                  <w:strike w:val="false"/>
                  <w:dstrike w:val="false"/>
                  <w:color w:val="0000FF"/>
                  <w:sz w:val="20"/>
                  <w:u w:val="none"/>
                  <w:effect w:val="none"/>
                </w:rPr>
                <w:t>5</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8">
              <w:r>
                <w:rPr>
                  <w:rStyle w:val="InternetLink"/>
                  <w:rFonts w:ascii="Times New Roman;serif" w:hAnsi="Times New Roman;serif"/>
                  <w:b w:val="false"/>
                  <w:strike w:val="false"/>
                  <w:dstrike w:val="false"/>
                  <w:color w:val="0000FF"/>
                  <w:sz w:val="20"/>
                  <w:u w:val="none"/>
                  <w:effect w:val="none"/>
                </w:rPr>
                <w:t>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8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88">
              <w:r>
                <w:rPr>
                  <w:rStyle w:val="InternetLink"/>
                  <w:rFonts w:ascii="Times New Roman;serif" w:hAnsi="Times New Roman;serif"/>
                  <w:b w:val="false"/>
                  <w:strike w:val="false"/>
                  <w:dstrike w:val="false"/>
                  <w:color w:val="0000FF"/>
                  <w:sz w:val="20"/>
                  <w:u w:val="none"/>
                  <w:effect w:val="none"/>
                </w:rPr>
                <w:t>26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1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18">
              <w:r>
                <w:rPr>
                  <w:rStyle w:val="InternetLink"/>
                  <w:rFonts w:ascii="Times New Roman;serif" w:hAnsi="Times New Roman;serif"/>
                  <w:b w:val="false"/>
                  <w:strike w:val="false"/>
                  <w:dstrike w:val="false"/>
                  <w:color w:val="0000FF"/>
                  <w:sz w:val="20"/>
                  <w:u w:val="none"/>
                  <w:effect w:val="none"/>
                </w:rPr>
                <w:t>41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1">
              <w:r>
                <w:rPr>
                  <w:rStyle w:val="InternetLink"/>
                  <w:rFonts w:ascii="Times New Roman;serif" w:hAnsi="Times New Roman;serif"/>
                  <w:b w:val="false"/>
                  <w:strike w:val="false"/>
                  <w:dstrike w:val="false"/>
                  <w:color w:val="000000"/>
                  <w:sz w:val="20"/>
                  <w:u w:val="none"/>
                  <w:effect w:val="non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1">
              <w:r>
                <w:rPr>
                  <w:rStyle w:val="InternetLink"/>
                  <w:rFonts w:ascii="Times New Roman;serif" w:hAnsi="Times New Roman;serif"/>
                  <w:b w:val="false"/>
                  <w:strike w:val="false"/>
                  <w:dstrike w:val="false"/>
                  <w:color w:val="0000FF"/>
                  <w:sz w:val="20"/>
                  <w:u w:val="none"/>
                  <w:effect w:val="none"/>
                </w:rPr>
                <w:t>41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4">
              <w:r>
                <w:rPr>
                  <w:rStyle w:val="InternetLink"/>
                  <w:rFonts w:ascii="Times New Roman;serif" w:hAnsi="Times New Roman;serif"/>
                  <w:b/>
                  <w:strike w:val="false"/>
                  <w:dstrike w:val="false"/>
                  <w:color w:val="000000"/>
                  <w:sz w:val="20"/>
                  <w:u w:val="none"/>
                  <w:effect w:val="non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4">
              <w:r>
                <w:rPr>
                  <w:rStyle w:val="InternetLink"/>
                  <w:rFonts w:ascii="Times New Roman;serif" w:hAnsi="Times New Roman;serif"/>
                  <w:b w:val="false"/>
                  <w:strike w:val="false"/>
                  <w:dstrike w:val="false"/>
                  <w:color w:val="0000FF"/>
                  <w:sz w:val="20"/>
                  <w:u w:val="none"/>
                  <w:effect w:val="none"/>
                </w:rPr>
                <w:t>42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7">
              <w:r>
                <w:rPr>
                  <w:rStyle w:val="InternetLink"/>
                  <w:rFonts w:ascii="Times New Roman;serif" w:hAnsi="Times New Roman;serif"/>
                  <w:b w:val="false"/>
                  <w:strike w:val="false"/>
                  <w:dstrike w:val="false"/>
                  <w:color w:val="000000"/>
                  <w:sz w:val="20"/>
                  <w:u w:val="none"/>
                  <w:effect w:val="non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7">
              <w:r>
                <w:rPr>
                  <w:rStyle w:val="InternetLink"/>
                  <w:rFonts w:ascii="Times New Roman;serif" w:hAnsi="Times New Roman;serif"/>
                  <w:b w:val="false"/>
                  <w:strike w:val="false"/>
                  <w:dstrike w:val="false"/>
                  <w:color w:val="0000FF"/>
                  <w:sz w:val="20"/>
                  <w:u w:val="none"/>
                  <w:effect w:val="none"/>
                </w:rPr>
                <w:t>42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0">
              <w:r>
                <w:rPr>
                  <w:rStyle w:val="InternetLink"/>
                  <w:rFonts w:ascii="Times New Roman;serif" w:hAnsi="Times New Roman;serif"/>
                  <w:b w:val="false"/>
                  <w:strike w:val="false"/>
                  <w:dstrike w:val="false"/>
                  <w:color w:val="000000"/>
                  <w:sz w:val="20"/>
                  <w:u w:val="none"/>
                  <w:effect w:val="non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0">
              <w:r>
                <w:rPr>
                  <w:rStyle w:val="InternetLink"/>
                  <w:rFonts w:ascii="Times New Roman;serif" w:hAnsi="Times New Roman;serif"/>
                  <w:b w:val="false"/>
                  <w:strike w:val="false"/>
                  <w:dstrike w:val="false"/>
                  <w:color w:val="0000FF"/>
                  <w:sz w:val="20"/>
                  <w:u w:val="none"/>
                  <w:effect w:val="none"/>
                </w:rPr>
                <w:t>42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3">
              <w:r>
                <w:rPr>
                  <w:rStyle w:val="InternetLink"/>
                  <w:rFonts w:ascii="Times New Roman;serif" w:hAnsi="Times New Roman;serif"/>
                  <w:b w:val="false"/>
                  <w:strike w:val="false"/>
                  <w:dstrike w:val="false"/>
                  <w:color w:val="0000FF"/>
                  <w:sz w:val="20"/>
                  <w:u w:val="none"/>
                  <w:effect w:val="none"/>
                </w:rPr>
                <w:t>42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6">
              <w:r>
                <w:rPr>
                  <w:rStyle w:val="InternetLink"/>
                  <w:rFonts w:ascii="Times New Roman;serif" w:hAnsi="Times New Roman;serif"/>
                  <w:b w:val="false"/>
                  <w:strike w:val="false"/>
                  <w:dstrike w:val="false"/>
                  <w:color w:val="0000FF"/>
                  <w:sz w:val="20"/>
                  <w:u w:val="none"/>
                  <w:effect w:val="none"/>
                </w:rPr>
                <w:t>43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9">
              <w:r>
                <w:rPr>
                  <w:rStyle w:val="InternetLink"/>
                  <w:rFonts w:ascii="Times New Roman;serif" w:hAnsi="Times New Roman;serif"/>
                  <w:b w:val="false"/>
                  <w:strike w:val="false"/>
                  <w:dstrike w:val="false"/>
                  <w:color w:val="000000"/>
                  <w:sz w:val="20"/>
                  <w:u w:val="none"/>
                  <w:effect w:val="non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9">
              <w:r>
                <w:rPr>
                  <w:rStyle w:val="InternetLink"/>
                  <w:rFonts w:ascii="Times New Roman;serif" w:hAnsi="Times New Roman;serif"/>
                  <w:b w:val="false"/>
                  <w:strike w:val="false"/>
                  <w:dstrike w:val="false"/>
                  <w:color w:val="0000FF"/>
                  <w:sz w:val="20"/>
                  <w:u w:val="none"/>
                  <w:effect w:val="none"/>
                </w:rPr>
                <w:t>43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2">
              <w:r>
                <w:rPr>
                  <w:rStyle w:val="InternetLink"/>
                  <w:rFonts w:ascii="Times New Roman;serif" w:hAnsi="Times New Roman;serif"/>
                  <w:b w:val="false"/>
                  <w:strike w:val="false"/>
                  <w:dstrike w:val="false"/>
                  <w:color w:val="0000FF"/>
                  <w:sz w:val="20"/>
                  <w:u w:val="none"/>
                  <w:effect w:val="none"/>
                </w:rPr>
                <w:t>43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48">
              <w:r>
                <w:rPr>
                  <w:rStyle w:val="InternetLink"/>
                  <w:rFonts w:ascii="Times New Roman;serif" w:hAnsi="Times New Roman;serif"/>
                  <w:b w:val="false"/>
                  <w:strike w:val="false"/>
                  <w:dstrike w:val="false"/>
                  <w:color w:val="000000"/>
                  <w:sz w:val="20"/>
                  <w:u w:val="none"/>
                  <w:effect w:val="non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8">
              <w:r>
                <w:rPr>
                  <w:rStyle w:val="InternetLink"/>
                  <w:rFonts w:ascii="Times New Roman;serif" w:hAnsi="Times New Roman;serif"/>
                  <w:b w:val="false"/>
                  <w:strike w:val="false"/>
                  <w:dstrike w:val="false"/>
                  <w:color w:val="0000FF"/>
                  <w:sz w:val="20"/>
                  <w:u w:val="none"/>
                  <w:effect w:val="none"/>
                </w:rPr>
                <w:t>43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51">
              <w:r>
                <w:rPr>
                  <w:rStyle w:val="InternetLink"/>
                  <w:rFonts w:ascii="Times New Roman;serif" w:hAnsi="Times New Roman;serif"/>
                  <w:b w:val="false"/>
                  <w:strike w:val="false"/>
                  <w:dstrike w:val="false"/>
                  <w:color w:val="000000"/>
                  <w:sz w:val="20"/>
                  <w:u w:val="none"/>
                  <w:effect w:val="non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51">
              <w:r>
                <w:rPr>
                  <w:rStyle w:val="InternetLink"/>
                  <w:rFonts w:ascii="Times New Roman;serif" w:hAnsi="Times New Roman;serif"/>
                  <w:b w:val="false"/>
                  <w:strike w:val="false"/>
                  <w:dstrike w:val="false"/>
                  <w:color w:val="0000FF"/>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856"/>
        <w:gridCol w:w="1365"/>
        <w:gridCol w:w="13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before income tax expense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income (loss) attributed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interest rate hedging instruments (net of income tax benefit of $840, $(312), $822, and $(738),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Comprehensive income (loss) attributable to redeemable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Accel Entertainment,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24"/>
        <w:gridCol w:w="2169"/>
        <w:gridCol w:w="2187"/>
        <w:gridCol w:w="196"/>
        <w:gridCol w:w="871"/>
        <w:gridCol w:w="109"/>
        <w:gridCol w:w="109"/>
        <w:gridCol w:w="109"/>
        <w:gridCol w:w="109"/>
        <w:gridCol w:w="196"/>
        <w:gridCol w:w="871"/>
        <w:gridCol w:w="155"/>
      </w:tblGrid>
      <w:tr>
        <w:trPr/>
        <w:tc>
          <w:tcPr>
            <w:tcW w:w="312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par value and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rate hedging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343,034 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Location contracts acquired,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rate hedging instruments, net of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1,096,998 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Liabilities, Temporary equity,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route and customer acquisition costs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location gaming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state gaming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consideration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current maturities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569,837 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payable,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earnout share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809,050 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829,630 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par value of $0.0001; 1,000,000 shares authorized; 0 shares issued and outstanding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A-1 Common Stock, par value $0.0001; 250,000,000 shares authorized; 96,746,724 shares issued and 81,222,573 shares outstanding at June 30, 2026; 96,250,980 shares issued and 82,287,349 shares outstanding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(145,747)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269,683 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 temporary equity,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1,096,998 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1,103,393 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35" w:type="dxa"/>
        <w:jc w:val="center"/>
        <w:tblInd w:w="0" w:type="dxa"/>
        <w:tblLayout w:type="fixed"/>
        <w:tblCellMar>
          <w:top w:w="28" w:type="dxa"/>
          <w:left w:w="28" w:type="dxa"/>
          <w:bottom w:w="28" w:type="dxa"/>
          <w:right w:w="28" w:type="dxa"/>
        </w:tblCellMar>
      </w:tblPr>
      <w:tblGrid>
        <w:gridCol w:w="591"/>
        <w:gridCol w:w="282"/>
        <w:gridCol w:w="283"/>
        <w:gridCol w:w="259"/>
        <w:gridCol w:w="736"/>
        <w:gridCol w:w="14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2026</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82,287,349 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(13,963,631)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(1,082,922)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(1,082,922)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hedging instruments, net of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81,575,213 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(15,046,553)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(477,598)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(477,598)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hedging instruments, net of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doub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81,222,573 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(15,524,151)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3635" w:type="dxa"/>
        <w:jc w:val="center"/>
        <w:tblInd w:w="0" w:type="dxa"/>
        <w:tblLayout w:type="fixed"/>
        <w:tblCellMar>
          <w:top w:w="28" w:type="dxa"/>
          <w:left w:w="28" w:type="dxa"/>
          <w:bottom w:w="28" w:type="dxa"/>
          <w:right w:w="28" w:type="dxa"/>
        </w:tblCellMar>
      </w:tblPr>
      <w:tblGrid>
        <w:gridCol w:w="591"/>
        <w:gridCol w:w="282"/>
        <w:gridCol w:w="283"/>
        <w:gridCol w:w="259"/>
        <w:gridCol w:w="736"/>
        <w:gridCol w:w="146"/>
        <w:gridCol w:w="109"/>
        <w:gridCol w:w="109"/>
        <w:gridCol w:w="109"/>
        <w:gridCol w:w="109"/>
        <w:gridCol w:w="109"/>
        <w:gridCol w:w="109"/>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shares)</w:t>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Temporary equity -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1, 2025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85,670,255 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(10,194,771)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hedging instruments, net of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84,927,240 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(11,183,449)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(634,414)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 net of shares withheld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hedging instruments, net of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84,471,410 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(11,817,863)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76"/>
        <w:gridCol w:w="1803"/>
        <w:gridCol w:w="1807"/>
        <w:gridCol w:w="352"/>
        <w:gridCol w:w="1325"/>
        <w:gridCol w:w="196"/>
        <w:gridCol w:w="196"/>
        <w:gridCol w:w="196"/>
        <w:gridCol w:w="196"/>
        <w:gridCol w:w="352"/>
        <w:gridCol w:w="1325"/>
        <w:gridCol w:w="281"/>
      </w:tblGrid>
      <w:tr>
        <w:trPr/>
        <w:tc>
          <w:tcPr>
            <w:tcW w:w="217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w:t>
              <w:br/>
              <w:t>(Unaudited)</w:t>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21,875 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and equipment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25,396 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and route and customer acquisition costs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change in fair value of contingent earnout shares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write-off of route and customer acquisition costs and route and customer acquisition costs payable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contingent consideration</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interest on route and customer acquisition costs payable, and contingent consideration</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Route and customer acquisition costs payable</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expenses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64,557 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(52,797)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and equipment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settlement of convertible notes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of indefinite-lived operating license</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and asset acquisitions, net of cash acquired</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(47,206)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(59,963)</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debt</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debt issuance costs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common stock</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interest rate hedging instruments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financing of property and equipment</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consideration payable</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payments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1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(21,269)</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decrease in cash and cash equivalents</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(16,675)</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281,305 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264,630 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16,010 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net</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29,071 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equipment financed through vendor</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on interest rate caplets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and assets: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identifiable net assets acquired</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acquired</w:t>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consideration payable</w:t>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purchase price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ACCEL ENTERTAINMENT,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Accel Entertainment, Inc. (and together with its subsidiaries,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shd w:fill="FFFFFF" w:val="clear"/>
        </w:rPr>
        <w:t>Company</w:t>
      </w:r>
      <w:r>
        <w:rPr>
          <w:color w:val="000000"/>
        </w:rPr>
        <w:t xml:space="preserve">” </w:t>
      </w:r>
      <w:r>
        <w:rPr>
          <w:rFonts w:ascii="Times New Roman;serif" w:hAnsi="Times New Roman;serif"/>
          <w:b w:val="false"/>
          <w:color w:val="000000"/>
          <w:sz w:val="20"/>
        </w:rPr>
        <w:t>or “Accel”)</w:t>
      </w:r>
      <w:r>
        <w:rPr>
          <w:color w:val="000000"/>
          <w:shd w:fill="FFFFFF" w:val="clear"/>
        </w:rPr>
        <w:t xml:space="preserve"> </w:t>
      </w:r>
      <w:r>
        <w:rPr>
          <w:rFonts w:ascii="Times New Roman;serif" w:hAnsi="Times New Roman;serif"/>
          <w:b w:val="false"/>
          <w:color w:val="000000"/>
          <w:sz w:val="20"/>
          <w:shd w:fill="FFFFFF" w:val="clear"/>
        </w:rPr>
        <w:t>is a leading distributed gaming operator in the United States (“U.S.”), as well as a developer of brick-and-mortar casinos that serve local gaming markets and horse racing venues. The Company has operations in Illinois, Montana, Nevada, Nebraska, Georgia, Iowa, Louisiana, South Dakota, West Virginia and Pennsylvania. The Company is subject to the various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and designs and manufactures gaming terminals and related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erif" w:hAnsi="Times New Roman;serif"/>
          <w:b/>
          <w:color w:val="000000"/>
          <w:sz w:val="20"/>
          <w:shd w:fill="FFFFFF" w:val="clear"/>
        </w:rPr>
        <w:t>Basis of presentation and preparation</w:t>
      </w:r>
      <w:r>
        <w:rPr>
          <w:rFonts w:ascii="Times New Roman;serif" w:hAnsi="Times New Roman;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erif" w:hAnsi="Times New Roman;serif"/>
          <w:b w:val="false"/>
          <w:color w:val="000000"/>
          <w:sz w:val="20"/>
        </w:rPr>
        <w:t xml:space="preserve">The condensed consolidated financial statements include the accounts of the Company and of its wholly-owned subsidiaries. All significant intercompany balances and transactions have been eliminated in consolidation. Certain prior period amounts have been reclassified to conform to the current period presentation.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2025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erif" w:hAnsi="Times New Roman;serif"/>
          <w:b/>
          <w:color w:val="000000"/>
          <w:sz w:val="20"/>
          <w:shd w:fill="FFFFFF" w:val="clear"/>
        </w:rPr>
        <w:t>Use of estimates</w:t>
      </w:r>
      <w:r>
        <w:rPr>
          <w:rFonts w:ascii="Times New Roman;serif" w:hAnsi="Times New Roman;serif"/>
          <w:b w:val="false"/>
          <w:color w:val="000000"/>
          <w:sz w:val="20"/>
          <w:shd w:fill="FFFFFF" w:val="clear"/>
        </w:rPr>
        <w:t xml:space="preserve">: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w:t>
      </w:r>
      <w:r>
        <w:rPr>
          <w:rFonts w:ascii="Times New Roman;serif" w:hAnsi="Times New Roman;serif"/>
          <w:b w:val="false"/>
          <w:color w:val="000000"/>
          <w:sz w:val="20"/>
        </w:rPr>
        <w:t>hedging instruments</w:t>
      </w:r>
      <w:r>
        <w:rPr>
          <w:rFonts w:ascii="Times New Roman;serif" w:hAnsi="Times New Roman;serif"/>
          <w:b w:val="false"/>
          <w:color w:val="000000"/>
          <w:sz w:val="20"/>
          <w:shd w:fill="FFFFFF" w:val="clear"/>
        </w:rPr>
        <w:t>, contingencies, and the expected term of share-based compensation awards and stock price volatility when computing stock-based compensation expense. Actual results may differ from those estimates.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color w:val="000000"/>
          <w:sz w:val="20"/>
          <w:shd w:fill="FFFFFF" w:val="clear"/>
        </w:rPr>
        <w:t>Equity method investments:</w:t>
      </w:r>
      <w:r>
        <w:rPr>
          <w:color w:val="000000"/>
          <w:shd w:fill="FFFFFF" w:val="clear"/>
        </w:rPr>
        <w:t xml:space="preserve"> </w:t>
      </w:r>
      <w:r>
        <w:rPr>
          <w:rFonts w:ascii="Times New Roman;serif" w:hAnsi="Times New Roman;serif"/>
          <w:b w:val="false"/>
          <w:color w:val="000000"/>
          <w:sz w:val="20"/>
          <w:shd w:fill="FFFFFF" w:val="clear"/>
        </w:rPr>
        <w:t xml:space="preserve">In the normal course of business, the Company makes investments in companies that will allow it to expand the Company’s core 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VIEs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In assessing whether it has a </w:t>
      </w:r>
      <w:r>
        <w:rPr>
          <w:rFonts w:ascii="Times New Roman;serif" w:hAnsi="Times New Roman;serif"/>
          <w:b w:val="false"/>
          <w:color w:val="000000"/>
          <w:sz w:val="20"/>
        </w:rPr>
        <w:t>controlling financial interest, the Company’s management assesses, among other factors,</w:t>
      </w:r>
      <w:r>
        <w:rPr>
          <w:color w:val="000000"/>
          <w:shd w:fill="FFFFFF" w:val="clear"/>
        </w:rPr>
        <w:t xml:space="preserve"> </w:t>
      </w:r>
      <w:r>
        <w:rPr>
          <w:rFonts w:ascii="Times New Roman;serif" w:hAnsi="Times New Roman;serif"/>
          <w:b w:val="false"/>
          <w:color w:val="000000"/>
          <w:sz w:val="20"/>
          <w:shd w:fill="FFFFFF" w:val="clear"/>
        </w:rPr>
        <w:t xml:space="preserve">the Company’s risk of loss, its investment percentage and its ability to control the operations of the investment. If the Company determines it is not the primary beneficiary, it will account for the investment under the equity method of accounting.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its investments in unconsolidated affiliates, which do not meet the controlling financial interest consolidation criteria of the authoritative accounting guidance for VIEs, under the equity method of accounting. Under the equity method of accounting, 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the Company invested $5.0 million in HBC Gaming LLC (“HBC”), in exchange for a 5% equity interest. HBC is a local entertainment company based in Hampton, New Hampshire that specializes in providing a variety of gaming services to its customers. The Company assessed its investment and determined it is an investment in a VIE but determined it is not the primary beneficiary and does not consolidate HBC. The Company’s maximum risk of loss is equal to its initial $5.0 million investment. As such, the Company’s 5% investment in HBC qualifies for equity method accounting. The Company recorded its initial investment of $5.0 million within other assets on the condensed consolidated balance sheets. The Company also has obligations to fund additional equity investments in the event certain construction and development milestones are met in an amount up to 10% ownership of HBC, on an undiluted basis, at an additional cost of up to $6.5 million.</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Company recorded a loss from unconsolidated affiliates of less than </w:t>
      </w:r>
      <w:r>
        <w:rPr>
          <w:rFonts w:ascii="Times New Roman;serif" w:hAnsi="Times New Roman;serif"/>
          <w:b w:val="false"/>
          <w:color w:val="000000"/>
          <w:sz w:val="20"/>
        </w:rPr>
        <w:t xml:space="preserve">$0.1 million for both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345" w:before="160" w:after="283"/>
        <w:jc w:val="both"/>
        <w:rPr/>
      </w:pPr>
      <w:r>
        <w:rPr>
          <w:rFonts w:ascii="Times New Roman;serif" w:hAnsi="Times New Roman;serif"/>
          <w:b/>
          <w:color w:val="000000"/>
          <w:sz w:val="20"/>
          <w:shd w:fill="FFFFFF" w:val="clear"/>
        </w:rPr>
        <w:t>Revenue recognition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Company primarily generates revenues from the following types of services: gaming terminals, amusements, and ATMs. The Company also generates manufacturing revenue from the sale of gaming terminals and associated software, as well as revenue from its casino and racing operations. Revenue is disaggregated by type of revenue and is presented on the face of the condensed consolidated statements of operations and comprehensive income.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shd w:fill="FFFFFF" w:val="clear"/>
        </w:rPr>
        <w:t xml:space="preserve">Total net revenues for the three and six months ended </w:t>
      </w:r>
      <w:r>
        <w:rPr>
          <w:rFonts w:ascii="Times New Roman;serif" w:hAnsi="Times New Roman;serif"/>
          <w:b w:val="false"/>
          <w:color w:val="000000"/>
          <w:sz w:val="20"/>
        </w:rPr>
        <w:t>June 30,</w:t>
      </w:r>
      <w:r>
        <w:rPr>
          <w:color w:val="000000"/>
          <w:shd w:fill="FFFFFF" w:val="clear"/>
        </w:rPr>
        <w:t xml:space="preserve"> </w:t>
      </w:r>
      <w:r>
        <w:rPr>
          <w:rFonts w:ascii="Times New Roman;serif" w:hAnsi="Times New Roman;serif"/>
          <w:b w:val="false"/>
          <w:color w:val="000000"/>
          <w:sz w:val="20"/>
          <w:shd w:fill="FFFFFF" w:val="clear"/>
        </w:rPr>
        <w:t>2026 and 2025 is disaggregated in the following table by the primary states in which the Company operates.</w:t>
      </w:r>
    </w:p>
    <w:tbl>
      <w:tblPr>
        <w:tblW w:w="8046"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12"/>
        <w:gridCol w:w="112"/>
        <w:gridCol w:w="112"/>
        <w:gridCol w:w="112"/>
        <w:gridCol w:w="218"/>
        <w:gridCol w:w="854"/>
        <w:gridCol w:w="112"/>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719,683 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erif" w:hAnsi="Times New Roman;serif"/>
          <w:b/>
          <w:color w:val="000000"/>
          <w:sz w:val="20"/>
          <w:shd w:fill="FFFFFF" w:val="clear"/>
        </w:rPr>
        <w:t>Recent accounting pronouncements</w:t>
      </w:r>
      <w:r>
        <w:rPr>
          <w:rFonts w:ascii="Times New Roman;serif" w:hAnsi="Times New Roman;serif"/>
          <w:b w:val="false"/>
          <w:i/>
          <w:color w:val="000000"/>
          <w:sz w:val="20"/>
          <w:shd w:fill="FFFFFF" w:val="clear"/>
        </w:rPr>
        <w:t>: </w:t>
      </w:r>
      <w:r>
        <w:rPr>
          <w:rFonts w:ascii="Times New Roman;serif" w:hAnsi="Times New Roman;serif"/>
          <w:b w:val="false"/>
          <w:color w:val="000000"/>
          <w:sz w:val="20"/>
          <w:shd w:fill="FFFFFF" w:val="clear"/>
        </w:rPr>
        <w:t xml:space="preserve">In May 2025, the Financial Accounting Standards Board </w:t>
      </w:r>
      <w:r>
        <w:rPr>
          <w:rFonts w:ascii="Times New Roman;serif" w:hAnsi="Times New Roman;serif"/>
          <w:b w:val="false"/>
          <w:color w:val="000000"/>
          <w:sz w:val="20"/>
        </w:rPr>
        <w:t>(“FASB”) is</w:t>
      </w:r>
      <w:r>
        <w:rPr>
          <w:rFonts w:ascii="Times New Roman;serif" w:hAnsi="Times New Roman;serif"/>
          <w:b w:val="false"/>
          <w:color w:val="000000"/>
          <w:sz w:val="20"/>
          <w:shd w:fill="FFFFFF" w:val="clear"/>
        </w:rPr>
        <w:t>sued Accounting Standards Update (</w:t>
      </w:r>
      <w:r>
        <w:rPr>
          <w:color w:val="000000"/>
        </w:rPr>
        <w:t>“</w:t>
      </w:r>
      <w:r>
        <w:rPr>
          <w:rFonts w:ascii="Times New Roman;serif" w:hAnsi="Times New Roman;serif"/>
          <w:b w:val="false"/>
          <w:color w:val="000000"/>
          <w:sz w:val="20"/>
        </w:rPr>
        <w:t xml:space="preserve">ASU”)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shd w:fill="FFFFFF" w:val="clear"/>
        </w:rPr>
        <w:t>which provides enhanced comparability of financial statements across entities engaging in acquisition transactions effected primarily by exchanging equity interests when the legal acquiree meets the definition of a business. The ASU is effective for fiscal years beginning after December 15, 2026, and interim periods within those annual reporting periods. Entities must adopt the changes prospectively to any acquisition transaction that occurs after the initial application date. The Company is currently evaluating the potential effect that this ASU will have on its financial statement disclosures.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In September 2025, the </w:t>
      </w:r>
      <w:r>
        <w:rPr>
          <w:rFonts w:ascii="Times New Roman;serif" w:hAnsi="Times New Roman;serif"/>
          <w:b w:val="false"/>
          <w:color w:val="000000"/>
          <w:sz w:val="20"/>
        </w:rPr>
        <w:t>FASB is</w:t>
      </w:r>
      <w:r>
        <w:rPr>
          <w:rFonts w:ascii="Times New Roman;serif" w:hAnsi="Times New Roman;serif"/>
          <w:b w:val="false"/>
          <w:color w:val="000000"/>
          <w:sz w:val="20"/>
          <w:shd w:fill="FFFFFF" w:val="clear"/>
        </w:rPr>
        <w:t xml:space="preserve">sued </w:t>
      </w: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 xml:space="preserve">which provides enhanced language to remove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ASU is effective for fiscal years beginning after December 15, 2027, and interim periods within those annual reporting periods. Entities must adopt the changes either 1) prospectively, 2) retrospectively </w:t>
      </w:r>
      <w:r>
        <w:rPr>
          <w:rFonts w:ascii="Times New Roman;serif" w:hAnsi="Times New Roman;serif"/>
          <w:b w:val="false"/>
          <w:color w:val="000000"/>
          <w:sz w:val="20"/>
          <w:shd w:fill="FFFFFF" w:val="clear"/>
        </w:rPr>
        <w:t>to any or all prior periods presented in the financial statements</w:t>
      </w:r>
      <w:r>
        <w:rPr>
          <w:rFonts w:ascii="Times New Roman;serif" w:hAnsi="Times New Roman;serif"/>
          <w:b w:val="false"/>
          <w:color w:val="000000"/>
          <w:sz w:val="20"/>
        </w:rPr>
        <w:t>, or 3) using a modified transition approach that is based on the status of the project and whether software costs were capitalized before the date of adoption after the initial application date. The Company is currently evaluating the potential effect that this ASU will have on its financial statements and disclosures.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 xml:space="preserve">Derivatives and Hedging (Topic 815) and Revenue from Contracts with Customers (Topic 606), </w:t>
      </w:r>
      <w:r>
        <w:rPr>
          <w:rFonts w:ascii="Times New Roman;serif" w:hAnsi="Times New Roman;serif"/>
          <w:b w:val="false"/>
          <w:color w:val="000000"/>
          <w:sz w:val="20"/>
        </w:rPr>
        <w:t>which provides enhanced language concerning the definition of a derivative and how it should not apply to certain contracts. Therefore, the amendments in this update expand the scope exception for certain contracts not traded on an exchange to include contracts for which settlement is based on operations or activities specific to one of the parties to the contract. This improvement is expected to result in more contracts and embedded features being excluded from the scope of Topic 815. The ASU is effective for fiscal years beginning after December 15, 2026, and interim periods within those annual reporting periods. Entities must adopt the changes either 1) prospectively, 2) modified retrospectively through a cumulative-effect adjustment to the opening balance of retained earnings as of the beginning of the annual reporting period of adoption for contracts existing as of the beginning of the annual reporting period of adoption. The Company is currently evaluating the potential effect that this ASU will have on its financial statements and disclosures.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which provides clarification on certain aspects of the guidance on hedge accounting and to address several incremental hedge accounting issues arising from the global reference rate reform initiative such as risk assessment for cash flow hedges, forecasted interest payments, nonfinancial forecasted transactions and written options. The ASU is effective for fiscal years beginning after December 15, 2026, and interim periods within those annual reporting periods. Entities must adopt the changes on a prospective basis for all hedging relationships. An entity may elect to adopt the amendments in this Update for hedging relationships that exist as of the date of adoption. The Company is currently evaluating the potential effect that this ASU will have on its financial statements and disclosures.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which provides clarification on interim disclosure requirements and the applicability of Topic 270. This improvement is expected to result in a comprehensive list of interim disclosures that are required by GAAP. The objective of the amendments is to provide clarity about the current requirements, rather than evaluate whether to expand or reduce interim disclosure requirements. The ASU is effective for fiscal years beginning after December 15, 2027, and interim periods within those annual reporting periods. Entities must adopt the changes either 1) prospectively or, 2) retrospectively to any or all prior periods presented in the financial statements. The Company is currently evaluating the potential effect that this ASU will have on its financial statements and disclosures.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Income Statement - Reporting Comprehensive Income (Subtopic 220-40)</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 xml:space="preserve">which requires public entities to disclose information about certain costs and expenses. The amendments in this ASU improve financial reporting by requiring 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Inventories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Inventories consist of the following as of</w:t>
      </w:r>
      <w:r>
        <w:rPr>
          <w:color w:val="000000"/>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6586" w:type="dxa"/>
        <w:jc w:val="center"/>
        <w:tblInd w:w="0" w:type="dxa"/>
        <w:tblLayout w:type="fixed"/>
        <w:tblCellMar>
          <w:top w:w="28" w:type="dxa"/>
          <w:left w:w="28" w:type="dxa"/>
          <w:bottom w:w="28" w:type="dxa"/>
          <w:right w:w="28" w:type="dxa"/>
        </w:tblCellMar>
      </w:tblPr>
      <w:tblGrid>
        <w:gridCol w:w="1287"/>
        <w:gridCol w:w="1132"/>
        <w:gridCol w:w="1135"/>
        <w:gridCol w:w="211"/>
        <w:gridCol w:w="616"/>
        <w:gridCol w:w="109"/>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manufacturing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As of June 30, 2026 and December 31,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no write down of inventory was determined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On May 31, 2023, the Company and Gold Rush Amusements, Inc. (“Gold Rush”), another terminal operator in Illinois, entered into a settlement agreement which resolved any and all lawsuits and all outstanding obligations under the Company’s investment in Gold Rush’s convertible notes. The Company received the remaining $1.5 million due under the settlement agreement</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April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Property and equipment consist of the following as of</w:t>
      </w:r>
      <w:r>
        <w:rPr>
          <w:color w:val="000000"/>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6827"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Gaming terminals, software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 ATM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Buildings and improvements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Land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633,564 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350,304 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properties leased to third parties of $15.8 million and </w:t>
      </w:r>
      <w:r>
        <w:rPr>
          <w:rFonts w:ascii="Times New Roman;serif" w:hAnsi="Times New Roman;serif"/>
          <w:b w:val="false"/>
          <w:color w:val="000000"/>
          <w:sz w:val="20"/>
          <w:shd w:fill="FFFFFF" w:val="clear"/>
        </w:rPr>
        <w:t>$10.0 million</w:t>
      </w:r>
      <w:r>
        <w:rPr>
          <w:color w:val="000000"/>
        </w:rPr>
        <w:t xml:space="preserve"> </w:t>
      </w: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respectively.</w:t>
      </w:r>
    </w:p>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Depreciation and amortization of property and equipment was $13.8 million and $27.7 million </w:t>
      </w: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2026, respectively. In comparison, depreciation and amortization of property and equipment was </w:t>
      </w:r>
      <w:r>
        <w:rPr>
          <w:rFonts w:ascii="Times New Roman;serif" w:hAnsi="Times New Roman;serif"/>
          <w:b w:val="false"/>
          <w:color w:val="000000"/>
          <w:sz w:val="20"/>
        </w:rPr>
        <w:t>$13.1 million</w:t>
      </w:r>
      <w:r>
        <w:rPr>
          <w:color w:val="000000"/>
          <w:shd w:fill="FFFFFF" w:val="clear"/>
        </w:rPr>
        <w:t xml:space="preserve"> </w:t>
      </w:r>
      <w:r>
        <w:rPr>
          <w:rFonts w:ascii="Times New Roman;serif" w:hAnsi="Times New Roman;serif"/>
          <w:b w:val="false"/>
          <w:color w:val="000000"/>
          <w:sz w:val="20"/>
          <w:shd w:fill="FFFFFF" w:val="clear"/>
        </w:rPr>
        <w:t xml:space="preserve">and $25.4 million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$17.6 million and $15.1 million as of 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2025, respectively. Payments are due over varying terms of the individual agreements and are discounted at the Company’s incremental borrowing rate associated with its long-term debt at the time the contract is acquired. The net present value of payments due was $14.6 million and $12.7 million as of 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2025, respectively, of which approximately $3.2 million and </w:t>
      </w:r>
      <w:r>
        <w:rPr>
          <w:rFonts w:ascii="Times New Roman;serif" w:hAnsi="Times New Roman;serif"/>
          <w:b w:val="false"/>
          <w:color w:val="000000"/>
          <w:sz w:val="20"/>
        </w:rPr>
        <w:t xml:space="preserve">$2.5 million </w:t>
      </w:r>
      <w:r>
        <w:rPr>
          <w:rFonts w:ascii="Times New Roman;serif" w:hAnsi="Times New Roman;serif"/>
          <w:b w:val="false"/>
          <w:color w:val="000000"/>
          <w:sz w:val="20"/>
          <w:shd w:fill="FFFFFF" w:val="clear"/>
        </w:rPr>
        <w:t>was included in current liabilities in the accompanying condensed consolidated balance sheets as of June 30, 2026</w:t>
      </w:r>
      <w:r>
        <w:rPr>
          <w:color w:val="000000"/>
        </w:rPr>
        <w:t xml:space="preserve"> </w:t>
      </w:r>
      <w:r>
        <w:rPr>
          <w:rFonts w:ascii="Times New Roman;serif" w:hAnsi="Times New Roman;serif"/>
          <w:b w:val="false"/>
          <w:color w:val="000000"/>
          <w:sz w:val="20"/>
          <w:shd w:fill="FFFFFF" w:val="clear"/>
        </w:rPr>
        <w:t>and December 31, 2025, respectively. The route and customer acquisition cost asset was comprised of upfront payments made on the contracts of $32.7 million and $31.2 million as of 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December 31, 2025, respectively. The Company has upfront payments of commissions paid to the third parties for the acquisition of the customer contracts that are subject to a clawback provision if the customer cancels the contract prior to completion. The payments subject to a clawback were $2.7 million and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as of 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2025, respectively.</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Route and customer acquisition costs consisted of the following as of June 30, 2026 and December 31, 2025 (in thousands):</w:t>
      </w:r>
    </w:p>
    <w:tbl>
      <w:tblPr>
        <w:tblW w:w="6167"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80" w:after="283"/>
        <w:ind w:left="0" w:right="0" w:firstLine="360"/>
        <w:jc w:val="both"/>
        <w:rPr/>
      </w:pPr>
      <w:r>
        <w:rPr>
          <w:rFonts w:ascii="Times New Roman;serif" w:hAnsi="Times New Roman;serif"/>
          <w:b w:val="false"/>
          <w:color w:val="000000"/>
          <w:sz w:val="20"/>
        </w:rPr>
        <w:t xml:space="preserve">Amortization expense of route and customer acquisition costs was $1.1 million and $2.2 million for the three and six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respectively</w:t>
      </w:r>
      <w:r>
        <w:rPr>
          <w:rFonts w:ascii="Times New Roman;serif" w:hAnsi="Times New Roman;serif"/>
          <w:b w:val="false"/>
          <w:color w:val="000000"/>
          <w:sz w:val="20"/>
          <w:shd w:fill="FFFFFF" w:val="clear"/>
        </w:rPr>
        <w:t xml:space="preserve">. In comparison, amortization expense of route and customer costs was </w:t>
      </w:r>
      <w:r>
        <w:rPr>
          <w:rFonts w:ascii="Times New Roman;serif" w:hAnsi="Times New Roman;serif"/>
          <w:b w:val="false"/>
          <w:color w:val="000000"/>
          <w:sz w:val="20"/>
        </w:rPr>
        <w:t>$0.7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respectively</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contract assets acquired in business acquisitions are recorded at fair value based on an income approach. Location contracts acquired consisted of the following as of June 30, 2026 and December 31, 2025 (in thousands):</w:t>
      </w:r>
    </w:p>
    <w:tbl>
      <w:tblPr>
        <w:tblW w:w="5506"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(148,623)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186,406 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 xml:space="preserve">Amortization expense of location contracts acquired was </w:t>
      </w:r>
      <w:r>
        <w:rPr>
          <w:rFonts w:ascii="Times New Roman;serif" w:hAnsi="Times New Roman;serif"/>
          <w:b w:val="false"/>
          <w:color w:val="000000"/>
          <w:sz w:val="20"/>
        </w:rPr>
        <w:t>$5.1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$10.3 million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respectively</w:t>
      </w:r>
      <w:r>
        <w:rPr>
          <w:rFonts w:ascii="Times New Roman;serif" w:hAnsi="Times New Roman;serif"/>
          <w:b w:val="false"/>
          <w:color w:val="000000"/>
          <w:sz w:val="20"/>
          <w:shd w:fill="FFFFFF" w:val="clear"/>
        </w:rPr>
        <w:t xml:space="preserve">. In comparison, amortization expense of route and customer costs was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$10.1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Company had goodwill of $114.7 million and $114.4 million as of June 30,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of which $33.3 million was deductible for tax purposes as of June 30, 2026. Goodwill is tested for impairment annually or when triggering events occur. There were no indicators of impairment of goodwill as of June 30, 2026.</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acquired Rice Palace, Inc. (“Rice Palace”), a Louisiana based operator, for a total purchase price of $6.1 million, of which $0.3 million was recorded as goodwill.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the changes in the carrying amount of the Company's goodwill balance during the period (in thousands):</w:t>
      </w:r>
    </w:p>
    <w:tbl>
      <w:tblPr>
        <w:tblW w:w="5465" w:type="dxa"/>
        <w:jc w:val="center"/>
        <w:tblInd w:w="0" w:type="dxa"/>
        <w:tblLayout w:type="fixed"/>
        <w:tblCellMar>
          <w:top w:w="28" w:type="dxa"/>
          <w:left w:w="28" w:type="dxa"/>
          <w:bottom w:w="28" w:type="dxa"/>
          <w:right w:w="28" w:type="dxa"/>
        </w:tblCellMar>
      </w:tblPr>
      <w:tblGrid>
        <w:gridCol w:w="1549"/>
        <w:gridCol w:w="1360"/>
        <w:gridCol w:w="1365"/>
        <w:gridCol w:w="211"/>
        <w:gridCol w:w="82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to goodwill for acquisition of Rice Palace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consist of definite-lived trade names, customer relationships, software applications and indefinite-lived operating licenses. Other intangible assets are amortized over their estimated 7 to 20-year useful lives.</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 of the following as of June 30, 2026 and December 31, 2025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16"/>
        <w:gridCol w:w="729"/>
        <w:gridCol w:w="121"/>
        <w:gridCol w:w="109"/>
        <w:gridCol w:w="109"/>
        <w:gridCol w:w="109"/>
        <w:gridCol w:w="200"/>
        <w:gridCol w:w="661"/>
        <w:gridCol w:w="111"/>
        <w:gridCol w:w="109"/>
        <w:gridCol w:w="109"/>
        <w:gridCol w:w="109"/>
        <w:gridCol w:w="201"/>
        <w:gridCol w:w="665"/>
        <w:gridCol w:w="112"/>
        <w:gridCol w:w="109"/>
        <w:gridCol w:w="109"/>
        <w:gridCol w:w="109"/>
        <w:gridCol w:w="238"/>
        <w:gridCol w:w="696"/>
        <w:gridCol w:w="134"/>
        <w:gridCol w:w="109"/>
        <w:gridCol w:w="109"/>
        <w:gridCol w:w="109"/>
        <w:gridCol w:w="200"/>
        <w:gridCol w:w="660"/>
        <w:gridCol w:w="167"/>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Licenses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59,860 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61,034 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Amortization expense of other intangible assets was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$1.2 million for the three and six months ended June 30, 2026, and 2025, respectively.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a one-time payment of $9.5 million was required to open the casino at Fairmount. This payment, which represents a one-time gaming license fee to register the gaming positions in the casino, was recorded as an indefinite-lived operating license.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intangibles are tested for impairment annually or when triggering events occur. There were no indicators of impairment of indefinite-lived intangibles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Debt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as of June 30, 2026 and December 31, 2025, consisted of the following (in thousands):</w:t>
      </w:r>
    </w:p>
    <w:tbl>
      <w:tblPr>
        <w:tblW w:w="8123" w:type="dxa"/>
        <w:jc w:val="center"/>
        <w:tblInd w:w="0" w:type="dxa"/>
        <w:tblLayout w:type="fixed"/>
        <w:tblCellMar>
          <w:top w:w="28" w:type="dxa"/>
          <w:left w:w="28" w:type="dxa"/>
          <w:bottom w:w="28" w:type="dxa"/>
          <w:right w:w="28" w:type="dxa"/>
        </w:tblCellMar>
      </w:tblPr>
      <w:tblGrid>
        <w:gridCol w:w="1977"/>
        <w:gridCol w:w="1736"/>
        <w:gridCol w:w="1746"/>
        <w:gridCol w:w="211"/>
        <w:gridCol w:w="826"/>
        <w:gridCol w:w="109"/>
        <w:gridCol w:w="109"/>
        <w:gridCol w:w="109"/>
        <w:gridCol w:w="109"/>
        <w:gridCol w:w="211"/>
        <w:gridCol w:w="82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Remaining premium on interest rate caplets financed as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weighted-average interest rate on the Company’s borrowings was approximately 5.5%.</w:t>
      </w:r>
    </w:p>
    <w:p>
      <w:pPr>
        <w:pStyle w:val="TextBody"/>
        <w:bidi w:val="0"/>
        <w:spacing w:lineRule="auto" w:line="34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Financing Activities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From time to time, the Company may take advantage of favorable financing terms offered by vendors for purchases of property and equipment</w:t>
      </w:r>
      <w:r>
        <w:rPr>
          <w:rFonts w:ascii="Times New Roman;serif" w:hAnsi="Times New Roman;serif"/>
          <w:b w:val="false"/>
          <w:color w:val="000000"/>
          <w:sz w:val="20"/>
          <w:shd w:fill="FFFFFF" w:val="clear"/>
        </w:rPr>
        <w:t xml:space="preserve">. Financed property and equipment totaled </w:t>
      </w:r>
      <w:r>
        <w:rPr>
          <w:rFonts w:ascii="Times New Roman;serif" w:hAnsi="Times New Roman;serif"/>
          <w:b w:val="false"/>
          <w:color w:val="000000"/>
          <w:sz w:val="20"/>
        </w:rPr>
        <w:t xml:space="preserve">$4.2 million and $4.8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 respectively, of which $1.7 million is recorded in accounts payable and other accrued expenses for both periods with the remaining $2.5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 million recorded in other long-term liabilities on the condensed consolidated balance sheets</w:t>
      </w:r>
      <w:r>
        <w:rPr>
          <w:color w:val="000000"/>
          <w:shd w:fill="FFFFFF" w:val="clear"/>
        </w:rPr>
        <w:t xml:space="preserve"> </w:t>
      </w: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hedging instruments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manages its exposure to interest rate risk through the use of interest rate hedging instruments, which are derivative financial instruments. </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On January 12, 2022, the Company hedged the variability of the cash flows attributable to changes in the 1-month Secured Overnight Financing Rate (“SOFR”) interest rates on the first $300 million of the term loan under the Company’s prior credit agreement by entering into a 4-year series of 48 deferred premium caplets (“caplets</w:t>
      </w:r>
      <w:r>
        <w:rPr>
          <w:color w:val="000000"/>
        </w:rPr>
        <w:t>”</w:t>
      </w:r>
      <w:r>
        <w:rPr>
          <w:rFonts w:ascii="Times New Roman;serif" w:hAnsi="Times New Roman;serif"/>
          <w:b w:val="false"/>
          <w:color w:val="000000"/>
          <w:sz w:val="20"/>
        </w:rPr>
        <w:t>), which expired in January 2026.</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On January 30, 2026, following the expiration of the caplets and to continue to </w:t>
      </w:r>
      <w:r>
        <w:rPr>
          <w:rFonts w:ascii="Times New Roman;serif" w:hAnsi="Times New Roman;serif"/>
          <w:b w:val="false"/>
          <w:color w:val="000000"/>
          <w:sz w:val="20"/>
          <w:shd w:fill="FFFFFF" w:val="clear"/>
        </w:rPr>
        <w:t xml:space="preserve">hedge the variability of the cash flows attributable to the changes in the 1-month Term SOFR interest rate, the Company entered into </w:t>
      </w:r>
      <w:r>
        <w:rPr>
          <w:rFonts w:ascii="Times New Roman;serif" w:hAnsi="Times New Roman;serif"/>
          <w:b w:val="false"/>
          <w:color w:val="000000"/>
          <w:sz w:val="20"/>
        </w:rPr>
        <w:t>an interest rate collar. The collar, which is designated as a cash flow hedge, establishes a cap interest rate of 4.00% and a floor interest rate of 2.9215%. The interest</w:t>
        <w:noBreakHyphen/>
        <w:t>rate collar is structured so its notional amount and timing exactly match the term loan’s outstanding balance and scheduled principal payments. The interest rate collar matures in September 2029.</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recognized an </w:t>
      </w:r>
      <w:r>
        <w:rPr>
          <w:rFonts w:ascii="Times New Roman;serif" w:hAnsi="Times New Roman;serif"/>
          <w:b w:val="false"/>
          <w:color w:val="000000"/>
          <w:sz w:val="20"/>
        </w:rPr>
        <w:t>unrealized gain, net of taxes, o</w:t>
      </w:r>
      <w:r>
        <w:rPr>
          <w:rFonts w:ascii="Times New Roman;serif" w:hAnsi="Times New Roman;serif"/>
          <w:b w:val="false"/>
          <w:color w:val="000000"/>
          <w:sz w:val="20"/>
          <w:shd w:fill="FFFFFF" w:val="clear"/>
        </w:rPr>
        <w:t xml:space="preserve">n the change in fair value of the interest rate hedging instruments of </w:t>
      </w:r>
      <w:r>
        <w:rPr>
          <w:rFonts w:ascii="Times New Roman;serif" w:hAnsi="Times New Roman;serif"/>
          <w:b w:val="false"/>
          <w:color w:val="000000"/>
          <w:sz w:val="20"/>
        </w:rPr>
        <w:t xml:space="preserve">$2.2 million both for the three and six months ended </w:t>
      </w:r>
      <w:r>
        <w:rPr>
          <w:rFonts w:ascii="Times New Roman;serif" w:hAnsi="Times New Roman;serif"/>
          <w:b w:val="false"/>
          <w:color w:val="000000"/>
          <w:sz w:val="20"/>
          <w:shd w:fill="FFFFFF" w:val="clear"/>
        </w:rPr>
        <w:t xml:space="preserve">June 30, 2026. In comparison, the Company recognized </w:t>
      </w:r>
      <w:r>
        <w:rPr>
          <w:rFonts w:ascii="Times New Roman;serif" w:hAnsi="Times New Roman;serif"/>
          <w:b w:val="false"/>
          <w:color w:val="000000"/>
          <w:sz w:val="20"/>
        </w:rPr>
        <w:t xml:space="preserve">an unrealized loss, net of taxes,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$0.8 million and $2.0 million for the three and six months ended June 30, 2025, respectively.</w:t>
      </w:r>
      <w:r>
        <w:rPr>
          <w:color w:val="000000"/>
          <w:shd w:fill="FFFFFF" w:val="clear"/>
        </w:rPr>
        <w:t xml:space="preserve"> </w:t>
      </w:r>
      <w:r>
        <w:rPr>
          <w:rFonts w:ascii="Times New Roman;serif" w:hAnsi="Times New Roman;serif"/>
          <w:b w:val="false"/>
          <w:color w:val="000000"/>
          <w:sz w:val="20"/>
          <w:shd w:fill="FFFFFF" w:val="clear"/>
        </w:rPr>
        <w:t xml:space="preserve">For more information on how the Company determines the fair value of the interest rate hedging instruments, see </w:t>
      </w:r>
      <w:r>
        <w:rPr>
          <w:rFonts w:ascii="Times New Roman;serif" w:hAnsi="Times New Roman;serif"/>
          <w:b w:val="false"/>
          <w:color w:val="000000"/>
          <w:sz w:val="20"/>
        </w:rPr>
        <w:t xml:space="preserve">Note 12.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recognized interest income on the caplets of </w:t>
      </w:r>
      <w:r>
        <w:rPr>
          <w:rFonts w:ascii="Times New Roman;serif" w:hAnsi="Times New Roman;serif"/>
          <w:b w:val="false"/>
          <w:color w:val="000000"/>
          <w:sz w:val="20"/>
        </w:rPr>
        <w:t xml:space="preserve">$0.4 million for the six months ended </w:t>
      </w:r>
      <w:r>
        <w:rPr>
          <w:rFonts w:ascii="Times New Roman;serif" w:hAnsi="Times New Roman;serif"/>
          <w:b w:val="false"/>
          <w:color w:val="000000"/>
          <w:sz w:val="20"/>
          <w:shd w:fill="FFFFFF" w:val="clear"/>
        </w:rPr>
        <w:t xml:space="preserve">June 30, 2026, as the caplets expired in January of 2026. In comparison, the Company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These amounts are </w:t>
      </w:r>
      <w:r>
        <w:rPr>
          <w:rFonts w:ascii="Times New Roman;serif" w:hAnsi="Times New Roman;serif"/>
          <w:b w:val="false"/>
          <w:color w:val="000000"/>
          <w:sz w:val="20"/>
          <w:shd w:fill="FFFFFF" w:val="clear"/>
        </w:rPr>
        <w:t xml:space="preserve">reflected in interest expense, net </w:t>
      </w:r>
      <w:r>
        <w:rPr>
          <w:rFonts w:ascii="Times New Roman;serif" w:hAnsi="Times New Roman;serif"/>
          <w:b w:val="false"/>
          <w:color w:val="000000"/>
          <w:sz w:val="20"/>
        </w:rPr>
        <w:t xml:space="preserve">in the condensed consolidated statements of operations and other comprehensive income. </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there has been no realized gain or loss on the interest rate collar.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Business and Asset Acquisitions</w:t>
      </w:r>
    </w:p>
    <w:p>
      <w:pPr>
        <w:pStyle w:val="TextBody"/>
        <w:bidi w:val="0"/>
        <w:spacing w:lineRule="auto" w:line="345"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2026 Business Acquisitions</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Green Valley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completed an acquisition with Midjit Market LLC, a Nevada based grocery chain, which is owned by Anabi Oil Corporation, and a terminal operator, Crawford Coin Machine Co. (collectively referred to as “Green Valley”). The acquisition was for a total purchase price of $5.8 million, of which the Company paid $5.5 million in cash at closing and the remaining $0.3 million is due to the seller and is recorded within accounts payable as of June 30, 2026. The Company paid the remaining $0.3 million in July 2026. The acquisition was accounted for as an asset acquisition in accordance with Topic 805. The purchase price was allocated to the following assets: i) gaming equipment totaling $4.0 million, ii) ATM equipment totaling $0.1 million, iii) gaming accessories totaling $0.1 million, iv) vehicles totaling $0.1 million, and v) location contracts totaling $1.5 million. The results of operations for Green Valley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Rice Palace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acquired Rice Palace, a Louisiana based operator and licensed video poker truck stop, for a total purchase price of $6.1 million, which included $5.3 million paid in cash at closing with the remaining $0.7 million recorded as consideration payable. The acquisition was accounted for as a business combination in accordance with Topic 805. The purchase price has been allocated to the tangible assets and identifiable intangible assets acquired and liabilities assumed based upon their estimated fair values as shown in the table below. The Company also assumed a lease for the land on which the acquired building is located. The excess of the purchase price over the tangible and intangible assets acquired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assumed of $0.3 million has been recorded as goodwill. The Rice Palace acquisition resulted in goodwill as a result of a higher consideration paid driven by the maturity and quality of Rice Palace’s operations, industry and workforce. The Company integrated Rice Palace into its existing truck stop operations in Louisiana. The results of operations for Rice Palace are included in the condensed consolidated financial statements of the Company from the date of acquisition and were not material.</w:t>
      </w:r>
    </w:p>
    <w:tbl>
      <w:tblPr>
        <w:tblW w:w="3245" w:type="dxa"/>
        <w:jc w:val="center"/>
        <w:tblInd w:w="0" w:type="dxa"/>
        <w:tblLayout w:type="fixed"/>
        <w:tblCellMar>
          <w:top w:w="28" w:type="dxa"/>
          <w:left w:w="28" w:type="dxa"/>
          <w:bottom w:w="28" w:type="dxa"/>
          <w:right w:w="28" w:type="dxa"/>
        </w:tblCellMar>
      </w:tblPr>
      <w:tblGrid>
        <w:gridCol w:w="816"/>
        <w:gridCol w:w="719"/>
        <w:gridCol w:w="729"/>
        <w:gridCol w:w="211"/>
        <w:gridCol w:w="616"/>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 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Admira </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April 15, 2026, the Company completed an acquisition of certain assets of </w:t>
      </w:r>
      <w:r>
        <w:rPr>
          <w:rFonts w:ascii="Times New Roman;serif" w:hAnsi="Times New Roman;serif"/>
          <w:b w:val="false"/>
          <w:color w:val="000000"/>
          <w:sz w:val="20"/>
          <w:shd w:fill="FFFFFF" w:val="clear"/>
        </w:rPr>
        <w:t>Admira</w:t>
      </w:r>
      <w:r>
        <w:rPr>
          <w:color w:val="000000"/>
        </w:rPr>
        <w:t xml:space="preserve"> </w:t>
      </w:r>
      <w:r>
        <w:rPr>
          <w:rFonts w:ascii="Times New Roman;serif" w:hAnsi="Times New Roman;serif"/>
          <w:b w:val="false"/>
          <w:color w:val="000000"/>
          <w:sz w:val="20"/>
        </w:rPr>
        <w:t>LLC (“</w:t>
      </w:r>
      <w:r>
        <w:rPr>
          <w:rFonts w:ascii="Times New Roman;serif" w:hAnsi="Times New Roman;serif"/>
          <w:b w:val="false"/>
          <w:color w:val="000000"/>
          <w:sz w:val="20"/>
          <w:shd w:fill="FFFFFF" w:val="clear"/>
        </w:rPr>
        <w:t>Admira</w:t>
      </w:r>
      <w:r>
        <w:rPr>
          <w:color w:val="000000"/>
        </w:rPr>
        <w:t>”</w:t>
      </w:r>
      <w:r>
        <w:rPr>
          <w:rFonts w:ascii="Times New Roman;serif" w:hAnsi="Times New Roman;serif"/>
          <w:b w:val="false"/>
          <w:color w:val="000000"/>
          <w:sz w:val="20"/>
        </w:rPr>
        <w:t xml:space="preserve">), an Illinois based terminal operator. The acquisition was for a total purchase price of $2.8 million, paid in cash at closing. The acquisition was accounted for as an asset acquisition in accordance with Topic 805. The purchase price was allocated to the following assets: i) location contracts totaling $2.3 million, and ii) gaming equipment totaling $0.5 million. The results of operations for </w:t>
      </w:r>
      <w:r>
        <w:rPr>
          <w:rFonts w:ascii="Times New Roman;serif" w:hAnsi="Times New Roman;serif"/>
          <w:b w:val="false"/>
          <w:color w:val="000000"/>
          <w:sz w:val="20"/>
          <w:shd w:fill="FFFFFF" w:val="clear"/>
        </w:rPr>
        <w:t>Admira</w:t>
      </w:r>
      <w:r>
        <w:rPr>
          <w:color w:val="000000"/>
        </w:rPr>
        <w:t xml:space="preserve"> </w:t>
      </w:r>
      <w:r>
        <w:rPr>
          <w:rFonts w:ascii="Times New Roman;serif" w:hAnsi="Times New Roman;serif"/>
          <w:b w:val="false"/>
          <w:color w:val="000000"/>
          <w:sz w:val="20"/>
        </w:rPr>
        <w:t>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2025 Business Acquisitions</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Dynasty</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December 1, 2025, the Company acquired Dynasty Games (“Dynasty”), a Nevada based operator and owner of multiple licensed video poker establishments, for a total purchase price of $4.3 million, which included i) $4.0 million paid in cash at closing and ii) $0.3 million deposited in escrow that is tied to a contingent liability with a present value of $0.3 million on the date of acquisition. In April 2026, the Company paid $0.1 million of the contingent liability using the funds deposited in escrow. </w:t>
      </w:r>
      <w:r>
        <w:rPr>
          <w:rFonts w:ascii="Times New Roman;serif" w:hAnsi="Times New Roman;serif"/>
          <w:b w:val="false"/>
          <w:color w:val="000000"/>
          <w:sz w:val="20"/>
          <w:shd w:fill="FFFFFF" w:val="clear"/>
        </w:rPr>
        <w:t xml:space="preserve">The acquisition was accounted for as an asset acquisition in accordance with Topic 805. </w:t>
      </w:r>
      <w:r>
        <w:rPr>
          <w:rFonts w:ascii="Times New Roman;serif" w:hAnsi="Times New Roman;serif"/>
          <w:b w:val="false"/>
          <w:color w:val="000000"/>
          <w:sz w:val="20"/>
        </w:rPr>
        <w:t>The purchase price was allocated to the following assets: i) gaming equipment totaling $0.3 million, ii) vehicles totaling less than $0.1 million, iii) inventory totaling less than $0.1 million, iv) furniture &amp; fixtures totaling less than $0.1 million, v) location contracts totaling $3.8 million, and vi) contingent liability totaling $0.3 million. The results of operations for Dynasty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consideration is included in consideration payable on the condensed consolidated balance sheets as of June 30, 2026 and December 31, 2025. The contingent consideration accrued is measured at fair value on a recurring basis. The Company presents on its condensed consolidated statement of cash flows, payments for consideration payable within 90 days in investing activities, payments after 90 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long-term portions of consideration payable consist of the following as of June 30, 2026 and December 31, 2025 (in thousands):</w:t>
      </w:r>
    </w:p>
    <w:tbl>
      <w:tblPr>
        <w:tblW w:w="6710" w:type="dxa"/>
        <w:jc w:val="center"/>
        <w:tblInd w:w="0" w:type="dxa"/>
        <w:tblLayout w:type="fixed"/>
        <w:tblCellMar>
          <w:top w:w="28" w:type="dxa"/>
          <w:left w:w="28" w:type="dxa"/>
          <w:bottom w:w="28" w:type="dxa"/>
          <w:right w:w="28" w:type="dxa"/>
        </w:tblCellMar>
      </w:tblPr>
      <w:tblGrid>
        <w:gridCol w:w="586"/>
        <w:gridCol w:w="514"/>
        <w:gridCol w:w="520"/>
        <w:gridCol w:w="211"/>
        <w:gridCol w:w="616"/>
        <w:gridCol w:w="109"/>
        <w:gridCol w:w="109"/>
        <w:gridCol w:w="109"/>
        <w:gridCol w:w="109"/>
        <w:gridCol w:w="222"/>
        <w:gridCol w:w="759"/>
        <w:gridCol w:w="115"/>
        <w:gridCol w:w="109"/>
        <w:gridCol w:w="109"/>
        <w:gridCol w:w="109"/>
        <w:gridCol w:w="211"/>
        <w:gridCol w:w="616"/>
        <w:gridCol w:w="109"/>
        <w:gridCol w:w="109"/>
        <w:gridCol w:w="109"/>
        <w:gridCol w:w="109"/>
        <w:gridCol w:w="221"/>
        <w:gridCol w:w="757"/>
        <w:gridCol w:w="163"/>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Fair Share Gaming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Skyhigh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IVSM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Dynasty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Toucan Gaming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Pelican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Rice Palace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acquisitions mentioned in the table above occurred prior to 2025 with the exception of Dynasty and Rice Palace.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erif" w:hAnsi="Times New Roman;serif"/>
          <w:b w:val="false"/>
          <w:color w:val="222222"/>
          <w:sz w:val="20"/>
        </w:rPr>
        <w:t>P</w:t>
      </w:r>
      <w:r>
        <w:rPr>
          <w:rFonts w:ascii="Times New Roman;serif" w:hAnsi="Times New Roman;serif"/>
          <w:b w:val="false"/>
          <w:color w:val="000000"/>
          <w:sz w:val="20"/>
        </w:rPr>
        <w:t xml:space="preserve">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market condition for the settlement of Tranche I was satisfied. As a result, 1,666,636 shares of the 1,666,666 shares of Tranche I Class A-2 common stock were converted into Class A-1 common stock.</w:t>
      </w:r>
    </w:p>
    <w:p>
      <w:pPr>
        <w:pStyle w:val="TextBody"/>
        <w:bidi w:val="0"/>
        <w:spacing w:lineRule="auto" w:line="345"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conditions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erif" w:hAnsi="Times New Roman;serif"/>
          <w:b w:val="false"/>
          <w:color w:val="000000"/>
          <w:sz w:val="20"/>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before="180" w:after="283"/>
        <w:ind w:left="0" w:right="0" w:firstLine="450"/>
        <w:jc w:val="both"/>
        <w:rPr/>
      </w:pPr>
      <w:r>
        <w:rPr/>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ASC Topic 820, </w:t>
      </w:r>
      <w:r>
        <w:rPr>
          <w:rFonts w:ascii="Times New Roman;serif" w:hAnsi="Times New Roman;serif"/>
          <w:b w:val="false"/>
          <w:i/>
          <w:color w:val="000000"/>
          <w:sz w:val="20"/>
          <w:shd w:fill="FFFFFF" w:val="clear"/>
        </w:rPr>
        <w:t>Fair Value Measurements and Disclosures,</w:t>
      </w:r>
      <w:r>
        <w:rPr>
          <w:color w:val="000000"/>
          <w:shd w:fill="FFFFFF" w:val="clear"/>
        </w:rPr>
        <w:t xml:space="preserve"> </w:t>
      </w:r>
      <w:r>
        <w:rPr>
          <w:rFonts w:ascii="Times New Roman;serif" w:hAnsi="Times New Roman;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1</w:t>
      </w:r>
      <w:r>
        <w:rPr>
          <w:rFonts w:ascii="Times New Roman;serif" w:hAnsi="Times New Roman;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2</w:t>
      </w:r>
      <w:r>
        <w:rPr>
          <w:rFonts w:ascii="Times New Roman;serif" w:hAnsi="Times New Roman;serif"/>
          <w:b w:val="false"/>
          <w:color w:val="000000"/>
          <w:sz w:val="20"/>
          <w:shd w:fill="FFFFFF" w:val="clear"/>
        </w:rPr>
        <w:t>: Valuations for assets and liabilities traded in less active dealer or broker markets. Valuations are obtained from third-party pricing services for identical or similar assets or liabilities in active markets.</w:t>
      </w:r>
    </w:p>
    <w:p>
      <w:pPr>
        <w:pStyle w:val="TextBody"/>
        <w:bidi w:val="0"/>
        <w:spacing w:lineRule="auto" w:line="345" w:before="160" w:after="283"/>
        <w:jc w:val="both"/>
        <w:rPr/>
      </w:pPr>
      <w:r>
        <w:rPr>
          <w:rFonts w:ascii="Times New Roman;serif" w:hAnsi="Times New Roman;serif"/>
          <w:b w:val="false"/>
          <w:color w:val="000000"/>
          <w:sz w:val="20"/>
          <w:u w:val="single"/>
          <w:shd w:fill="FFFFFF" w:val="clear"/>
        </w:rPr>
        <w:t>Level 3</w:t>
      </w:r>
      <w:r>
        <w:rPr>
          <w:rFonts w:ascii="Times New Roman;serif" w:hAnsi="Times New Roman;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measured at fair value</w:t>
      </w:r>
    </w:p>
    <w:p>
      <w:pPr>
        <w:pStyle w:val="TextBody"/>
        <w:bidi w:val="0"/>
        <w:spacing w:lineRule="auto" w:line="345" w:before="180" w:after="283"/>
        <w:ind w:left="0" w:right="0" w:firstLine="27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629"/>
        <w:gridCol w:w="554"/>
        <w:gridCol w:w="559"/>
        <w:gridCol w:w="226"/>
        <w:gridCol w:w="660"/>
        <w:gridCol w:w="116"/>
        <w:gridCol w:w="109"/>
        <w:gridCol w:w="109"/>
        <w:gridCol w:w="109"/>
        <w:gridCol w:w="685"/>
        <w:gridCol w:w="1321"/>
        <w:gridCol w:w="356"/>
        <w:gridCol w:w="117"/>
        <w:gridCol w:w="117"/>
        <w:gridCol w:w="117"/>
        <w:gridCol w:w="482"/>
        <w:gridCol w:w="1409"/>
        <w:gridCol w:w="250"/>
        <w:gridCol w:w="117"/>
        <w:gridCol w:w="117"/>
        <w:gridCol w:w="117"/>
        <w:gridCol w:w="524"/>
        <w:gridCol w:w="1010"/>
        <w:gridCol w:w="39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Identical Assets </w:t>
              <w:br/>
              <w:t>(Level 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hedging instruments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619"/>
        <w:gridCol w:w="545"/>
        <w:gridCol w:w="550"/>
        <w:gridCol w:w="284"/>
        <w:gridCol w:w="630"/>
        <w:gridCol w:w="149"/>
        <w:gridCol w:w="109"/>
        <w:gridCol w:w="109"/>
        <w:gridCol w:w="109"/>
        <w:gridCol w:w="677"/>
        <w:gridCol w:w="1306"/>
        <w:gridCol w:w="352"/>
        <w:gridCol w:w="119"/>
        <w:gridCol w:w="119"/>
        <w:gridCol w:w="119"/>
        <w:gridCol w:w="571"/>
        <w:gridCol w:w="1264"/>
        <w:gridCol w:w="297"/>
        <w:gridCol w:w="119"/>
        <w:gridCol w:w="119"/>
        <w:gridCol w:w="119"/>
        <w:gridCol w:w="521"/>
        <w:gridCol w:w="1006"/>
        <w:gridCol w:w="393"/>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 (Level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hedging instruments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Interest rate hedging instruments</w:t>
      </w:r>
    </w:p>
    <w:p>
      <w:pPr>
        <w:pStyle w:val="TextBody"/>
        <w:bidi w:val="0"/>
        <w:spacing w:lineRule="auto" w:line="345" w:before="80" w:after="283"/>
        <w:ind w:left="0" w:right="0" w:firstLine="360"/>
        <w:jc w:val="both"/>
        <w:rPr/>
      </w:pPr>
      <w:r>
        <w:rPr>
          <w:rFonts w:ascii="Times New Roman;serif" w:hAnsi="Times New Roman;serif"/>
          <w:b w:val="false"/>
          <w:color w:val="000000"/>
          <w:sz w:val="20"/>
          <w:shd w:fill="FFFFFF" w:val="clear"/>
        </w:rPr>
        <w:t>The Company determines the fair value of the interest rate</w:t>
      </w:r>
      <w:r>
        <w:rPr>
          <w:color w:val="000000"/>
        </w:rPr>
        <w:t xml:space="preserve"> </w:t>
      </w:r>
      <w:r>
        <w:rPr>
          <w:rFonts w:ascii="Times New Roman;serif" w:hAnsi="Times New Roman;serif"/>
          <w:b w:val="false"/>
          <w:color w:val="000000"/>
          <w:sz w:val="20"/>
        </w:rPr>
        <w:t>hedging instruments using quotes that are based on models whose inputs are observable SOFR forward interest rate curves. The valuation of the interest rate hedging instruments is considered to be a Level 2 fair value measurement as the significant inputs are observable.</w:t>
      </w:r>
      <w:r>
        <w:rPr>
          <w:color w:val="000000"/>
          <w:shd w:fill="FFFFFF" w:val="clear"/>
        </w:rPr>
        <w:t xml:space="preserve"> </w:t>
      </w:r>
      <w:r>
        <w:rPr>
          <w:rFonts w:ascii="Times New Roman;serif" w:hAnsi="Times New Roman;serif"/>
          <w:b w:val="false"/>
          <w:color w:val="000000"/>
          <w:sz w:val="20"/>
          <w:shd w:fill="FFFFFF" w:val="clear"/>
        </w:rPr>
        <w:t xml:space="preserve">Unrealized changes in the fair value of the interest rate </w:t>
      </w:r>
      <w:r>
        <w:rPr>
          <w:rFonts w:ascii="Times New Roman;serif" w:hAnsi="Times New Roman;serif"/>
          <w:b w:val="false"/>
          <w:color w:val="000000"/>
          <w:sz w:val="20"/>
        </w:rPr>
        <w:t>hedging instruments</w:t>
      </w:r>
      <w:r>
        <w:rPr>
          <w:color w:val="000000"/>
          <w:shd w:fill="FFFFFF" w:val="clear"/>
        </w:rPr>
        <w:t xml:space="preserve"> </w:t>
      </w:r>
      <w:r>
        <w:rPr>
          <w:rFonts w:ascii="Times New Roman;serif" w:hAnsi="Times New Roman;serif"/>
          <w:b w:val="false"/>
          <w:color w:val="000000"/>
          <w:sz w:val="20"/>
          <w:shd w:fill="FFFFFF" w:val="clear"/>
        </w:rPr>
        <w:t xml:space="preserve">are classified within other comprehensive income on the accompanying condensed consolidated statements of operations and comprehensive income. Realized gains on the interest rate </w:t>
      </w:r>
      <w:r>
        <w:rPr>
          <w:rFonts w:ascii="Times New Roman;serif" w:hAnsi="Times New Roman;serif"/>
          <w:b w:val="false"/>
          <w:color w:val="000000"/>
          <w:sz w:val="20"/>
        </w:rPr>
        <w:t>hedging instruments</w:t>
      </w:r>
      <w:r>
        <w:rPr>
          <w:color w:val="000000"/>
          <w:shd w:fill="FFFFFF" w:val="clear"/>
        </w:rPr>
        <w:t xml:space="preserve"> </w:t>
      </w:r>
      <w:r>
        <w:rPr>
          <w:rFonts w:ascii="Times New Roman;serif" w:hAnsi="Times New Roman;serif"/>
          <w:b w:val="false"/>
          <w:color w:val="000000"/>
          <w:sz w:val="20"/>
          <w:shd w:fill="FFFFFF" w:val="clear"/>
        </w:rPr>
        <w:t xml:space="preserve">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71"/>
        <w:gridCol w:w="502"/>
        <w:gridCol w:w="507"/>
        <w:gridCol w:w="216"/>
        <w:gridCol w:w="740"/>
        <w:gridCol w:w="111"/>
        <w:gridCol w:w="109"/>
        <w:gridCol w:w="109"/>
        <w:gridCol w:w="109"/>
        <w:gridCol w:w="739"/>
        <w:gridCol w:w="1426"/>
        <w:gridCol w:w="384"/>
        <w:gridCol w:w="111"/>
        <w:gridCol w:w="111"/>
        <w:gridCol w:w="111"/>
        <w:gridCol w:w="428"/>
        <w:gridCol w:w="1462"/>
        <w:gridCol w:w="222"/>
        <w:gridCol w:w="111"/>
        <w:gridCol w:w="111"/>
        <w:gridCol w:w="111"/>
        <w:gridCol w:w="367"/>
        <w:gridCol w:w="1256"/>
        <w:gridCol w:w="28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53,615 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6"/>
        <w:gridCol w:w="1400"/>
        <w:gridCol w:w="377"/>
        <w:gridCol w:w="111"/>
        <w:gridCol w:w="111"/>
        <w:gridCol w:w="111"/>
        <w:gridCol w:w="422"/>
        <w:gridCol w:w="1441"/>
        <w:gridCol w:w="218"/>
        <w:gridCol w:w="111"/>
        <w:gridCol w:w="111"/>
        <w:gridCol w:w="111"/>
        <w:gridCol w:w="361"/>
        <w:gridCol w:w="1236"/>
        <w:gridCol w:w="276"/>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20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49,929 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erif" w:hAnsi="Times New Roman;serif"/>
          <w:b w:val="false"/>
          <w:color w:val="000000"/>
          <w:sz w:val="20"/>
        </w:rPr>
        <w:t xml:space="preserve">period. The valuation of the Company's contingent consideration is considered to be a Level 3 fair value measurement as the significant inputs are unobservable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erif" w:hAnsi="Times New Roman;serif"/>
          <w:b w:val="false"/>
          <w:color w:val="000000"/>
          <w:sz w:val="20"/>
        </w:rPr>
        <w:t xml:space="preserve">require significant judgment or estimation. </w:t>
      </w:r>
      <w:r>
        <w:rPr>
          <w:rFonts w:ascii="Times New Roman;serif" w:hAnsi="Times New Roman;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erif" w:hAnsi="Times New Roman;serif"/>
          <w:b w:val="false"/>
          <w:color w:val="000000"/>
          <w:sz w:val="20"/>
        </w:rPr>
        <w:t xml:space="preserve">The valuation of the Company's contingent consideration is considered to be a Level 2 fair value measurement. </w:t>
      </w:r>
      <w:r>
        <w:rPr>
          <w:rFonts w:ascii="Times New Roman;serif" w:hAnsi="Times New Roman;serif"/>
          <w:b w:val="false"/>
          <w:color w:val="000000"/>
          <w:sz w:val="20"/>
          <w:shd w:fill="FFFFFF" w:val="clear"/>
        </w:rPr>
        <w:t xml:space="preserve">Changes in the fair value of contingent earnout shares are included within loss on change in fair value of contingent earnout shares on the accompanying condensed consolidated </w:t>
      </w:r>
      <w:r>
        <w:rPr>
          <w:rFonts w:ascii="Times New Roman;serif" w:hAnsi="Times New Roman;serif"/>
          <w:b w:val="false"/>
          <w:color w:val="000000"/>
          <w:sz w:val="20"/>
        </w:rPr>
        <w:t>statements of operations and comprehensive income.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erif" w:hAnsi="Times New Roman;serif"/>
          <w:b w:val="false"/>
          <w:color w:val="222222"/>
          <w:sz w:val="20"/>
        </w:rPr>
        <w:t>P</w:t>
      </w:r>
      <w:r>
        <w:rPr>
          <w:rFonts w:ascii="Times New Roman;serif" w:hAnsi="Times New Roman;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erif" w:hAnsi="Times New Roman;serif"/>
          <w:b w:val="false"/>
          <w:i/>
          <w:color w:val="000000"/>
          <w:sz w:val="20"/>
        </w:rPr>
      </w:pPr>
      <w:r>
        <w:rPr>
          <w:rFonts w:ascii="Times New Roman;serif" w:hAnsi="Times New Roman;serif"/>
          <w:b w:val="false"/>
          <w:i/>
          <w:color w:val="000000"/>
          <w:sz w:val="20"/>
        </w:rPr>
        <w:t>Class A-1 Common Stock</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On November 22, 2021, the Company’s Board of Directors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w:t>
      </w:r>
      <w:r>
        <w:rPr>
          <w:rFonts w:ascii="Times New Roman;serif" w:hAnsi="Times New Roman;serif"/>
          <w:b w:val="false"/>
          <w:color w:val="000000"/>
          <w:sz w:val="20"/>
          <w:shd w:fill="FFFFFF" w:val="clear"/>
        </w:rPr>
        <w:t>June 30, 2026, the Company had acquired a total of 19.2 million shares under the share repurchase program at a total purchase price of $201.1 million, of which 1.6 million shares at a total purchase price of $17.7 million were acquired during the six</w:t>
      </w:r>
      <w:r>
        <w:rPr>
          <w:color w:val="000000"/>
        </w:rPr>
        <w:t xml:space="preserve"> </w:t>
      </w:r>
      <w:r>
        <w:rPr>
          <w:rFonts w:ascii="Times New Roman;serif" w:hAnsi="Times New Roman;serif"/>
          <w:b w:val="false"/>
          <w:color w:val="000000"/>
          <w:sz w:val="20"/>
        </w:rPr>
        <w:t>months ended June 30, 2026</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Segment Reporting</w:t>
      </w:r>
    </w:p>
    <w:p>
      <w:pPr>
        <w:pStyle w:val="TextBody"/>
        <w:bidi w:val="0"/>
        <w:spacing w:lineRule="auto" w:line="345" w:before="180" w:after="100"/>
        <w:ind w:left="0" w:right="0" w:firstLine="360"/>
        <w:jc w:val="both"/>
        <w:rPr/>
      </w:pPr>
      <w:r>
        <w:rPr>
          <w:rFonts w:ascii="Times New Roman;serif" w:hAnsi="Times New Roman;serif"/>
          <w:b w:val="false"/>
          <w:color w:val="000000"/>
          <w:sz w:val="20"/>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w:t>
      </w:r>
      <w:r>
        <w:rPr>
          <w:color w:val="000000"/>
          <w:shd w:fill="FFFFFF" w:val="clear"/>
        </w:rPr>
        <w:t xml:space="preserve"> </w:t>
      </w:r>
      <w:r>
        <w:rPr>
          <w:rFonts w:ascii="Times New Roman;serif" w:hAnsi="Times New Roman;serif"/>
          <w:b w:val="false"/>
          <w:color w:val="000000"/>
          <w:sz w:val="20"/>
          <w:shd w:fill="FFFFFF" w:val="clear"/>
        </w:rPr>
        <w:t xml:space="preserve">understand the Company’s underlying drivers of profitability, trends in its business, and to facilitate company-to-company and period-to-period comparisons. Segment asset information is provided to the CODM to support the CODM’s assessment of performance but is not used to allocate resources.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defines Adjusted EBITDA</w:t>
      </w:r>
      <w:r>
        <w:rPr>
          <w:color w:val="000000"/>
          <w:shd w:fill="FFFFFF" w:val="clear"/>
        </w:rPr>
        <w:t xml:space="preserve"> </w:t>
      </w:r>
      <w:r>
        <w:rPr>
          <w:rFonts w:ascii="Times New Roman;serif" w:hAnsi="Times New Roman;serif"/>
          <w:b w:val="false"/>
          <w:color w:val="000000"/>
          <w:sz w:val="20"/>
          <w:shd w:fill="FFFFFF" w:val="clear"/>
        </w:rPr>
        <w:t>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Loss on change in fair value of contingent earnout shares</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Other expenses, net which consists of i) non-cash expenses including the remeasurement of contingent consideration liabilities, ii) non-recurring lobbying and legal expenses related to distributed gaming expansion in current or prospective markets, iii) other non-recurring expenses and beginning in 2026 iv) gain or loss on sale of fixed assets, which were previously presented in general and administrative expenses. Prior periods have not been recast to reflect this change.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the Company’s operations are developing</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distributed gaming reportable segment consists of the installation, maintenance, and operation of gaming terminals, redemption devices that disburse winnings and contain ATM functionality and other amusement devices in authorized non-casino locations such as restaurants, bars, convenience stores, liquor stores, truck stops and grocery stores. The Company’s operations and services are consistent in the Company’s markets.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with the acquisition of Fairmount in December 2024, it has two operating segments: distributed gaming and casino and racing as of June 30, 2026. However, the casino and racing operating segment does not meet the criteria of a reportable segment from a quantitative standpoint as of June 30, 2026. The Company will continue to evaluate from a quantitative and qualitative standpoint whether the casino and racing operating segment meets the criteria of a reportable segment. </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segment expenses, including disaggregated significant expenses that are presented within general and administrative expenses, are presented in the Company’s condensed consolidated statement of operations and comprehensive income and are included in the table below.</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financial information with respect to the Company’s single reportable segment, distributed gaming, for the three and six months ended June 30, 2026 and 2025. Additionally, the Company has included an "all other" operating segment which is its casino and racing operations that is neither individually reportable nor able to be aggregated or combined with another operating segment. </w:t>
      </w:r>
    </w:p>
    <w:tbl>
      <w:tblPr>
        <w:tblW w:w="10205" w:type="dxa"/>
        <w:jc w:val="center"/>
        <w:tblInd w:w="0" w:type="dxa"/>
        <w:tblLayout w:type="fixed"/>
        <w:tblCellMar>
          <w:top w:w="28" w:type="dxa"/>
          <w:left w:w="28" w:type="dxa"/>
          <w:bottom w:w="28" w:type="dxa"/>
          <w:right w:w="28" w:type="dxa"/>
        </w:tblCellMar>
      </w:tblPr>
      <w:tblGrid>
        <w:gridCol w:w="1645"/>
        <w:gridCol w:w="1323"/>
        <w:gridCol w:w="129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4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Total net revenues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operations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Compensation related costs - general and administrative</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segment items </w:t>
            </w:r>
            <w:r>
              <w:rPr>
                <w:rFonts w:ascii="Times New Roman;serif" w:hAnsi="Times New Roman;serif"/>
                <w:b w:val="false"/>
                <w:color w:val="000000"/>
                <w:sz w:val="13"/>
              </w:rPr>
              <w:t>(4)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 for distributed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Adjusted EBITDA for “all other” operating segment </w:t>
            </w:r>
            <w:r>
              <w:rPr>
                <w:rFonts w:ascii="Times New Roman;serif" w:hAnsi="Times New Roman;serif"/>
                <w:b/>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expenses, net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45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(1)Total net revenues is further disaggregated by revenue stream as included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(2)The significant expense categories and amounts align with the segment-level information that is regularly provided to the CODM.</w:t>
      </w:r>
    </w:p>
    <w:p>
      <w:pPr>
        <w:pStyle w:val="TextBody"/>
        <w:bidi w:val="0"/>
        <w:spacing w:lineRule="auto" w:line="345" w:before="0" w:after="0"/>
        <w:ind w:left="0" w:right="0" w:hanging="45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(3)Compensation related costs represent payroll and other related costs that are included in general and administrative on the condensed consolidated statements of operations and comprehensive income.</w:t>
      </w:r>
    </w:p>
    <w:p>
      <w:pPr>
        <w:pStyle w:val="TextBody"/>
        <w:bidi w:val="0"/>
        <w:spacing w:lineRule="auto" w:line="345" w:before="0" w:after="0"/>
        <w:ind w:left="0" w:right="0" w:hanging="45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(4)All other segment items include other operating and general and administrative expenses (such as general and administrative expenses related to parts, advertising, information technology, etc.) which are included in general and administrative on the condensed consolidated statements of operations and comprehensive income and cost of manufacturing goods sold, as well as, adjustments for stock-based compensation expense and emerging markets.</w:t>
      </w:r>
    </w:p>
    <w:p>
      <w:pPr>
        <w:pStyle w:val="TextBody"/>
        <w:bidi w:val="0"/>
        <w:spacing w:lineRule="auto" w:line="345" w:before="0" w:after="0"/>
        <w:ind w:left="0" w:right="0" w:hanging="450"/>
        <w:jc w:val="both"/>
        <w:rPr/>
      </w:pPr>
      <w:r>
        <w:rPr>
          <w:rFonts w:ascii="Times New Roman;serif" w:hAnsi="Times New Roman;serif"/>
          <w:b w:val="false"/>
          <w:color w:val="000000"/>
          <w:sz w:val="14"/>
          <w:shd w:fill="FFFFFF" w:val="clear"/>
        </w:rPr>
        <w:t xml:space="preserve">(5)All corporate expenses were allocated to the distributed gaming reportable segment as of June 30, 2026 and </w:t>
      </w:r>
      <w:r>
        <w:rPr>
          <w:rFonts w:ascii="Times New Roman;serif" w:hAnsi="Times New Roman;serif"/>
          <w:b w:val="false"/>
          <w:color w:val="000000"/>
          <w:sz w:val="14"/>
        </w:rPr>
        <w:t>2025</w:t>
      </w:r>
      <w:r>
        <w:rPr>
          <w:rFonts w:ascii="Times New Roman;serif" w:hAnsi="Times New Roman;serif"/>
          <w:b w:val="false"/>
          <w:color w:val="000000"/>
          <w:sz w:val="14"/>
          <w:shd w:fill="FFFFFF" w:val="clear"/>
        </w:rPr>
        <w:t>. The "all other" operating segment had total net revenues of $13.3 million and $24.0 million; cost of revenues of $5.3 million and $9.9 million; compensation related costs of $4.0 million and $7.2 million</w:t>
      </w:r>
      <w:r>
        <w:rPr>
          <w:color w:val="000000"/>
        </w:rPr>
        <w:t xml:space="preserve"> </w:t>
      </w:r>
      <w:r>
        <w:rPr>
          <w:rFonts w:ascii="Times New Roman;serif" w:hAnsi="Times New Roman;serif"/>
          <w:b w:val="false"/>
          <w:color w:val="000000"/>
          <w:sz w:val="14"/>
        </w:rPr>
        <w:t xml:space="preserve">in operations and </w:t>
      </w:r>
      <w:r>
        <w:rPr>
          <w:rFonts w:ascii="Times New Roman;serif" w:hAnsi="Times New Roman;serif"/>
          <w:b w:val="false"/>
          <w:color w:val="000000"/>
          <w:sz w:val="14"/>
          <w:shd w:fill="FFFFFF" w:val="clear"/>
        </w:rPr>
        <w:t>$1.1 million</w:t>
      </w:r>
      <w:r>
        <w:rPr>
          <w:color w:val="000000"/>
        </w:rPr>
        <w:t xml:space="preserve"> </w:t>
      </w:r>
      <w:r>
        <w:rPr>
          <w:rFonts w:ascii="Times New Roman;serif" w:hAnsi="Times New Roman;serif"/>
          <w:b w:val="false"/>
          <w:color w:val="000000"/>
          <w:sz w:val="14"/>
        </w:rPr>
        <w:t xml:space="preserve">and </w:t>
      </w:r>
      <w:r>
        <w:rPr>
          <w:rFonts w:ascii="Times New Roman;serif" w:hAnsi="Times New Roman;serif"/>
          <w:b w:val="false"/>
          <w:color w:val="000000"/>
          <w:sz w:val="14"/>
          <w:shd w:fill="FFFFFF" w:val="clear"/>
        </w:rPr>
        <w:t xml:space="preserve">$2.0 million in general and administrative; and all other segment items of $2.3 million and $4.3 million for the </w:t>
      </w:r>
      <w:r>
        <w:rPr>
          <w:rFonts w:ascii="Times New Roman;serif" w:hAnsi="Times New Roman;serif"/>
          <w:b w:val="false"/>
          <w:color w:val="000000"/>
          <w:sz w:val="14"/>
        </w:rPr>
        <w:t>three and six</w:t>
      </w:r>
      <w:r>
        <w:rPr>
          <w:color w:val="000000"/>
          <w:shd w:fill="FFFFFF" w:val="clear"/>
        </w:rPr>
        <w:t xml:space="preserve"> </w:t>
      </w:r>
      <w:r>
        <w:rPr>
          <w:rFonts w:ascii="Times New Roman;serif" w:hAnsi="Times New Roman;serif"/>
          <w:b w:val="false"/>
          <w:color w:val="000000"/>
          <w:sz w:val="14"/>
          <w:shd w:fill="FFFFFF" w:val="clear"/>
        </w:rPr>
        <w:t xml:space="preserve">months ended </w:t>
      </w:r>
      <w:r>
        <w:rPr>
          <w:rFonts w:ascii="Times New Roman;serif" w:hAnsi="Times New Roman;serif"/>
          <w:b w:val="false"/>
          <w:color w:val="000000"/>
          <w:sz w:val="14"/>
        </w:rPr>
        <w:t>June 30, 2026, respectively</w:t>
      </w:r>
      <w:r>
        <w:rPr>
          <w:rFonts w:ascii="Times New Roman;serif" w:hAnsi="Times New Roman;serif"/>
          <w:b w:val="false"/>
          <w:color w:val="000000"/>
          <w:sz w:val="14"/>
          <w:shd w:fill="FFFFFF" w:val="clear"/>
        </w:rPr>
        <w:t>. In comparison, the "all other" operating segment had total net revenues of $9.5 million and $15.4 million; cost of revenues of $3.6 million and $5.3 million; compensation related costs of $3.5 million and $5.2 million</w:t>
      </w:r>
      <w:r>
        <w:rPr>
          <w:color w:val="000000"/>
        </w:rPr>
        <w:t xml:space="preserve"> </w:t>
      </w:r>
      <w:r>
        <w:rPr>
          <w:rFonts w:ascii="Times New Roman;serif" w:hAnsi="Times New Roman;serif"/>
          <w:b w:val="false"/>
          <w:color w:val="000000"/>
          <w:sz w:val="14"/>
        </w:rPr>
        <w:t xml:space="preserve">in operations and </w:t>
      </w:r>
      <w:r>
        <w:rPr>
          <w:rFonts w:ascii="Times New Roman;serif" w:hAnsi="Times New Roman;serif"/>
          <w:b w:val="false"/>
          <w:color w:val="000000"/>
          <w:sz w:val="14"/>
          <w:shd w:fill="FFFFFF" w:val="clear"/>
        </w:rPr>
        <w:t>$1.1 million</w:t>
      </w:r>
      <w:r>
        <w:rPr>
          <w:color w:val="000000"/>
        </w:rPr>
        <w:t xml:space="preserve"> </w:t>
      </w:r>
      <w:r>
        <w:rPr>
          <w:rFonts w:ascii="Times New Roman;serif" w:hAnsi="Times New Roman;serif"/>
          <w:b w:val="false"/>
          <w:color w:val="000000"/>
          <w:sz w:val="14"/>
        </w:rPr>
        <w:t xml:space="preserve">and </w:t>
      </w:r>
      <w:r>
        <w:rPr>
          <w:rFonts w:ascii="Times New Roman;serif" w:hAnsi="Times New Roman;serif"/>
          <w:b w:val="false"/>
          <w:color w:val="000000"/>
          <w:sz w:val="14"/>
          <w:shd w:fill="FFFFFF" w:val="clear"/>
        </w:rPr>
        <w:t xml:space="preserve">$1.9 million in general and administrative; and all other segment items of $1.9 million and </w:t>
      </w:r>
      <w:r>
        <w:rPr>
          <w:rFonts w:ascii="Times New Roman;serif" w:hAnsi="Times New Roman;serif"/>
          <w:b w:val="false"/>
          <w:color w:val="000000"/>
          <w:sz w:val="14"/>
        </w:rPr>
        <w:t>$3.3 million</w:t>
      </w:r>
      <w:r>
        <w:rPr>
          <w:color w:val="000000"/>
          <w:shd w:fill="FFFFFF" w:val="clear"/>
        </w:rPr>
        <w:t xml:space="preserve"> </w:t>
      </w:r>
      <w:r>
        <w:rPr>
          <w:rFonts w:ascii="Times New Roman;serif" w:hAnsi="Times New Roman;serif"/>
          <w:b w:val="false"/>
          <w:color w:val="000000"/>
          <w:sz w:val="14"/>
          <w:shd w:fill="FFFFFF" w:val="clear"/>
        </w:rPr>
        <w:t xml:space="preserve">for the </w:t>
      </w:r>
      <w:r>
        <w:rPr>
          <w:rFonts w:ascii="Times New Roman;serif" w:hAnsi="Times New Roman;serif"/>
          <w:b w:val="false"/>
          <w:color w:val="000000"/>
          <w:sz w:val="14"/>
        </w:rPr>
        <w:t>three and six</w:t>
      </w:r>
      <w:r>
        <w:rPr>
          <w:color w:val="000000"/>
          <w:shd w:fill="FFFFFF" w:val="clear"/>
        </w:rPr>
        <w:t xml:space="preserve"> </w:t>
      </w:r>
      <w:r>
        <w:rPr>
          <w:rFonts w:ascii="Times New Roman;serif" w:hAnsi="Times New Roman;serif"/>
          <w:b w:val="false"/>
          <w:color w:val="000000"/>
          <w:sz w:val="14"/>
          <w:shd w:fill="FFFFFF" w:val="clear"/>
        </w:rPr>
        <w:t xml:space="preserve">months ended </w:t>
      </w:r>
      <w:r>
        <w:rPr>
          <w:rFonts w:ascii="Times New Roman;serif" w:hAnsi="Times New Roman;serif"/>
          <w:b w:val="false"/>
          <w:color w:val="000000"/>
          <w:sz w:val="14"/>
        </w:rPr>
        <w:t>June 30, 2025, respectively</w:t>
      </w:r>
      <w:r>
        <w:rPr>
          <w:rFonts w:ascii="Times New Roman;serif" w:hAnsi="Times New Roman;serif"/>
          <w:b w:val="false"/>
          <w:color w:val="000000"/>
          <w:sz w:val="14"/>
          <w:shd w:fill="FFFFFF" w:val="clear"/>
        </w:rPr>
        <w:t>.</w:t>
      </w:r>
    </w:p>
    <w:p>
      <w:pPr>
        <w:pStyle w:val="TextBody"/>
        <w:bidi w:val="0"/>
        <w:spacing w:lineRule="auto" w:line="345" w:before="0" w:after="0"/>
        <w:ind w:left="0" w:right="0" w:hanging="450"/>
        <w:jc w:val="both"/>
        <w:rPr/>
      </w:pPr>
      <w:r>
        <w:rPr>
          <w:rFonts w:ascii="Times New Roman;serif" w:hAnsi="Times New Roman;serif"/>
          <w:b w:val="false"/>
          <w:color w:val="000000"/>
          <w:sz w:val="14"/>
          <w:shd w:fill="FFFFFF" w:val="clear"/>
        </w:rPr>
        <w:t>(6)Loss on sale of fixed assets was $2.5 million</w:t>
      </w:r>
      <w:r>
        <w:rPr>
          <w:color w:val="000000"/>
        </w:rPr>
        <w:t xml:space="preserve"> </w:t>
      </w:r>
      <w:r>
        <w:rPr>
          <w:rFonts w:ascii="Times New Roman;serif" w:hAnsi="Times New Roman;serif"/>
          <w:b w:val="false"/>
          <w:color w:val="000000"/>
          <w:sz w:val="14"/>
        </w:rPr>
        <w:t xml:space="preserve">and </w:t>
      </w:r>
      <w:r>
        <w:rPr>
          <w:rFonts w:ascii="Times New Roman;serif" w:hAnsi="Times New Roman;serif"/>
          <w:b w:val="false"/>
          <w:color w:val="000000"/>
          <w:sz w:val="14"/>
          <w:shd w:fill="FFFFFF" w:val="clear"/>
        </w:rPr>
        <w:t>$3.2 million</w:t>
      </w:r>
      <w:r>
        <w:rPr>
          <w:color w:val="000000"/>
        </w:rPr>
        <w:t xml:space="preserve"> </w:t>
      </w:r>
      <w:r>
        <w:rPr>
          <w:rFonts w:ascii="Times New Roman;serif" w:hAnsi="Times New Roman;serif"/>
          <w:b w:val="false"/>
          <w:color w:val="000000"/>
          <w:sz w:val="14"/>
          <w:shd w:fill="FFFFFF" w:val="clear"/>
        </w:rPr>
        <w:t xml:space="preserve">for the three and six months ended </w:t>
      </w:r>
      <w:r>
        <w:rPr>
          <w:rFonts w:ascii="Times New Roman;serif" w:hAnsi="Times New Roman;serif"/>
          <w:b w:val="false"/>
          <w:color w:val="000000"/>
          <w:sz w:val="14"/>
        </w:rPr>
        <w:t>June 30, 2026,</w:t>
      </w:r>
      <w:r>
        <w:rPr>
          <w:color w:val="000000"/>
          <w:shd w:fill="FFFFFF" w:val="clear"/>
        </w:rPr>
        <w:t xml:space="preserve"> </w:t>
      </w:r>
      <w:r>
        <w:rPr>
          <w:rFonts w:ascii="Times New Roman;serif" w:hAnsi="Times New Roman;serif"/>
          <w:b w:val="false"/>
          <w:color w:val="000000"/>
          <w:sz w:val="14"/>
          <w:shd w:fill="FFFFFF" w:val="clear"/>
        </w:rPr>
        <w:t>respectively, and is included in Other expenses, net. Loss on sale of fixed assets was $0.1 million</w:t>
      </w:r>
      <w:r>
        <w:rPr>
          <w:color w:val="000000"/>
        </w:rPr>
        <w:t xml:space="preserve"> </w:t>
      </w:r>
      <w:r>
        <w:rPr>
          <w:rFonts w:ascii="Times New Roman;serif" w:hAnsi="Times New Roman;serif"/>
          <w:b w:val="false"/>
          <w:color w:val="000000"/>
          <w:sz w:val="14"/>
        </w:rPr>
        <w:t xml:space="preserve">and </w:t>
      </w:r>
      <w:r>
        <w:rPr>
          <w:rFonts w:ascii="Times New Roman;serif" w:hAnsi="Times New Roman;serif"/>
          <w:b w:val="false"/>
          <w:color w:val="000000"/>
          <w:sz w:val="14"/>
          <w:shd w:fill="FFFFFF" w:val="clear"/>
        </w:rPr>
        <w:t>$0.3 million</w:t>
      </w:r>
      <w:r>
        <w:rPr>
          <w:color w:val="000000"/>
        </w:rPr>
        <w:t xml:space="preserve"> </w:t>
      </w:r>
      <w:r>
        <w:rPr>
          <w:rFonts w:ascii="Times New Roman;serif" w:hAnsi="Times New Roman;serif"/>
          <w:b w:val="false"/>
          <w:color w:val="000000"/>
          <w:sz w:val="14"/>
          <w:shd w:fill="FFFFFF" w:val="clear"/>
        </w:rPr>
        <w:t xml:space="preserve">for the three and six months ended </w:t>
      </w:r>
      <w:r>
        <w:rPr>
          <w:rFonts w:ascii="Times New Roman;serif" w:hAnsi="Times New Roman;serif"/>
          <w:b w:val="false"/>
          <w:color w:val="000000"/>
          <w:sz w:val="14"/>
        </w:rPr>
        <w:t>June 30, 2025, respectively,</w:t>
      </w:r>
      <w:r>
        <w:rPr>
          <w:color w:val="000000"/>
          <w:shd w:fill="FFFFFF" w:val="clear"/>
        </w:rPr>
        <w:t xml:space="preserve"> </w:t>
      </w:r>
      <w:r>
        <w:rPr>
          <w:rFonts w:ascii="Times New Roman;serif" w:hAnsi="Times New Roman;serif"/>
          <w:b w:val="false"/>
          <w:color w:val="000000"/>
          <w:sz w:val="14"/>
          <w:shd w:fill="FFFFFF" w:val="clear"/>
        </w:rPr>
        <w:t xml:space="preserve">and is presented in general and administrative expenses, which is not an adjustment for EBITDA.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assets associated with the distributed gaming segment are $1.0 billion and the assets for the "all other" operating segment were $65.1 million. See the condensed consolidated financial statements for other financial information (such as cash used for capital expenditures, etc.) regarding the Company’s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Accel Entertainment, Inc. Long Term Incentive Plan, the Company issued 164,794 restricted stock units (“RSUs”) to members of the Board during the first quarter of 2026, which will vest at the end of 2026. The estimated grant date fair value of these RSUs totaled $1.8 million.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731,566 RSUs to certain eligible employees during the second quarter of 2026, which will vest over a period of less than 1 year to 3 years, as applicable. The estimated fair value of these RSUs totaled $8.3 million.</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Stock-based compensation expense, which pertains to the Company’s RSUs and performance-based restricted stock units, was $3.2 million and $5.7 million for the three and six months ended June 30, 2026, respectively. In comparison, stock-based compensation expense was $2.8 million and $4.9 million for the three and six months ended June 30, 2025, respectively. Stock-based compensation expense is included within </w:t>
      </w:r>
      <w:r>
        <w:rPr>
          <w:rFonts w:ascii="Times New Roman;serif" w:hAnsi="Times New Roman;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of $5.9 million and $11.2 million for the three and six months ended June 30, 2026, respectively. In comparison, the Company recognized income tax expense of $5.1 million and $10.1 million for the three and six months ended June 30, 2025, respectively.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31.9% and 29.3% for the three and six months ended June 30, 2026, respectively, compared to 41.2% and 31.6% for the three and six months ended June 30, 2025, respectively. The Company’s effective income tax rate can vary from period to period depending on, among other factors, the amount of permanent tax adjustments and discrete items. The change in the fair value of the contingent earnout shares is considered a permanent, non-taxable item for income tax purposes and was the primary driver for the fluctuations in the tax rate year over year.</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“Act”) was signed into law on July 4, 2025. The Act contains significant tax law changes impacting business taxpayers with various effective dates, with certain provisions effective in 2025 and others to be implemented through 2027. Among the tax law changes that impact the Company are those that relate to the timing of certain tax deductions including depreciation expense, interest expense and research and development expenditures. Because these tax law changes impact the timing of these deductions, they will not reduce the Company’s overall effective tax rate. However, these tax law changes have resulted in a favorable reduction to our current tax expense for the six months ended June 30, 2026, which was offset by an increase to deferred tax expense.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 2026, the Company purchased $18.2 million of 2025 production tax credits for a total cost of $16.9 million. The Company will use the purchased tax credits on its 2025 federal tax return to the extent allowable. Any excess credits that were not utilized on the 2025 federal tax return were carried back to tax years 2022-2024 and fully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Commitments and Contingencies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been involved in a series of related litigated matters stemming from claims that it wrongly contracted with various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 As a result of subsequent litigation, the Supreme Court of Illinois determined that the IGB has exclusive jurisdiction to decide the validity and enforceability of gaming terminal use agreements, including the J&amp;J Assigned Agreements.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Between May 2017 and September 2017, both the Company and J&amp;J filed petitions with the IGB seeking adjudication of the rights of the parties and the validity of the J&amp;J Assigned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was dismissed on May 5, 2025 and not appealed.</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Both suits were dismissed with prejudice as a result of the previously mentioned settlement between the Company and Gold Rush on the convertible notes in May 2023. For more information, see Note 4.</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granted summary judgment in favor of the Company. The only remaining claim is Midwest’s claim against the IGB for the administrative review of the IGB’s decision. In July 2026, the trial court remanded the matter to the IGB to further evaluate the allegation made by Midwest and the effect, if any, on the validity of Accel’s use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in the Circuit Court of Cook County. Rather than litigate the alleged violation, the Company pleaded no contest and has made the appropriate payments to the municipality during 2023, 2024 and 2025. In November 2025, a Circuit Court ruling, favorable to the Company, indefinitely stayed future administrative hearings and fines pending an appeal by the Illinois municipality. The Company does not anticipate making future voluntary payments during the appeal process.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On March 21, 2025, the Circuit Court of Cook County ruled favorably for the Company. The municipality has appealed this ruling.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Earnings Per Share</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The components of basic and diluted earnings per share </w:t>
      </w:r>
      <w:r>
        <w:rPr>
          <w:rFonts w:ascii="Times New Roman;serif" w:hAnsi="Times New Roman;serif"/>
          <w:b w:val="false"/>
          <w:color w:val="000000"/>
          <w:sz w:val="20"/>
          <w:shd w:fill="FFFFFF" w:val="clear"/>
        </w:rPr>
        <w:t>(“EPS”)</w:t>
      </w:r>
      <w:r>
        <w:rPr>
          <w:color w:val="000000"/>
        </w:rPr>
        <w:t xml:space="preserve"> </w:t>
      </w:r>
      <w:r>
        <w:rPr>
          <w:rFonts w:ascii="Times New Roman;serif" w:hAnsi="Times New Roman;serif"/>
          <w:b w:val="false"/>
          <w:color w:val="000000"/>
          <w:sz w:val="20"/>
        </w:rPr>
        <w:t>were as follows for the three and six months ended June 30, 2026 and 2025 (in thousands, except per share amounts):</w:t>
      </w:r>
    </w:p>
    <w:tbl>
      <w:tblPr>
        <w:tblW w:w="10205" w:type="dxa"/>
        <w:jc w:val="center"/>
        <w:tblInd w:w="0" w:type="dxa"/>
        <w:tblLayout w:type="fixed"/>
        <w:tblCellMar>
          <w:top w:w="28" w:type="dxa"/>
          <w:left w:w="28" w:type="dxa"/>
          <w:bottom w:w="28" w:type="dxa"/>
          <w:right w:w="28" w:type="dxa"/>
        </w:tblCellMar>
      </w:tblPr>
      <w:tblGrid>
        <w:gridCol w:w="1853"/>
        <w:gridCol w:w="1630"/>
        <w:gridCol w:w="163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85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Accel Entertainment,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outstanding shares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 for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outstanding shares of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Anti-dilutive stock-based awards, contingent earnout shares and warrants excluded from the calculations of diluted EPS were </w:t>
      </w:r>
      <w:r>
        <w:rPr>
          <w:rFonts w:ascii="Times New Roman;serif" w:hAnsi="Times New Roman;serif"/>
          <w:b w:val="false"/>
          <w:color w:val="000000"/>
          <w:sz w:val="20"/>
          <w:shd w:fill="FFFFFF" w:val="clear"/>
        </w:rPr>
        <w:t>4.0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4.3 million</w:t>
      </w:r>
      <w:r>
        <w:rPr>
          <w:color w:val="000000"/>
        </w:rPr>
        <w:t xml:space="preserve"> </w:t>
      </w:r>
      <w:r>
        <w:rPr>
          <w:rFonts w:ascii="Times New Roman;serif" w:hAnsi="Times New Roman;serif"/>
          <w:b w:val="false"/>
          <w:color w:val="000000"/>
          <w:sz w:val="20"/>
        </w:rPr>
        <w:t xml:space="preserve">shares as of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19. Related-Party Transactions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appointed Stan Guidroz as the Company’s Chief Operating Officer, effective immediately.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Guidroz owns Toucan Management, LLC (“Toucan Management”), which was a party to the Asset Purchase Agreement, dated April 11, 2023, as amended (the “Purchase Agreement”), in which the Company acquired 85% of the outstanding membership interests of Toucan Gaming, LLC (“Toucan Gaming”) on November 1, 2024 (the “Toucan Acquisition”). Toucan Management owns 15% of the outstanding membership interests of Toucan Gaming. Consequently, Mr. Guidroz has a continuing economic interest in Toucan Gaming, which is the Company’s Louisiana subsidiary.</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is also required to make annual installment payments to Toucan Management of $500,000 on the anniversary of the closing of the Toucan Acquisition. Eight annual installment payments remain outstanding as of June 30, 2026 as one of the anniversary payments was paid at closing. The installment payments are not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Accel Entertainment, Inc. and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Mr. Guidroz’s employment with the Company and continue to be governed by the Purchase Agreement. The Purchase Agreement also provides that remaining unpaid installment payments may accelerate upon specified events, including certain sale transactions involving the Company or Toucan Gaming.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Toucan Gaming Amended and Restated Limited Liability Company Agreement, dated as of November 1, 2024 (the “Toucan LLCA”), provides for certain put and call rights with respect to the 15% membership interest held by Toucan Management. The Company has a call right to purchase all such membership interests after the tenth anniversary of November 1, 2024, or earlier upon specified events, including termination of Mr. Guidroz’s employment for cause or a sale of the Company. Toucan Management and related parties have a put right to require the Company to repurchase all, but not less than all, of their membership interests after the seventh anniversary of November 1, 2024, following termination of Mr. Guidroz’s employment without cause or following certain other events described in the Toucan LLCA. The applicable purchase price for the put or call is based on the amount the Toucan Management members would receive if Total Equity Value (as defined in the Toucan LLCA) were distributed to such members.</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within the meaning of the Private Securities Litigation Reform Act of 1995. Forward-looking statements may be identified by the use of words such as “believe,” “expect,” “plans,” “intend,” “may,” “strategy,” “prospects,” “estimate,” “will,” “should,” “could,” “project,” “target,” “anticipate,” and other similar words and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2025. Any forward-looking statements made by us speak only as of the date on which they are made. We are under no obligation to, and expressly disclaims any obligation to, update or alter its forward-looking statements, whether as a result of new information, subsequent events or otherwise, except as required by law. This discussion and analysis should also be read in conjunction with “Management’s Discussion and Analysis of Financial Condition and Results of Operations”, set forth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Company Overview</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an additional revenue stream. 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design and manufacture gaming terminals and related equipment. We are continuously evaluating additional opportunities that are complementary to our core business, such as our acquisition of Fairmount Park - Casino &amp; Racing (“Fairmount”) in Collinsville, Illinois.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operate in the following states:    </w:t>
      </w:r>
    </w:p>
    <w:tbl>
      <w:tblPr>
        <w:tblW w:w="10205" w:type="dxa"/>
        <w:jc w:val="left"/>
        <w:tblInd w:w="0" w:type="dxa"/>
        <w:tblLayout w:type="fixed"/>
        <w:tblCellMar>
          <w:top w:w="28" w:type="dxa"/>
          <w:left w:w="28" w:type="dxa"/>
          <w:bottom w:w="28" w:type="dxa"/>
          <w:right w:w="28" w:type="dxa"/>
        </w:tblCellMar>
      </w:tblPr>
      <w:tblGrid>
        <w:gridCol w:w="255"/>
        <w:gridCol w:w="224"/>
        <w:gridCol w:w="227"/>
        <w:gridCol w:w="109"/>
        <w:gridCol w:w="109"/>
        <w:gridCol w:w="109"/>
        <w:gridCol w:w="856"/>
        <w:gridCol w:w="856"/>
        <w:gridCol w:w="858"/>
        <w:gridCol w:w="109"/>
        <w:gridCol w:w="109"/>
        <w:gridCol w:w="109"/>
        <w:gridCol w:w="681"/>
        <w:gridCol w:w="681"/>
        <w:gridCol w:w="687"/>
        <w:gridCol w:w="109"/>
        <w:gridCol w:w="109"/>
        <w:gridCol w:w="109"/>
        <w:gridCol w:w="1139"/>
        <w:gridCol w:w="1139"/>
        <w:gridCol w:w="162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erif" w:hAnsi="Times New Roman;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Large truck stops (Up to 10 gaming terminals)</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Fairmount Park - Casino + Racing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thoroughbred horse race track with 57 race days anticipated in 2026</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Operates a casino with ~260 gaming positions and 7 table games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Revenue share agreement with FanDuel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Offers attractive food and beverage offerings throughout the year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438"/>
        <w:gridCol w:w="385"/>
        <w:gridCol w:w="393"/>
        <w:gridCol w:w="109"/>
        <w:gridCol w:w="109"/>
        <w:gridCol w:w="109"/>
        <w:gridCol w:w="562"/>
        <w:gridCol w:w="562"/>
        <w:gridCol w:w="564"/>
        <w:gridCol w:w="109"/>
        <w:gridCol w:w="109"/>
        <w:gridCol w:w="109"/>
        <w:gridCol w:w="844"/>
        <w:gridCol w:w="571"/>
        <w:gridCol w:w="573"/>
        <w:gridCol w:w="109"/>
        <w:gridCol w:w="109"/>
        <w:gridCol w:w="109"/>
        <w:gridCol w:w="1326"/>
        <w:gridCol w:w="1243"/>
        <w:gridCol w:w="1763"/>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Operations Started or Year of Acquisition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Branding</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Operations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Business locations licensed to sell alcoholic beverages for on-premises consumption only, including locations restricted to offering a maximum of 20 gaming terminals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Designs and manufactures gaming terminals and software that are sold to Montana, South Dakota, and West Virginia</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Develops proprietary gaming terminals and related software as well as other ancillary equipment for our distributed gaming routes in Montana, Nevada, Nebraska and Georgia</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Yellowstone Casino and other local retail/parlor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gaming locations licensed to sell alcoholic beverages and offering a maximum of 20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Certain locations have attractive food offerings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Currently, we have five parlor locations </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Games are generally limited to 15 or fewer gaming terminals with no other forms of gaming activity permitted</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erif" w:hAnsi="Times New Roman;serif"/>
                <w:b w:val="false"/>
                <w:color w:val="000000"/>
                <w:sz w:val="20"/>
              </w:rPr>
              <w:t>Operates skill-based coin-operated amusement machines with winnings paid by gift cards through redemption terminals or Bulldog Wallet for noncash merchandise, prizes, toys, gift cards, or novelties</w:t>
            </w:r>
          </w:p>
          <w:p>
            <w:pPr>
              <w:pStyle w:val="TableContents"/>
              <w:bidi w:val="0"/>
              <w:spacing w:before="0" w:after="0"/>
              <w:jc w:val="left"/>
              <w:rPr/>
            </w:pPr>
            <w:r>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Toucan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Truck stop gaming parlors (up to 60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Establishments with a liquor license (up to 4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Veterans’ organizations</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Licensed to operate at qualified truck stops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 xml:space="preserve">Actively exploring opportunities </w:t>
            </w:r>
          </w:p>
        </w:tc>
      </w:tr>
    </w:tbl>
    <w:p>
      <w:pPr>
        <w:pStyle w:val="TextBody"/>
        <w:bidi w:val="0"/>
        <w:spacing w:lineRule="auto" w:line="345" w:before="160" w:after="283"/>
        <w:ind w:left="0" w:right="0" w:firstLine="90"/>
        <w:jc w:val="both"/>
        <w:rPr>
          <w:color w:val="000000"/>
        </w:rPr>
      </w:pPr>
      <w:r>
        <w:rPr>
          <w:color w:val="000000"/>
        </w:rPr>
        <w:t>    </w:t>
      </w:r>
    </w:p>
    <w:p>
      <w:pPr>
        <w:pStyle w:val="TextBody"/>
        <w:bidi w:val="0"/>
        <w:spacing w:lineRule="auto" w:line="345" w:before="160" w:after="283"/>
        <w:ind w:left="0" w:right="0" w:firstLine="360"/>
        <w:jc w:val="both"/>
        <w:rPr/>
      </w:pPr>
      <w:r>
        <w:rPr>
          <w:rFonts w:ascii="Times New Roman;serif" w:hAnsi="Times New Roman;serif"/>
          <w:b w:val="false"/>
          <w:color w:val="000000"/>
          <w:sz w:val="20"/>
        </w:rPr>
        <w:t>W</w:t>
      </w:r>
      <w:r>
        <w:rPr>
          <w:rFonts w:ascii="Times New Roman;serif" w:hAnsi="Times New Roman;serif"/>
          <w:b w:val="false"/>
          <w:color w:val="000000"/>
          <w:sz w:val="20"/>
          <w:shd w:fill="FFFFFF" w:val="clear"/>
        </w:rPr>
        <w:t xml:space="preserve">e are subject to the various gaming regulations in the states in which we operate, as well as various other federal, state and local laws and regulations.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Distributed Gaming Competitive Landscape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tbl>
      <w:tblPr>
        <w:tblW w:w="10205" w:type="dxa"/>
        <w:jc w:val="left"/>
        <w:tblInd w:w="0" w:type="dxa"/>
        <w:tblLayout w:type="fixed"/>
        <w:tblCellMar>
          <w:top w:w="28" w:type="dxa"/>
          <w:left w:w="28" w:type="dxa"/>
          <w:bottom w:w="28" w:type="dxa"/>
          <w:right w:w="28" w:type="dxa"/>
        </w:tblCellMar>
      </w:tblPr>
      <w:tblGrid>
        <w:gridCol w:w="2038"/>
        <w:gridCol w:w="1791"/>
        <w:gridCol w:w="1771"/>
        <w:gridCol w:w="109"/>
        <w:gridCol w:w="109"/>
        <w:gridCol w:w="109"/>
        <w:gridCol w:w="1294"/>
        <w:gridCol w:w="1234"/>
        <w:gridCol w:w="1750"/>
      </w:tblGrid>
      <w:tr>
        <w:trPr/>
        <w:tc>
          <w:tcPr>
            <w:tcW w:w="203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Statutory Splits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Negotiated Splits</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terminal income splits are statutorily predetermined; minimum and maximum wagers are mandated by the applicable governing bodies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terminal income splits are negotiated </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not considered a factor as revenue splits with our locations are mandated by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Pricing is a driver in contract negotiations as all revenue splits are negotiated</w:t>
            </w:r>
          </w:p>
        </w:tc>
      </w:tr>
      <w:tr>
        <w:trPr/>
        <w:tc>
          <w:tcPr>
            <w:tcW w:w="5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Location and customer experience are key differentiating factors for selecting us over our competitors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Our focus on player appeal, customer service and reputation are also key factors impacting competition</w:t>
            </w:r>
          </w:p>
        </w:tc>
      </w:tr>
      <w:tr>
        <w:trPr/>
        <w:tc>
          <w:tcPr>
            <w:tcW w:w="5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statutory splits are: Illinois, Georgia, 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markets with negotiated splits are: Montana, Nevada, Nebraska, Iowa, Louisiana</w:t>
            </w:r>
          </w:p>
        </w:tc>
      </w:tr>
    </w:tbl>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enter into space lease agreements, primarily in the Nevada market, where the location earns a fixed monthly rental fee in exchange for the right for us to operate at the location. For these agreements, we are the sole holder of the applicable gaming license that allows us to operate in that location. Under these agreements, we recognize all of the gaming revenue and record the fixed monthly rental fees as cost of revenue.</w:t>
      </w:r>
    </w:p>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Ongoing interest rate uncertainty, persistent inflation, economic impacts from the conflict in Iran,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Economic conditions that adversely impact players’ ability and desire to spend disposable income at our location partners may adversely affect our results of operations and cash flows. For the first half of 2026, we have not observed any material impacts to our business or outlook from the macroeconomic factors noted above.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“Act”) was signed into law on July 4, 2025. The Act contains significant tax law changes impacting business taxpayers with various effective dates, with certain provisions effective in 2025 and others to be implemented through 2027. Among the tax law changes that impact us are those that relate to the timing of certain tax deductions including depreciation expense, interest expense and research and development expenditures. Because these tax law changes impact the timing of these deductions, they will not reduce our overall effective tax rate. However, these tax law changes have resulted in a favorable reduction to our current tax expense for the three and six months ended June 30, 2026, which was offset by an increase to deferred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Performance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revenues</w:t>
      </w:r>
    </w:p>
    <w:p>
      <w:pPr>
        <w:pStyle w:val="TextBody"/>
        <w:bidi w:val="0"/>
        <w:spacing w:lineRule="auto" w:line="345" w:before="160" w:after="283"/>
        <w:jc w:val="both"/>
        <w:rPr/>
      </w:pPr>
      <w:r>
        <w:rPr>
          <w:rFonts w:ascii="Times New Roman;serif" w:hAnsi="Times New Roman;serif"/>
          <w:b w:val="false"/>
          <w:i/>
          <w:color w:val="000000"/>
          <w:sz w:val="20"/>
          <w:shd w:fill="FFFFFF" w:val="clear"/>
        </w:rPr>
        <w:t xml:space="preserve">Net gaming. </w:t>
      </w:r>
      <w:r>
        <w:rPr>
          <w:rFonts w:ascii="Times New Roman;serif" w:hAnsi="Times New Roman;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erif" w:hAnsi="Times New Roman;serif"/>
          <w:b w:val="false"/>
          <w:color w:val="000000"/>
          <w:sz w:val="20"/>
        </w:rPr>
        <w:t>location</w:t>
      </w:r>
      <w:r>
        <w:rPr>
          <w:color w:val="000000"/>
          <w:shd w:fill="FFFFFF" w:val="clear"/>
        </w:rPr>
        <w:t xml:space="preserve"> </w:t>
      </w:r>
      <w:r>
        <w:rPr>
          <w:rFonts w:ascii="Times New Roman;serif" w:hAnsi="Times New Roman;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erif" w:hAnsi="Times New Roman;serif"/>
          <w:b w:val="false"/>
          <w:i/>
          <w:color w:val="000000"/>
          <w:sz w:val="20"/>
        </w:rPr>
        <w:t xml:space="preserve">Amusement. </w:t>
      </w:r>
      <w:r>
        <w:rPr>
          <w:rFonts w:ascii="Times New Roman;serif" w:hAnsi="Times New Roman;serif"/>
          <w:b w:val="false"/>
          <w:color w:val="000000"/>
          <w:sz w:val="20"/>
        </w:rPr>
        <w:t>Amusement revenue represents amounts collected from amusement devices operated at various location partners and is recognized at the point the amusement device is used.</w:t>
      </w:r>
    </w:p>
    <w:p>
      <w:pPr>
        <w:pStyle w:val="TextBody"/>
        <w:bidi w:val="0"/>
        <w:spacing w:lineRule="auto" w:line="345" w:before="160" w:after="283"/>
        <w:jc w:val="both"/>
        <w:rPr/>
      </w:pPr>
      <w:r>
        <w:rPr>
          <w:rFonts w:ascii="Times New Roman;serif" w:hAnsi="Times New Roman;serif"/>
          <w:b w:val="false"/>
          <w:i/>
          <w:color w:val="000000"/>
          <w:sz w:val="20"/>
        </w:rPr>
        <w:t xml:space="preserve">Manufacturing. </w:t>
      </w:r>
      <w:r>
        <w:rPr>
          <w:rFonts w:ascii="Times New Roman;serif" w:hAnsi="Times New Roman;serif"/>
          <w:b w:val="false"/>
          <w:color w:val="000000"/>
          <w:sz w:val="20"/>
        </w:rPr>
        <w:t>Manufacturing revenue represents sales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ATM fees and other. </w:t>
      </w:r>
      <w:r>
        <w:rPr>
          <w:rFonts w:ascii="Times New Roman;serif" w:hAnsi="Times New Roman;serif"/>
          <w:b w:val="false"/>
          <w:color w:val="000000"/>
          <w:sz w:val="20"/>
        </w:rPr>
        <w:t>ATM fees and other consist of fees charged for the withdrawal of funds from our redemption devices and stand-alone ATMs and is recognized at the time of the ATM transaction. Revenues from our racing operations are also included.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345" w:before="160" w:after="283"/>
        <w:jc w:val="both"/>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Cost of revenue consists of i) taxes on net gaming revenue that is payable to the appropriate jurisdiction, ii) licenses, permits and other fees required for the operation of our business, iii) location revenue share, which is governed by local governing bodies and location contracts, iv) ATM and amusement commissions payable to locations, v) ATM and amusement fees and vi) expenses from our casino and racing operations.</w:t>
      </w:r>
    </w:p>
    <w:p>
      <w:pPr>
        <w:pStyle w:val="TextBody"/>
        <w:bidi w:val="0"/>
        <w:spacing w:lineRule="auto" w:line="345" w:before="160" w:after="283"/>
        <w:jc w:val="both"/>
        <w:rPr/>
      </w:pPr>
      <w:r>
        <w:rPr>
          <w:rFonts w:ascii="Times New Roman;serif" w:hAnsi="Times New Roman;serif"/>
          <w:b w:val="false"/>
          <w:i/>
          <w:color w:val="000000"/>
          <w:sz w:val="20"/>
        </w:rPr>
        <w:t xml:space="preserve">Cost of manufacturing goods sold. </w:t>
      </w:r>
      <w:r>
        <w:rPr>
          <w:rFonts w:ascii="Times New Roman;serif" w:hAnsi="Times New Roman;serif"/>
          <w:b w:val="false"/>
          <w:color w:val="000000"/>
          <w:sz w:val="20"/>
        </w:rPr>
        <w:t>Cost of manufacturing goods sold consists of costs associated with the sale of gaming terminals and software as well as other ancillary equipment.</w:t>
      </w:r>
    </w:p>
    <w:p>
      <w:pPr>
        <w:pStyle w:val="TextBody"/>
        <w:bidi w:val="0"/>
        <w:spacing w:lineRule="auto" w:line="345" w:before="160" w:after="283"/>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consist of operating expense and general and administrative expense. Operating expense includes compensation-related costs for service technicians, route technicians, route security, preventative maintenance personnel and marketing.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and other corporate personnel. In addition, general and administrative expense also includes information technology, insurance, rent and professional fees.</w:t>
      </w:r>
    </w:p>
    <w:p>
      <w:pPr>
        <w:pStyle w:val="TextBody"/>
        <w:bidi w:val="0"/>
        <w:spacing w:lineRule="auto" w:line="345" w:before="160" w:after="283"/>
        <w:jc w:val="both"/>
        <w:rPr/>
      </w:pPr>
      <w:r>
        <w:rPr>
          <w:rFonts w:ascii="Times New Roman;serif" w:hAnsi="Times New Roman;serif"/>
          <w:b w:val="false"/>
          <w:i/>
          <w:color w:val="000000"/>
          <w:sz w:val="20"/>
        </w:rPr>
        <w:t xml:space="preserve">Depreciation and amortization of property and equipment. </w:t>
      </w:r>
      <w:r>
        <w:rPr>
          <w:rFonts w:ascii="Times New Roman;serif" w:hAnsi="Times New Roman;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erif" w:hAnsi="Times New Roman;serif"/>
          <w:b w:val="false"/>
          <w:i/>
          <w:color w:val="000000"/>
          <w:sz w:val="20"/>
        </w:rPr>
        <w:t xml:space="preserve">Amortization of intangible assets and route and customer acquisition costs. </w:t>
      </w:r>
      <w:r>
        <w:rPr>
          <w:rFonts w:ascii="Times New Roman;serif" w:hAnsi="Times New Roman;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our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of interest on our credit facility, amortization of financing fees, accretion of interest on route and customer acquisition costs payable, and interest (income) expense on the interest rate caplets. Interest on the current credit facility is payable monthly on unpaid balances at the variable per annum Secured Overnight Financing Rate (“SOFR”) rate plus an applicable margin, as defined under the terms of the credit facility, ranging from 1.75% to 2.50% depending on the first lien net leverage ratio.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The following table summarizes our results of operations on a consolidated basis for the three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2026 and 2025:</w:t>
      </w:r>
    </w:p>
    <w:tbl>
      <w:tblPr>
        <w:tblW w:w="10205" w:type="dxa"/>
        <w:jc w:val="center"/>
        <w:tblInd w:w="0" w:type="dxa"/>
        <w:tblLayout w:type="fixed"/>
        <w:tblCellMar>
          <w:top w:w="28" w:type="dxa"/>
          <w:left w:w="28" w:type="dxa"/>
          <w:bottom w:w="28" w:type="dxa"/>
          <w:right w:w="28" w:type="dxa"/>
        </w:tblCellMar>
      </w:tblPr>
      <w:tblGrid>
        <w:gridCol w:w="1852"/>
        <w:gridCol w:w="1448"/>
        <w:gridCol w:w="145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76"/>
        <w:gridCol w:w="278"/>
        <w:gridCol w:w="579"/>
      </w:tblGrid>
      <w:tr>
        <w:trPr/>
        <w:tc>
          <w:tcPr>
            <w:tcW w:w="185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three months ended June 30, 2026 were $368.1 million, an increase of $32.2 million, or 9.6%, compared to the prior-year period. This increase was primarily driven by higher net gaming revenue of $33.5 million, which reflected an increase in gaming locations, terminals and revenue from our casino operations, partially offset by a decrease in manufacturing revenue of $1.2 million, or 67.8%, due to lower equipment and software sales. Net revenues by state are presented below:</w:t>
      </w:r>
    </w:p>
    <w:tbl>
      <w:tblPr>
        <w:tblW w:w="7479" w:type="dxa"/>
        <w:jc w:val="center"/>
        <w:tblInd w:w="0" w:type="dxa"/>
        <w:tblLayout w:type="fixed"/>
        <w:tblCellMar>
          <w:top w:w="28" w:type="dxa"/>
          <w:left w:w="28" w:type="dxa"/>
          <w:bottom w:w="28" w:type="dxa"/>
          <w:right w:w="28" w:type="dxa"/>
        </w:tblCellMar>
      </w:tblPr>
      <w:tblGrid>
        <w:gridCol w:w="706"/>
        <w:gridCol w:w="619"/>
        <w:gridCol w:w="624"/>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95"/>
        <w:gridCol w:w="235"/>
        <w:gridCol w:w="685"/>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June 30, 2026 was $252.6 million, an increase of $22.9 million, or 10.0%, compared to the prior-year period, driven by higher net gaming revenue and revenue from our casino operations,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three months ended June 30, 2026 was $0.3 million, a decrease of $0.6 million, or 69.8%, compared to the prior-year period due to the previously mentioned decrease in equipment and software sales.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June 30, 2026 were $59.6 million, an increase of $4.7 million, or 8.5%, compared to the prior-year period. The increase was primarily attributable to higher compensation-related costs, as we continue to grow our operations, as well as higher professional fees and advertising costs.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three months ended June 30, 2026 was $13.8 million, an increase of $0.7 million, or 5.6%,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erif" w:hAnsi="Times New Roman;serif"/>
          <w:b w:val="false"/>
          <w:color w:val="000000"/>
          <w:sz w:val="20"/>
        </w:rPr>
        <w:t>Amortization of intangible assets and route and customer acquisition costs for the three months ended June 30, 2026 were $6.8 million, an increase of $0.5 million, or 7.9%, compared to the prior-year period was primarily due to an increase in</w:t>
      </w:r>
      <w:r>
        <w:rPr>
          <w:color w:val="000000"/>
          <w:shd w:fill="FFFFFF" w:val="clear"/>
        </w:rPr>
        <w:t xml:space="preserve"> </w:t>
      </w:r>
      <w:r>
        <w:rPr>
          <w:rFonts w:ascii="Times New Roman;serif" w:hAnsi="Times New Roman;serif"/>
          <w:b w:val="false"/>
          <w:color w:val="000000"/>
          <w:sz w:val="20"/>
          <w:shd w:fill="FFFFFF" w:val="clear"/>
        </w:rPr>
        <w:t>route and customer acquisition costs</w:t>
      </w:r>
      <w:r>
        <w:rPr>
          <w:rFonts w:ascii="Times New Roman;serif" w:hAnsi="Times New Roman;serif"/>
          <w:b w:val="false"/>
          <w:color w:val="000000"/>
          <w:sz w:val="20"/>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three months ended June 30, 2026 were $3.0 million, a decrease of $1.1 million, or 27.3%, compared to the prior-year period. The decrease was primarily attributable to lower fair value adjustments associated with the revaluation of contingent consideration liabilities and lower non-recurring expenses, partially offset by losses on sales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three months ended June 30, 2026 was $8.6 million, which was a decrease of $0.1 million, or 1.5%, compared to the prior-year period. We experienced lower interest rates, partially offset by the absence of the prior year benefit realized on our interest rate caplets and an increase in average outstanding debt. For the three months ended June 30, 2026, the weighted average interest rate, excluding the impact of our interest rate caplets, was approximately 5.5% compared to 6.5% in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three months ended June 30, 2026 was a loss of $5.0 million, compared to a loss of $5.7 million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was $5.9 million, an increase of $0.8 million, or 15.4%, compared to the prior-year period. The effective tax rate for the three months ended June 30, 2026 was 31.9% compared to 41.2% in the prior-year period. Our effective income tax rate can vary from period to period depending on, among other factors, the amount of permanent tax adjustments and discrete items. The change in the fair value of the contingent earnout shares is considered a permanent, non-taxable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240" w:after="283"/>
        <w:ind w:left="0" w:right="0" w:firstLine="360"/>
        <w:jc w:val="left"/>
        <w:rPr/>
      </w:pPr>
      <w:r>
        <w:rPr>
          <w:rFonts w:ascii="Times New Roman;serif" w:hAnsi="Times New Roman;serif"/>
          <w:b w:val="false"/>
          <w:color w:val="000000"/>
          <w:sz w:val="20"/>
          <w:shd w:fill="FFFFFF" w:val="clear"/>
        </w:rPr>
        <w:t xml:space="preserve">The following table summarizes our results of operations on a consolidated basis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and 2025:</w:t>
      </w:r>
    </w:p>
    <w:tbl>
      <w:tblPr>
        <w:tblW w:w="10205" w:type="dxa"/>
        <w:jc w:val="center"/>
        <w:tblInd w:w="0" w:type="dxa"/>
        <w:tblLayout w:type="fixed"/>
        <w:tblCellMar>
          <w:top w:w="28" w:type="dxa"/>
          <w:left w:w="28" w:type="dxa"/>
          <w:bottom w:w="28" w:type="dxa"/>
          <w:right w:w="28" w:type="dxa"/>
        </w:tblCellMar>
      </w:tblPr>
      <w:tblGrid>
        <w:gridCol w:w="1852"/>
        <w:gridCol w:w="1448"/>
        <w:gridCol w:w="145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76"/>
        <w:gridCol w:w="278"/>
        <w:gridCol w:w="579"/>
      </w:tblGrid>
      <w:tr>
        <w:trPr/>
        <w:tc>
          <w:tcPr>
            <w:tcW w:w="185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6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net revenues for the six months ended June 30, 2026 were $719.7 million, an increase of $59.9 million, or 9.1%, compared to the prior-year period. This increase was primarily driven by higher net gaming revenue of $62.9 million, which reflected an increase in gaming locations, terminals and revenue from our casino operations, partially offset by a decrease in manufacturing revenue of $3.8 million, or 67.8%, due to lower equipment and software sales. Net revenues by state are presented below:</w:t>
      </w:r>
    </w:p>
    <w:tbl>
      <w:tblPr>
        <w:tblW w:w="7480"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95"/>
        <w:gridCol w:w="235"/>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was $494.2 million, an increase of $43.0 million, or 9.5%, compared to the prior-year period, driven by higher net gaming revenue as described above.</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manufacturing goods sold</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manufacturing goods sold for the six months ended June 30, 2026 was $0.9 million, a decrease of $2.1 million, or 69.5%, compared to the prior-year period due to the previously mentioned decrease in equipment and software sales.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2026 were $117.6 million, an increase of $9.7 million, or 9.0%, compared to the prior-year period. The increase was attributable to higher compensation-related costs, as we continue to grow our operations, as well as higher professional fees and advertising costs. </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for the six months ended June 30, 2026 was $27.7 million, an increase of $2.3 million, or 9.0%, compared to the prior-year period due to an increased number of gaming terminals.</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pPr>
      <w:r>
        <w:rPr>
          <w:rFonts w:ascii="Times New Roman;serif" w:hAnsi="Times New Roman;serif"/>
          <w:b w:val="false"/>
          <w:color w:val="000000"/>
          <w:sz w:val="20"/>
        </w:rPr>
        <w:t>Amortization of intangible assets and route and customer acquisition costs for the six months ended June 30, 2026 were $13.6 million, an increase of $1.0 million, or 7.9%, compared to the prior-year period was primarily due to an increase in</w:t>
      </w:r>
      <w:r>
        <w:rPr>
          <w:color w:val="000000"/>
          <w:shd w:fill="FFFFFF" w:val="clear"/>
        </w:rPr>
        <w:t xml:space="preserve"> </w:t>
      </w:r>
      <w:r>
        <w:rPr>
          <w:rFonts w:ascii="Times New Roman;serif" w:hAnsi="Times New Roman;serif"/>
          <w:b w:val="false"/>
          <w:color w:val="000000"/>
          <w:sz w:val="20"/>
          <w:shd w:fill="FFFFFF" w:val="clear"/>
        </w:rPr>
        <w:t>route and customer acquisition costs</w:t>
      </w:r>
      <w:r>
        <w:rPr>
          <w:rFonts w:ascii="Times New Roman;serif" w:hAnsi="Times New Roman;serif"/>
          <w:b w:val="false"/>
          <w:color w:val="000000"/>
          <w:sz w:val="20"/>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net</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net for the six months ended June 30, 2026 were $6.5 million, a decrease of $0.4 million, or 5.9%, compared to the prior-year period. The decrease was primarily attributable to lower non-recurring expenses, lower fair value adjustments associated with the revaluation of contingent consideration liabilities and lower lobbying and legal expenses related to new markets, partially offset by losses on sales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before="160" w:after="283"/>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Interest expense, net for the six months ended June 30, 2026 was $17.1 million, a decrease of $0.3 million, or 1.8%, compared to the prior-year period. We experienced lower interest rates, partially offset by a lower benefit realized on our interest rate caplets and an increase in average outstanding debt. For the six months ended June 30, 2026, the weighted average interest rate, excluding the impact of our interest rate caplets, was approximately 5.5% compared to a rate of approximately 6.5% for the prior-year period</w:t>
      </w:r>
      <w:r>
        <w:rPr>
          <w:rFonts w:ascii="Times New Roman;serif" w:hAnsi="Times New Roman;serif"/>
          <w:b w:val="false"/>
          <w:color w:val="000000"/>
          <w:sz w:val="20"/>
          <w:shd w:fill="FFFFFF" w:val="clear"/>
        </w:rPr>
        <w:t>.</w:t>
      </w:r>
    </w:p>
    <w:p>
      <w:pPr>
        <w:pStyle w:val="TextBody"/>
        <w:bidi w:val="0"/>
        <w:spacing w:lineRule="auto" w:line="345"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The change in the fair value of contingent earnout shares for the six months ended June 30, 2026 was a loss of $3.5 million, compared to a loss of $3.4 million in the prior-</w:t>
      </w:r>
      <w:r>
        <w:rPr>
          <w:rFonts w:ascii="Times New Roman;serif" w:hAnsi="Times New Roman;serif"/>
          <w:b w:val="false"/>
          <w:color w:val="000000"/>
          <w:sz w:val="20"/>
          <w:shd w:fill="FFFFFF" w:val="clear"/>
        </w:rPr>
        <w:t xml:space="preserve">year period. </w:t>
      </w:r>
      <w:r>
        <w:rPr>
          <w:rFonts w:ascii="Times New Roman;serif" w:hAnsi="Times New Roman;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$11.2 million, an increase of $1.2 million, or 11.6%, compared to the prior-year period. The effective tax rate for the six months ended June 30, 2026 was 29.3% compared to 31.6%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Key Business Metrics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locations;</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Number of gaming terminals; and</w:t>
      </w:r>
    </w:p>
    <w:p>
      <w:pPr>
        <w:pStyle w:val="TextBody"/>
        <w:bidi w:val="0"/>
        <w:spacing w:lineRule="auto" w:line="345" w:before="160" w:after="283"/>
        <w:ind w:left="0" w:right="0" w:firstLine="360"/>
        <w:jc w:val="both"/>
        <w:rPr/>
      </w:pPr>
      <w:r>
        <w:rPr>
          <w:color w:val="000000"/>
        </w:rPr>
        <w:t>•</w:t>
      </w:r>
      <w:r>
        <w:rPr>
          <w:rFonts w:ascii="Times New Roman;serif" w:hAnsi="Times New Roman;serif"/>
          <w:b w:val="false"/>
          <w:color w:val="000000"/>
          <w:sz w:val="20"/>
        </w:rPr>
        <w:t>Location hold-per-day</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primary locations:</w:t>
      </w:r>
    </w:p>
    <w:tbl>
      <w:tblPr>
        <w:tblW w:w="5747" w:type="dxa"/>
        <w:jc w:val="center"/>
        <w:tblInd w:w="0" w:type="dxa"/>
        <w:tblLayout w:type="fixed"/>
        <w:tblCellMar>
          <w:top w:w="28" w:type="dxa"/>
          <w:left w:w="28" w:type="dxa"/>
          <w:bottom w:w="28" w:type="dxa"/>
          <w:right w:w="28" w:type="dxa"/>
        </w:tblCellMar>
      </w:tblPr>
      <w:tblGrid>
        <w:gridCol w:w="336"/>
        <w:gridCol w:w="295"/>
        <w:gridCol w:w="300"/>
        <w:gridCol w:w="308"/>
        <w:gridCol w:w="308"/>
        <w:gridCol w:w="176"/>
        <w:gridCol w:w="141"/>
        <w:gridCol w:w="141"/>
        <w:gridCol w:w="141"/>
        <w:gridCol w:w="308"/>
        <w:gridCol w:w="308"/>
        <w:gridCol w:w="176"/>
        <w:gridCol w:w="109"/>
        <w:gridCol w:w="109"/>
        <w:gridCol w:w="109"/>
        <w:gridCol w:w="250"/>
        <w:gridCol w:w="250"/>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the number of gaming terminals in our primary locations:</w:t>
      </w:r>
    </w:p>
    <w:tbl>
      <w:tblPr>
        <w:tblW w:w="6073" w:type="dxa"/>
        <w:jc w:val="center"/>
        <w:tblInd w:w="0" w:type="dxa"/>
        <w:tblLayout w:type="fixed"/>
        <w:tblCellMar>
          <w:top w:w="28" w:type="dxa"/>
          <w:left w:w="28" w:type="dxa"/>
          <w:bottom w:w="28" w:type="dxa"/>
          <w:right w:w="28" w:type="dxa"/>
        </w:tblCellMar>
      </w:tblPr>
      <w:tblGrid>
        <w:gridCol w:w="336"/>
        <w:gridCol w:w="295"/>
        <w:gridCol w:w="300"/>
        <w:gridCol w:w="360"/>
        <w:gridCol w:w="361"/>
        <w:gridCol w:w="176"/>
        <w:gridCol w:w="141"/>
        <w:gridCol w:w="141"/>
        <w:gridCol w:w="141"/>
        <w:gridCol w:w="360"/>
        <w:gridCol w:w="361"/>
        <w:gridCol w:w="176"/>
        <w:gridCol w:w="109"/>
        <w:gridCol w:w="109"/>
        <w:gridCol w:w="109"/>
        <w:gridCol w:w="308"/>
        <w:gridCol w:w="308"/>
        <w:gridCol w:w="251"/>
        <w:gridCol w:w="174"/>
        <w:gridCol w:w="174"/>
        <w:gridCol w:w="174"/>
        <w:gridCol w:w="285"/>
        <w:gridCol w:w="240"/>
        <w:gridCol w:w="68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both"/>
        <w:rPr/>
      </w:pPr>
      <w:r>
        <w:rPr/>
      </w:r>
    </w:p>
    <w:p>
      <w:pPr>
        <w:pStyle w:val="TextBody"/>
        <w:bidi w:val="0"/>
        <w:spacing w:lineRule="auto" w:line="288" w:before="0" w:after="0"/>
        <w:jc w:val="left"/>
        <w:rPr/>
      </w:pPr>
      <w:r>
        <w:rPr>
          <w:rFonts w:ascii="Times New Roman;serif" w:hAnsi="Times New Roman;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Location hold-per-day is calculated by dividing net gaming revenue in the period by the average number of locations, which is then further divided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with respect to our location hold-per-day in our primary locations for the three and six months ended:</w:t>
      </w:r>
    </w:p>
    <w:tbl>
      <w:tblPr>
        <w:tblW w:w="584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330"/>
        <w:gridCol w:w="255"/>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tbl>
      <w:tblPr>
        <w:tblW w:w="5849" w:type="dxa"/>
        <w:jc w:val="center"/>
        <w:tblInd w:w="0" w:type="dxa"/>
        <w:tblLayout w:type="fixed"/>
        <w:tblCellMar>
          <w:top w:w="28" w:type="dxa"/>
          <w:left w:w="28" w:type="dxa"/>
          <w:bottom w:w="28" w:type="dxa"/>
          <w:right w:w="28" w:type="dxa"/>
        </w:tblCellMar>
      </w:tblPr>
      <w:tblGrid>
        <w:gridCol w:w="336"/>
        <w:gridCol w:w="295"/>
        <w:gridCol w:w="300"/>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330"/>
        <w:gridCol w:w="255"/>
        <w:gridCol w:w="68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EBITDA is a non-GAAP financial measure, but is a key metric management uses to monitor ongoing core operations. Adjusted EBITDA excludes the effects of certain non-cash items or represent certain nonrecurring items that are unrelated to core performance. Management believes this non-GAAP financial measure enhances the understanding of our underlying drivers of profitability and trends in our business and facilitates company-to-company and period-to-period comparisons. Management also believes that this non-GAAP financial measure is used by investors, analysts and other interested parties as a measure of financial performance and to evaluate our ability to fund capital expenditures, service debt obligations and meet working capital requirements. </w:t>
      </w:r>
    </w:p>
    <w:p>
      <w:pPr>
        <w:pStyle w:val="TextBody"/>
        <w:bidi w:val="0"/>
        <w:spacing w:lineRule="auto" w:line="345" w:before="180" w:after="283"/>
        <w:jc w:val="left"/>
        <w:rPr/>
      </w:pPr>
      <w:r>
        <w:rPr>
          <w:rFonts w:ascii="Times New Roman;serif" w:hAnsi="Times New Roman;serif"/>
          <w:b/>
          <w:color w:val="000000"/>
          <w:sz w:val="20"/>
          <w:shd w:fill="FFFFFF" w:val="clear"/>
        </w:rPr>
        <w:t>Adjusted EBITDA</w:t>
      </w:r>
      <w:r>
        <w:rPr>
          <w:color w:val="000000"/>
          <w:shd w:fill="FFFFFF" w:val="clear"/>
        </w:rPr>
        <w:t xml:space="preserve"> </w:t>
      </w:r>
      <w:r>
        <w:rPr>
          <w:rFonts w:ascii="Times New Roman;serif" w:hAnsi="Times New Roman;serif"/>
          <w:b w:val="false"/>
          <w:color w:val="000000"/>
          <w:sz w:val="20"/>
          <w:shd w:fill="FFFFFF" w:val="clear"/>
        </w:rPr>
        <w:t>is defined as net income plus: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Interest expense, net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Income tax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erif" w:hAnsi="Times New Roman;serif"/>
          <w:b w:val="false"/>
          <w:color w:val="000000"/>
          <w:sz w:val="20"/>
        </w:rPr>
        <w:t>All other adjustments include:</w:t>
      </w:r>
    </w:p>
    <w:p>
      <w:pPr>
        <w:pStyle w:val="TextBody"/>
        <w:bidi w:val="0"/>
        <w:spacing w:lineRule="auto" w:line="345" w:before="60" w:after="283"/>
        <w:jc w:val="both"/>
        <w:rPr/>
      </w:pPr>
      <w:r>
        <w:rPr>
          <w:color w:val="000000"/>
        </w:rPr>
        <w:t>◦</w:t>
      </w:r>
      <w:r>
        <w:rPr>
          <w:rFonts w:ascii="Times New Roman;serif" w:hAnsi="Times New Roman;serif"/>
          <w:b w:val="false"/>
          <w:color w:val="000000"/>
          <w:sz w:val="20"/>
        </w:rPr>
        <w:t>Other expenses, net which consists of i) non-cash expenses including the remeasurement of contingent consideration liabilities, ii) non-recurring lobbying and legal expenses related to distributed gaming expansion in current or prospective markets, iii) other non-recurring expenses, and beginning in 2026 iv) gain or loss on sale of fixed assets, which were previously presented in general and administrative expenses. Prior periods have not been recast to reflect this change.</w:t>
      </w:r>
    </w:p>
    <w:p>
      <w:pPr>
        <w:pStyle w:val="TextBody"/>
        <w:bidi w:val="0"/>
        <w:spacing w:lineRule="auto" w:line="345" w:before="60" w:after="283"/>
        <w:jc w:val="both"/>
        <w:rPr/>
      </w:pPr>
      <w:r>
        <w:rPr>
          <w:color w:val="000000"/>
        </w:rPr>
        <w:t>◦</w:t>
      </w:r>
      <w:r>
        <w:rPr>
          <w:rFonts w:ascii="Times New Roman;serif" w:hAnsi="Times New Roman;serif"/>
          <w:b w:val="false"/>
          <w:color w:val="000000"/>
          <w:sz w:val="20"/>
        </w:rPr>
        <w:t>Loss from unconsolidated affiliates</w:t>
      </w:r>
    </w:p>
    <w:p>
      <w:pPr>
        <w:pStyle w:val="TextBody"/>
        <w:bidi w:val="0"/>
        <w:spacing w:lineRule="auto" w:line="345" w:before="60" w:after="283"/>
        <w:jc w:val="both"/>
        <w:rPr/>
      </w:pPr>
      <w:r>
        <w:rPr>
          <w:color w:val="000000"/>
        </w:rPr>
        <w:t>◦</w:t>
      </w:r>
      <w:r>
        <w:rPr>
          <w:rFonts w:ascii="Times New Roman;serif" w:hAnsi="Times New Roman;serif"/>
          <w:b w:val="false"/>
          <w:color w:val="000000"/>
          <w:sz w:val="20"/>
        </w:rPr>
        <w:t>Emerging markets which reflects the results, on an Adjusted EBITDA basis, for non-core jurisdictions where our operations are developing</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Prior to June 2025, Pennsylvania was considered an emerging market.</w:t>
      </w:r>
    </w:p>
    <w:p>
      <w:pPr>
        <w:pStyle w:val="TextBody"/>
        <w:bidi w:val="0"/>
        <w:spacing w:lineRule="auto" w:line="345" w:before="60" w:after="283"/>
        <w:ind w:left="0" w:right="0" w:hanging="270"/>
        <w:jc w:val="both"/>
        <w:rPr/>
      </w:pPr>
      <w:r>
        <w:rPr>
          <w:color w:val="000000"/>
        </w:rPr>
        <w:t>•</w:t>
      </w:r>
      <w:r>
        <w:rPr>
          <w:rFonts w:ascii="Times New Roman;serif" w:hAnsi="Times New Roman;serif"/>
          <w:b w:val="false"/>
          <w:color w:val="000000"/>
          <w:sz w:val="20"/>
        </w:rPr>
        <w:t xml:space="preserve">As of June 2025, we no longer have any emerging markets.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EBITDA</w:t>
      </w:r>
    </w:p>
    <w:tbl>
      <w:tblPr>
        <w:tblW w:w="354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66"/>
        <w:gridCol w:w="1329"/>
        <w:gridCol w:w="1341"/>
        <w:gridCol w:w="211"/>
        <w:gridCol w:w="721"/>
        <w:gridCol w:w="109"/>
        <w:gridCol w:w="109"/>
        <w:gridCol w:w="109"/>
        <w:gridCol w:w="109"/>
        <w:gridCol w:w="211"/>
        <w:gridCol w:w="721"/>
        <w:gridCol w:w="109"/>
        <w:gridCol w:w="109"/>
        <w:gridCol w:w="109"/>
        <w:gridCol w:w="109"/>
        <w:gridCol w:w="110"/>
        <w:gridCol w:w="110"/>
        <w:gridCol w:w="110"/>
        <w:gridCol w:w="110"/>
        <w:gridCol w:w="215"/>
        <w:gridCol w:w="843"/>
        <w:gridCol w:w="110"/>
        <w:gridCol w:w="109"/>
        <w:gridCol w:w="109"/>
        <w:gridCol w:w="109"/>
        <w:gridCol w:w="211"/>
        <w:gridCol w:w="826"/>
        <w:gridCol w:w="161"/>
      </w:tblGrid>
      <w:tr>
        <w:trPr/>
        <w:tc>
          <w:tcPr>
            <w:tcW w:w="166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25" w:type="dxa"/>
            <w:gridSpan w:val="6"/>
            <w:tcBorders/>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route and customer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change in fair value of contingent earnout shares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other adjustments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hanging="450"/>
        <w:jc w:val="both"/>
        <w:rPr/>
      </w:pPr>
      <w:r>
        <w:rPr>
          <w:rFonts w:ascii="Times New Roman;serif" w:hAnsi="Times New Roman;serif"/>
          <w:b w:val="false"/>
          <w:color w:val="000000"/>
          <w:sz w:val="16"/>
          <w:shd w:fill="FFFFFF" w:val="clear"/>
        </w:rPr>
        <w:t xml:space="preserve">(1)Loss on sale of fixed assets was </w:t>
      </w:r>
      <w:r>
        <w:rPr>
          <w:rFonts w:ascii="Times New Roman;serif" w:hAnsi="Times New Roman;serif"/>
          <w:b w:val="false"/>
          <w:color w:val="000000"/>
          <w:sz w:val="16"/>
        </w:rPr>
        <w:t xml:space="preserve">$2.5 million and $3.2 million </w:t>
      </w:r>
      <w:r>
        <w:rPr>
          <w:rFonts w:ascii="Times New Roman;serif" w:hAnsi="Times New Roman;serif"/>
          <w:b w:val="false"/>
          <w:color w:val="000000"/>
          <w:sz w:val="16"/>
          <w:shd w:fill="FFFFFF" w:val="clear"/>
        </w:rPr>
        <w:t xml:space="preserve">for the three and six months ended June 30, 2026, respectively, and is included in Other expenses, net. Loss on sale of fixed assets was </w:t>
      </w:r>
      <w:r>
        <w:rPr>
          <w:rFonts w:ascii="Times New Roman;serif" w:hAnsi="Times New Roman;serif"/>
          <w:b w:val="false"/>
          <w:color w:val="000000"/>
          <w:sz w:val="16"/>
        </w:rPr>
        <w:t xml:space="preserve">$0.1 million and $0.3 million </w:t>
      </w:r>
      <w:r>
        <w:rPr>
          <w:rFonts w:ascii="Times New Roman;serif" w:hAnsi="Times New Roman;serif"/>
          <w:b w:val="false"/>
          <w:color w:val="000000"/>
          <w:sz w:val="16"/>
          <w:shd w:fill="FFFFFF" w:val="clear"/>
        </w:rPr>
        <w:t xml:space="preserve">for the </w:t>
      </w:r>
      <w:r>
        <w:rPr>
          <w:rFonts w:ascii="Times New Roman;serif" w:hAnsi="Times New Roman;serif"/>
          <w:b w:val="false"/>
          <w:color w:val="000000"/>
          <w:sz w:val="16"/>
        </w:rPr>
        <w:t>three and six months</w:t>
      </w:r>
      <w:r>
        <w:rPr>
          <w:color w:val="000000"/>
          <w:shd w:fill="FFFFFF" w:val="clear"/>
        </w:rPr>
        <w:t xml:space="preserve"> </w:t>
      </w:r>
      <w:r>
        <w:rPr>
          <w:rFonts w:ascii="Times New Roman;serif" w:hAnsi="Times New Roman;serif"/>
          <w:b w:val="false"/>
          <w:color w:val="000000"/>
          <w:sz w:val="16"/>
          <w:shd w:fill="FFFFFF" w:val="clear"/>
        </w:rPr>
        <w:t xml:space="preserve">ended June 30, 2025, respectively, and is presented in general and administrative expenses, which is not an adjustment for EBITDA. Also includes approximately </w:t>
      </w:r>
      <w:r>
        <w:rPr>
          <w:rFonts w:ascii="Times New Roman;serif" w:hAnsi="Times New Roman;serif"/>
          <w:b w:val="false"/>
          <w:color w:val="000000"/>
          <w:sz w:val="16"/>
        </w:rPr>
        <w:t>$0.1 million</w:t>
      </w:r>
      <w:r>
        <w:rPr>
          <w:color w:val="000000"/>
          <w:shd w:fill="FFFFFF" w:val="clear"/>
        </w:rPr>
        <w:t xml:space="preserve"> </w:t>
      </w:r>
      <w:r>
        <w:rPr>
          <w:rFonts w:ascii="Times New Roman;serif" w:hAnsi="Times New Roman;serif"/>
          <w:b w:val="false"/>
          <w:color w:val="000000"/>
          <w:sz w:val="16"/>
          <w:shd w:fill="FFFFFF" w:val="clear"/>
        </w:rPr>
        <w:t xml:space="preserve">for both the loss contributed from unconsolidated affiliates and emerging markets for the </w:t>
      </w:r>
      <w:r>
        <w:rPr>
          <w:rFonts w:ascii="Times New Roman;serif" w:hAnsi="Times New Roman;serif"/>
          <w:b w:val="false"/>
          <w:color w:val="000000"/>
          <w:sz w:val="16"/>
        </w:rPr>
        <w:t>three and six</w:t>
      </w:r>
      <w:r>
        <w:rPr>
          <w:color w:val="000000"/>
          <w:shd w:fill="FFFFFF" w:val="clear"/>
        </w:rPr>
        <w:t xml:space="preserve"> </w:t>
      </w:r>
      <w:r>
        <w:rPr>
          <w:rFonts w:ascii="Times New Roman;serif" w:hAnsi="Times New Roman;serif"/>
          <w:b w:val="false"/>
          <w:color w:val="000000"/>
          <w:sz w:val="16"/>
          <w:shd w:fill="FFFFFF" w:val="clear"/>
        </w:rPr>
        <w:t>months ended June 30, 2026, and 2025.</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Adjusted EBITDA for the three</w:t>
      </w:r>
      <w:r>
        <w:rPr>
          <w:color w:val="000000"/>
        </w:rPr>
        <w:t xml:space="preserve"> </w:t>
      </w:r>
      <w:r>
        <w:rPr>
          <w:rFonts w:ascii="Times New Roman;serif" w:hAnsi="Times New Roman;serif"/>
          <w:b w:val="false"/>
          <w:color w:val="000000"/>
          <w:sz w:val="20"/>
        </w:rPr>
        <w:t>months ended</w:t>
      </w:r>
      <w:r>
        <w:rPr>
          <w:color w:val="000000"/>
          <w:shd w:fill="FFFFFF" w:val="clear"/>
        </w:rPr>
        <w:t xml:space="preserve"> </w:t>
      </w:r>
      <w:r>
        <w:rPr>
          <w:rFonts w:ascii="Times New Roman;serif" w:hAnsi="Times New Roman;serif"/>
          <w:b w:val="false"/>
          <w:color w:val="000000"/>
          <w:sz w:val="20"/>
          <w:shd w:fill="FFFFFF" w:val="clear"/>
        </w:rPr>
        <w:t xml:space="preserve">June 30, 2026, was </w:t>
      </w:r>
      <w:r>
        <w:rPr>
          <w:rFonts w:ascii="Times New Roman;serif" w:hAnsi="Times New Roman;serif"/>
          <w:b w:val="false"/>
          <w:color w:val="000000"/>
          <w:sz w:val="20"/>
        </w:rPr>
        <w:t>$58.9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an increase of $5.7 million, or 10.8%</w:t>
      </w:r>
      <w:r>
        <w:rPr>
          <w:rFonts w:ascii="Times New Roman;serif" w:hAnsi="Times New Roman;serif"/>
          <w:b w:val="false"/>
          <w:color w:val="000000"/>
          <w:sz w:val="20"/>
          <w:shd w:fill="FFFFFF" w:val="clear"/>
        </w:rPr>
        <w:t xml:space="preserve">, compared to the prior-year period. Adjusted EBITDA for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was </w:t>
      </w:r>
      <w:r>
        <w:rPr>
          <w:rFonts w:ascii="Times New Roman;serif" w:hAnsi="Times New Roman;serif"/>
          <w:b w:val="false"/>
          <w:color w:val="000000"/>
          <w:sz w:val="20"/>
        </w:rPr>
        <w:t>$112.7 million</w:t>
      </w:r>
      <w:r>
        <w:rPr>
          <w:rFonts w:ascii="Times New Roman;serif" w:hAnsi="Times New Roman;serif"/>
          <w:b w:val="false"/>
          <w:color w:val="000000"/>
          <w:sz w:val="20"/>
          <w:shd w:fill="FFFFFF" w:val="clear"/>
        </w:rPr>
        <w:t xml:space="preserve">,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$10.0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9.7%</w:t>
      </w:r>
      <w:r>
        <w:rPr>
          <w:rFonts w:ascii="Times New Roman;serif" w:hAnsi="Times New Roman;serif"/>
          <w:b w:val="false"/>
          <w:color w:val="000000"/>
          <w:sz w:val="20"/>
          <w:shd w:fill="FFFFFF" w:val="clear"/>
        </w:rPr>
        <w:t xml:space="preserve">, compared to the prior-year period. </w:t>
      </w:r>
      <w:r>
        <w:rPr>
          <w:rFonts w:ascii="Times New Roman;serif" w:hAnsi="Times New Roman;serif"/>
          <w:b w:val="false"/>
          <w:color w:val="000000"/>
          <w:sz w:val="20"/>
        </w:rPr>
        <w:t>The increase for both periods was attributable to an increase in the number of locations and gaming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345" w:before="180" w:after="283"/>
        <w:ind w:left="0" w:right="0" w:firstLine="360"/>
        <w:jc w:val="both"/>
        <w:rPr/>
      </w:pPr>
      <w:r>
        <w:rPr>
          <w:rFonts w:ascii="Times New Roman;serif" w:hAnsi="Times New Roman;serif"/>
          <w:b w:val="false"/>
          <w:color w:val="000000"/>
          <w:sz w:val="20"/>
        </w:rPr>
        <w:t xml:space="preserve">We believe that our cash and cash equivalents, cash flows from operations and borrowing availability under the Credit Agreement (as defined below) will be sufficient to meet our capital requirements for the next twelve months and the foreseeable future thereafter. Our primary short-term cash needs are paying operating expenses and contingent earnout payments, purchases of property and equipment, servicing outstanding indebtedness, and funding our Board of Directors (“Board”) approved share repurchase program and near-term acquisitions.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had $255.5 million in cash and cash equivalents.</w:t>
      </w:r>
    </w:p>
    <w:p>
      <w:pPr>
        <w:pStyle w:val="TextBody"/>
        <w:bidi w:val="0"/>
        <w:spacing w:lineRule="auto" w:line="34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Credit Agreement</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In order to refinance our prior credit facility, </w:t>
      </w:r>
      <w:r>
        <w:rPr>
          <w:rFonts w:ascii="Times New Roman;serif" w:hAnsi="Times New Roman;serif"/>
          <w:b w:val="false"/>
          <w:color w:val="000000"/>
          <w:sz w:val="20"/>
          <w:shd w:fill="FFFFFF" w:val="clear"/>
        </w:rPr>
        <w:t>we entered into a Credit Agreement, dated as of</w:t>
      </w:r>
      <w:r>
        <w:rPr>
          <w:color w:val="000000"/>
        </w:rPr>
        <w:t xml:space="preserve"> </w:t>
      </w:r>
      <w:r>
        <w:rPr>
          <w:rFonts w:ascii="Times New Roman;serif" w:hAnsi="Times New Roman;serif"/>
          <w:b w:val="false"/>
          <w:color w:val="000000"/>
          <w:sz w:val="20"/>
        </w:rPr>
        <w:t>September 10, 2025 (the “Credit Agreement”),</w:t>
      </w:r>
      <w:r>
        <w:rPr>
          <w:color w:val="000000"/>
          <w:shd w:fill="FFFFFF" w:val="clear"/>
        </w:rPr>
        <w:t xml:space="preserve"> </w:t>
      </w:r>
      <w:r>
        <w:rPr>
          <w:rFonts w:ascii="Times New Roman;serif" w:hAnsi="Times New Roman;serif"/>
          <w:b w:val="false"/>
          <w:color w:val="000000"/>
          <w:sz w:val="20"/>
          <w:shd w:fill="FFFFFF" w:val="clear"/>
        </w:rPr>
        <w:t>by and among us,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Agreement establishes a:</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$300.0 million revolving credit facility, including a letter of credit facility with a $15.0 million sublimit and a swing line facility with a $25.0 million sublimit, and</w:t>
      </w:r>
    </w:p>
    <w:p>
      <w:pPr>
        <w:pStyle w:val="TextBody"/>
        <w:bidi w:val="0"/>
        <w:spacing w:lineRule="auto" w:line="345"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$600.0 million term loan facility.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The maturity date of the Credit Agreement is </w:t>
      </w:r>
      <w:r>
        <w:rPr>
          <w:rFonts w:ascii="Times New Roman;serif" w:hAnsi="Times New Roman;serif"/>
          <w:b w:val="false"/>
          <w:color w:val="000000"/>
          <w:sz w:val="20"/>
        </w:rPr>
        <w:t>September 10, 2030</w:t>
      </w:r>
      <w:r>
        <w:rPr>
          <w:rFonts w:ascii="Times New Roman;serif" w:hAnsi="Times New Roman;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Proceeds of the initial borrowings under the Credit Agreement were used to repay in full all outstanding indebtedness and terminate all commitments under our prior credit agreement, dated as of November 13, 2019, as amended. </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weighted-average interest rate on our borrowings under the Credit Agreement was approximately 5.5%.</w:t>
      </w:r>
    </w:p>
    <w:p>
      <w:pPr>
        <w:pStyle w:val="TextBody"/>
        <w:bidi w:val="0"/>
        <w:spacing w:lineRule="auto" w:line="348" w:before="180" w:after="283"/>
        <w:ind w:left="0" w:right="0" w:firstLine="360"/>
        <w:jc w:val="both"/>
        <w:rPr/>
      </w:pPr>
      <w:r>
        <w:rPr>
          <w:rFonts w:ascii="Times New Roman;serif" w:hAnsi="Times New Roman;serif"/>
          <w:b w:val="false"/>
          <w:color w:val="000000"/>
          <w:sz w:val="20"/>
          <w:shd w:fill="FFFFFF" w:val="clear"/>
        </w:rPr>
        <w:t xml:space="preserve">We were in compliance with all debt covenants under the Credit Agreement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expect to remain in compliance</w:t>
      </w:r>
      <w:r>
        <w:rPr>
          <w:color w:val="000000"/>
        </w:rPr>
        <w:t xml:space="preserve"> </w:t>
      </w:r>
      <w:r>
        <w:rPr>
          <w:rFonts w:ascii="Times New Roman;serif" w:hAnsi="Times New Roman;serif"/>
          <w:b w:val="false"/>
          <w:color w:val="000000"/>
          <w:sz w:val="20"/>
        </w:rPr>
        <w:t xml:space="preserve">for the next 12 months. </w:t>
      </w:r>
    </w:p>
    <w:p>
      <w:pPr>
        <w:pStyle w:val="TextBody"/>
        <w:bidi w:val="0"/>
        <w:spacing w:lineRule="auto" w:line="34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Financing Activities</w:t>
      </w:r>
    </w:p>
    <w:p>
      <w:pPr>
        <w:pStyle w:val="TextBody"/>
        <w:bidi w:val="0"/>
        <w:spacing w:lineRule="auto" w:line="345" w:before="160" w:after="283"/>
        <w:ind w:left="0" w:right="0" w:firstLine="360"/>
        <w:jc w:val="both"/>
        <w:rPr/>
      </w:pPr>
      <w:r>
        <w:rPr>
          <w:rFonts w:ascii="Times New Roman;serif" w:hAnsi="Times New Roman;serif"/>
          <w:b w:val="false"/>
          <w:color w:val="000000"/>
          <w:sz w:val="20"/>
        </w:rPr>
        <w:t>From time to time, we may take advantage of favorable financing terms offered by vendors for purchases of property and equipment</w:t>
      </w:r>
      <w:r>
        <w:rPr>
          <w:rFonts w:ascii="Times New Roman;serif" w:hAnsi="Times New Roman;serif"/>
          <w:b w:val="false"/>
          <w:color w:val="000000"/>
          <w:sz w:val="20"/>
          <w:shd w:fill="FFFFFF" w:val="clear"/>
        </w:rPr>
        <w:t xml:space="preserve">. Financed property and equipment totaled </w:t>
      </w:r>
      <w:r>
        <w:rPr>
          <w:rFonts w:ascii="Times New Roman;serif" w:hAnsi="Times New Roman;serif"/>
          <w:b w:val="false"/>
          <w:color w:val="000000"/>
          <w:sz w:val="20"/>
        </w:rPr>
        <w:t xml:space="preserve">$4.2 million and $4.8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 respectively, of which $1.7 million is recorded in accounts payable and other accrued expenses for both periods with the remaining $2.5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 million recorded in other long-term liabilities on the condensed consolidated balance sheets</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 respectively.</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hedging instruments</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manage our exposure to interest rate risk through the use of interest rate hedging instruments, which are derivative financial instruments. </w:t>
      </w:r>
    </w:p>
    <w:p>
      <w:pPr>
        <w:pStyle w:val="TextBody"/>
        <w:bidi w:val="0"/>
        <w:spacing w:lineRule="auto" w:line="345" w:before="180" w:after="283"/>
        <w:ind w:left="0" w:right="0" w:firstLine="360"/>
        <w:jc w:val="both"/>
        <w:rPr/>
      </w:pPr>
      <w:r>
        <w:rPr>
          <w:rFonts w:ascii="Times New Roman;serif" w:hAnsi="Times New Roman;serif"/>
          <w:b w:val="false"/>
          <w:color w:val="000000"/>
          <w:sz w:val="20"/>
          <w:shd w:fill="FFFFFF" w:val="clear"/>
        </w:rPr>
        <w:t>On January 12, 2022, we hedged the variability of the cash flows attributable to changes in the 1-month SOFR interest rates on the first $300 million of the term loan under the prior credit agreement by entering into a 4-year series of 48 deferred premium caplets (“caplets</w:t>
      </w:r>
      <w:r>
        <w:rPr>
          <w:color w:val="000000"/>
        </w:rPr>
        <w:t>”</w:t>
      </w:r>
      <w:r>
        <w:rPr>
          <w:rFonts w:ascii="Times New Roman;serif" w:hAnsi="Times New Roman;serif"/>
          <w:b w:val="false"/>
          <w:color w:val="000000"/>
          <w:sz w:val="20"/>
        </w:rPr>
        <w:t>), which expired in January 2026.</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On January 30, 2026, following the expiration of the caplets and to continue to </w:t>
      </w:r>
      <w:r>
        <w:rPr>
          <w:rFonts w:ascii="Times New Roman;serif" w:hAnsi="Times New Roman;serif"/>
          <w:b w:val="false"/>
          <w:color w:val="000000"/>
          <w:sz w:val="20"/>
          <w:shd w:fill="FFFFFF" w:val="clear"/>
        </w:rPr>
        <w:t xml:space="preserve">hedge the variability of the cash flows attributable to the changes in the 1-month Term SOFR interest rate, we entered into </w:t>
      </w:r>
      <w:r>
        <w:rPr>
          <w:rFonts w:ascii="Times New Roman;serif" w:hAnsi="Times New Roman;serif"/>
          <w:b w:val="false"/>
          <w:color w:val="000000"/>
          <w:sz w:val="20"/>
        </w:rPr>
        <w:t>an interest rate collar. The collar, which is designated as a cash flow hedge, establishes a cap interest rate of 4.00% and a floor interest rate of 2.9215%. The interest</w:t>
        <w:noBreakHyphen/>
        <w:t xml:space="preserve">rate collar is structured so its notional amount and timing exactly match the term loan’s outstanding balance and scheduled principal payments. The interest rate collar matures in September 2029.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We recognized an </w:t>
      </w:r>
      <w:r>
        <w:rPr>
          <w:rFonts w:ascii="Times New Roman;serif" w:hAnsi="Times New Roman;serif"/>
          <w:b w:val="false"/>
          <w:color w:val="000000"/>
          <w:sz w:val="20"/>
        </w:rPr>
        <w:t>unrealized gain, net of taxes, o</w:t>
      </w:r>
      <w:r>
        <w:rPr>
          <w:rFonts w:ascii="Times New Roman;serif" w:hAnsi="Times New Roman;serif"/>
          <w:b w:val="false"/>
          <w:color w:val="000000"/>
          <w:sz w:val="20"/>
          <w:shd w:fill="FFFFFF" w:val="clear"/>
        </w:rPr>
        <w:t xml:space="preserve">n the change in fair value of the interest rate hedging instruments of </w:t>
      </w:r>
      <w:r>
        <w:rPr>
          <w:rFonts w:ascii="Times New Roman;serif" w:hAnsi="Times New Roman;serif"/>
          <w:b w:val="false"/>
          <w:color w:val="000000"/>
          <w:sz w:val="20"/>
        </w:rPr>
        <w:t xml:space="preserve">$2.2 million both for the three and six months ended </w:t>
      </w:r>
      <w:r>
        <w:rPr>
          <w:rFonts w:ascii="Times New Roman;serif" w:hAnsi="Times New Roman;serif"/>
          <w:b w:val="false"/>
          <w:color w:val="000000"/>
          <w:sz w:val="20"/>
          <w:shd w:fill="FFFFFF" w:val="clear"/>
        </w:rPr>
        <w:t xml:space="preserve">June 30, 2026. In comparison, we recognized </w:t>
      </w:r>
      <w:r>
        <w:rPr>
          <w:rFonts w:ascii="Times New Roman;serif" w:hAnsi="Times New Roman;serif"/>
          <w:b w:val="false"/>
          <w:color w:val="000000"/>
          <w:sz w:val="20"/>
        </w:rPr>
        <w:t xml:space="preserve">an unrealized loss, net of taxes,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$0.8 million and $2.0 million for the three and six months ended June 30, 2025, respectively.</w:t>
      </w:r>
      <w:r>
        <w:rPr>
          <w:color w:val="000000"/>
          <w:shd w:fill="FFFFFF" w:val="clear"/>
        </w:rPr>
        <w:t xml:space="preserve"> </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 xml:space="preserve">We recognized interest income on the caplets of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onths ended </w:t>
      </w:r>
      <w:r>
        <w:rPr>
          <w:rFonts w:ascii="Times New Roman;serif" w:hAnsi="Times New Roman;serif"/>
          <w:b w:val="false"/>
          <w:color w:val="000000"/>
          <w:sz w:val="20"/>
          <w:shd w:fill="FFFFFF" w:val="clear"/>
        </w:rPr>
        <w:t xml:space="preserve">June 30, 2026, as the caplets expired in January of 2026. In comparison, we recognized interest income on the caplets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These amounts are </w:t>
      </w:r>
      <w:r>
        <w:rPr>
          <w:rFonts w:ascii="Times New Roman;serif" w:hAnsi="Times New Roman;serif"/>
          <w:b w:val="false"/>
          <w:color w:val="000000"/>
          <w:sz w:val="20"/>
          <w:shd w:fill="FFFFFF" w:val="clear"/>
        </w:rPr>
        <w:t xml:space="preserve">reflected in interest expense, net </w:t>
      </w:r>
      <w:r>
        <w:rPr>
          <w:rFonts w:ascii="Times New Roman;serif" w:hAnsi="Times New Roman;serif"/>
          <w:b w:val="false"/>
          <w:color w:val="000000"/>
          <w:sz w:val="20"/>
        </w:rPr>
        <w:t xml:space="preserve">in the condensed consolidated statements of operations and other comprehensive income. </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there has been no realized gain or loss on the interest rate collar. </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Temporary equity</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2024, we acquired 85% of the ownership interests in both Toucan Gaming, LLC and LSM Gaming, LLC (herein referred to as “Toucan Gaming”), two Louisiana-based operators and owners of multiple licensed video poker establishments. Concurrent with the acquisition, we entered into a redemption agreement with the noncontrolling interest holder in the form of put and call options that would allow us to eventually own 100% of Toucan Gaming. The noncontrolling interest holder may exercise its put option after seven years, or if we have a change in control event. We may exercise our call option after ten years or upon termination of key employees of Toucan Gaming for cause. The redemption provisions are not currently considered probable. As these redemption features are not solely within our control, they cause the noncontrolling interests to be redeemable. As a result, we recorded the redeemable noncontrolling interest to temporary equity at its acquisition date fair value based on the proportionate share in net assets of Toucan Gaming, which is reported in the mezzanine section between total liabilities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shareholders’ equity in the condensed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we will remeasure the redeemable noncontrolling interests to its redemption value at which point any measurement period adjustments are recorded to equity and a corresponding adjustment to earnings per share. </w:t>
      </w:r>
    </w:p>
    <w:p>
      <w:pPr>
        <w:pStyle w:val="TextBody"/>
        <w:bidi w:val="0"/>
        <w:spacing w:lineRule="auto" w:line="34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Tax credit purchases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 2026, we purchased $18.2 million of 2025 production tax credits for a total cost of $16.9 million. We will use the purchased tax credits on our 2025 federal tax return to the extent allowable. Any excess credits that were not utilized on the 2025 federal tax return were carried back to tax years 2022-2024 and fully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8933" w:type="dxa"/>
        <w:jc w:val="center"/>
        <w:tblInd w:w="0" w:type="dxa"/>
        <w:tblLayout w:type="fixed"/>
        <w:tblCellMar>
          <w:top w:w="28" w:type="dxa"/>
          <w:left w:w="28" w:type="dxa"/>
          <w:bottom w:w="28" w:type="dxa"/>
          <w:right w:w="28" w:type="dxa"/>
        </w:tblCellMar>
      </w:tblPr>
      <w:tblGrid>
        <w:gridCol w:w="1255"/>
        <w:gridCol w:w="1100"/>
        <w:gridCol w:w="1110"/>
        <w:gridCol w:w="211"/>
        <w:gridCol w:w="721"/>
        <w:gridCol w:w="109"/>
        <w:gridCol w:w="109"/>
        <w:gridCol w:w="109"/>
        <w:gridCol w:w="109"/>
        <w:gridCol w:w="211"/>
        <w:gridCol w:w="721"/>
        <w:gridCol w:w="109"/>
        <w:gridCol w:w="109"/>
        <w:gridCol w:w="109"/>
        <w:gridCol w:w="109"/>
        <w:gridCol w:w="214"/>
        <w:gridCol w:w="703"/>
        <w:gridCol w:w="110"/>
        <w:gridCol w:w="110"/>
        <w:gridCol w:w="110"/>
        <w:gridCol w:w="110"/>
        <w:gridCol w:w="384"/>
        <w:gridCol w:w="306"/>
        <w:gridCol w:w="685"/>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was $62.7 million, a decrease in cash provided of $1.9 million compared to the prior-year period due primarily to unfavorable working capital adjustments largely due to an increase in income tax receivables due to the previously mentioned purchase of production tax credits, partially offset by increases in operating income attributable to higher revenues.</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was $47.2 million, a decrease in cash used of $12.8 million compared to the prior-year period. The decrease in cash used was primarily attributable to less cash used for the purchase of property, plant and equipment, and the absence of cash paid for an operating license in the prior year period, partially offset by increased cash used for business acquisitions. We anticipate our capital expenditures will be approximately $60-70 million in 2026.</w:t>
      </w:r>
    </w:p>
    <w:p>
      <w:pPr>
        <w:pStyle w:val="TextBody"/>
        <w:bidi w:val="0"/>
        <w:spacing w:lineRule="auto" w:line="345"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financing activities was $56.6 million, an increase in cash used of $35.3 million compared to the prior-year period. The increase is primarily attributable to higher net repayments on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our condensed consolidated financial statements, we applied the same critical accounting policies as described in our Annual Report on Form 10-K for the year ended December 31, 2025,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Seasonality</w:t>
      </w:r>
    </w:p>
    <w:p>
      <w:pPr>
        <w:pStyle w:val="TextBody"/>
        <w:bidi w:val="0"/>
        <w:spacing w:lineRule="auto" w:line="345" w:before="18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Our horse racing operations only operate during the months where the weather is conducive to racing, which is typically from late spring through the early fall.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345"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in the ordinary course of business. Borrowings under our credit facility were $577.5 million as of June 30, 2026. If the underlying interest rates were to increase by 1.0%, or 100 basis points, the increase in interest expense on our floating rate debt could negatively impact future earnings and cash flows by approximately $5.8 million annually, assuming the balance outstanding under the credit facility remained at $577.5 million. </w:t>
      </w:r>
    </w:p>
    <w:p>
      <w:pPr>
        <w:pStyle w:val="TextBody"/>
        <w:bidi w:val="0"/>
        <w:spacing w:lineRule="auto" w:line="345"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order to protect against higher interest rates in the future on our credit facility, we hedged the variability of the cash flows attributable to the changes in the 1-month SOFR interest rate on the first $300 million of the term loan by entering into a 4-year series of 48 caplets on January 12, 2022, which expired in January 2026. The caplets protected our exposure when the 1-month SOFR interest rate exceeded 2%. </w:t>
      </w:r>
    </w:p>
    <w:p>
      <w:pPr>
        <w:pStyle w:val="TextBody"/>
        <w:bidi w:val="0"/>
        <w:spacing w:lineRule="auto" w:line="345" w:before="160" w:after="283"/>
        <w:ind w:left="0" w:right="0" w:firstLine="360"/>
        <w:jc w:val="both"/>
        <w:rPr/>
      </w:pPr>
      <w:r>
        <w:rPr>
          <w:rFonts w:ascii="Times New Roman;serif" w:hAnsi="Times New Roman;serif"/>
          <w:b w:val="false"/>
          <w:color w:val="000000"/>
          <w:sz w:val="20"/>
        </w:rPr>
        <w:t xml:space="preserve">On January 30, 2026, the Company continued to </w:t>
      </w:r>
      <w:r>
        <w:rPr>
          <w:rFonts w:ascii="Times New Roman;serif" w:hAnsi="Times New Roman;serif"/>
          <w:b w:val="false"/>
          <w:color w:val="000000"/>
          <w:sz w:val="20"/>
          <w:shd w:fill="FFFFFF" w:val="clear"/>
        </w:rPr>
        <w:t xml:space="preserve">hedge the variability of the cash flows attributable to the changes in the 1-month Term SOFR interest rate by entering into </w:t>
      </w:r>
      <w:r>
        <w:rPr>
          <w:rFonts w:ascii="Times New Roman;serif" w:hAnsi="Times New Roman;serif"/>
          <w:b w:val="false"/>
          <w:color w:val="000000"/>
          <w:sz w:val="20"/>
        </w:rPr>
        <w:t>an interest rate collar. The collar, which is designated as a cash flow hedge, establishes a cap interest rate of 4.00% and a floor interest rate of 2.9215%. The interest</w:t>
        <w:noBreakHyphen/>
        <w:t>rate collar is structured so its notional amount and timing exactly match the term loan’s outstanding balance and scheduled principal payments. The interest rate collar matures in September 2029.</w:t>
      </w:r>
    </w:p>
    <w:p>
      <w:pPr>
        <w:pStyle w:val="TextBody"/>
        <w:bidi w:val="0"/>
        <w:spacing w:lineRule="auto" w:line="345" w:before="160" w:after="283"/>
        <w:ind w:left="0" w:right="0" w:firstLine="360"/>
        <w:jc w:val="both"/>
        <w:rPr/>
      </w:pPr>
      <w:r>
        <w:rPr>
          <w:rFonts w:ascii="Times New Roman;serif" w:hAnsi="Times New Roman;serif"/>
          <w:b w:val="false"/>
          <w:color w:val="000000"/>
          <w:sz w:val="20"/>
          <w:shd w:fill="FFFFFF" w:val="clear"/>
        </w:rPr>
        <w:t>C</w:t>
      </w:r>
      <w:r>
        <w:rPr>
          <w:rFonts w:ascii="Times New Roman;serif" w:hAnsi="Times New Roman;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our Chief Executive Officer (“CEO”, serving as our Principal Executive Officer) and our Chief Financial Officer (“CFO”, serving as our Principal Financial Officer), conducted an evaluation of the effectiveness of the Company’s disclosure controls and procedures (as defined in Rules 13a-15(e) and 15d-15(e) under the Securities Exchange Act of 1934, as amended (“Exchange Act”)) as of the end of the period covered by this report. As a result of this evaluation, our CEO and CFO concluded that our disclosure controls and procedures were effective as of June 30, 2026. </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during the quarter ended June 30, 2026, in our internal control over financial reporting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discussion in Note 17,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2025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risk factors described in Item 1A. “Risk Factors”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345"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22, 2021, we announced that our Board had approved a share repurchase program of up to $200 million shares of our Class A-1 common stock. On February 27, 2025, we announced that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us to acquire any particular amount of shares, and the share repurchase program may be suspended or discontinued at any time at our discretion.</w:t>
      </w:r>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345"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share repurchases made during the second quarter of 2026:</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467"/>
        <w:gridCol w:w="467"/>
        <w:gridCol w:w="468"/>
        <w:gridCol w:w="109"/>
        <w:gridCol w:w="109"/>
        <w:gridCol w:w="109"/>
        <w:gridCol w:w="397"/>
        <w:gridCol w:w="397"/>
        <w:gridCol w:w="399"/>
        <w:gridCol w:w="109"/>
        <w:gridCol w:w="109"/>
        <w:gridCol w:w="109"/>
        <w:gridCol w:w="772"/>
        <w:gridCol w:w="772"/>
        <w:gridCol w:w="774"/>
        <w:gridCol w:w="109"/>
        <w:gridCol w:w="109"/>
        <w:gridCol w:w="109"/>
        <w:gridCol w:w="848"/>
        <w:gridCol w:w="848"/>
        <w:gridCol w:w="120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 shares that may yet be purchased under the program (in millions)</w:t>
            </w:r>
          </w:p>
        </w:tc>
      </w:tr>
      <w:tr>
        <w:trPr/>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477,598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477,598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345" w:before="18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the Company's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9724"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745"/>
        <w:gridCol w:w="2745"/>
        <w:gridCol w:w="2774"/>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6302026.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6302026.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6302026.htm">
              <w:r>
                <w:rPr>
                  <w:rStyle w:val="InternetLink"/>
                  <w:rFonts w:ascii="Times New Roman;serif" w:hAnsi="Times New Roman;serif"/>
                  <w:b w:val="false"/>
                  <w:color w:val="0000FF"/>
                  <w:sz w:val="20"/>
                  <w:u w:val="single"/>
                </w:rPr>
                <w:t>Section 1350 Certification of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6302026.htm">
              <w:r>
                <w:rPr>
                  <w:rStyle w:val="InternetLink"/>
                  <w:rFonts w:ascii="Times New Roman;serif" w:hAnsi="Times New Roman;serif"/>
                  <w:b w:val="false"/>
                  <w:color w:val="0000FF"/>
                  <w:sz w:val="20"/>
                  <w:u w:val="single"/>
                </w:rPr>
                <w:t>Section 1350 Certification of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417"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Pr>
          <w:t xml:space="preserve">Table of </w:t>
        </w:r>
      </w:hyperlink>
      <w:hyperlink w:anchor="i0fa1bbe62dbe4bb4a9e64dc7eff97e26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180" w:type="dxa"/>
        <w:jc w:val="center"/>
        <w:tblInd w:w="0" w:type="dxa"/>
        <w:tblLayout w:type="fixed"/>
        <w:tblCellMar>
          <w:top w:w="28" w:type="dxa"/>
          <w:left w:w="28" w:type="dxa"/>
          <w:bottom w:w="28" w:type="dxa"/>
          <w:right w:w="28" w:type="dxa"/>
        </w:tblCellMar>
      </w:tblPr>
      <w:tblGrid>
        <w:gridCol w:w="667"/>
        <w:gridCol w:w="587"/>
        <w:gridCol w:w="590"/>
        <w:gridCol w:w="457"/>
        <w:gridCol w:w="457"/>
        <w:gridCol w:w="457"/>
        <w:gridCol w:w="1450"/>
        <w:gridCol w:w="1450"/>
        <w:gridCol w:w="20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 ENTERTAINMENT,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Christie Kozlik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Christie Kozlik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417" w:before="160" w:after="283"/>
        <w:jc w:val="both"/>
        <w:rPr>
          <w:rFonts w:ascii="Times New Roman;serif" w:hAnsi="Times New Roman;serif"/>
          <w:b w:val="false"/>
          <w:color w:val="000000"/>
          <w:sz w:val="20"/>
        </w:rPr>
      </w:pPr>
      <w:r>
        <w:rPr>
          <w:rFonts w:ascii="Times New Roman;serif" w:hAnsi="Times New Roman;serif"/>
          <w:b w:val="false"/>
          <w:color w:val="000000"/>
          <w:sz w:val="20"/>
        </w:rPr>
        <w:t>I, Andrew Rubenstein,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10205" w:type="dxa"/>
        <w:jc w:val="center"/>
        <w:tblInd w:w="0" w:type="dxa"/>
        <w:tblLayout w:type="fixed"/>
        <w:tblCellMar>
          <w:top w:w="28" w:type="dxa"/>
          <w:left w:w="28" w:type="dxa"/>
          <w:bottom w:w="28" w:type="dxa"/>
          <w:right w:w="28" w:type="dxa"/>
        </w:tblCellMar>
      </w:tblPr>
      <w:tblGrid>
        <w:gridCol w:w="639"/>
        <w:gridCol w:w="562"/>
        <w:gridCol w:w="565"/>
        <w:gridCol w:w="109"/>
        <w:gridCol w:w="109"/>
        <w:gridCol w:w="109"/>
        <w:gridCol w:w="2373"/>
        <w:gridCol w:w="2372"/>
        <w:gridCol w:w="3367"/>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 Brett Summerer, certify that: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491"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263"/>
        <w:gridCol w:w="1263"/>
        <w:gridCol w:w="179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Brett Summerer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Summerer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Executive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June 30, 2026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8564" w:type="dxa"/>
        <w:jc w:val="left"/>
        <w:tblInd w:w="0" w:type="dxa"/>
        <w:tblLayout w:type="fixed"/>
        <w:tblCellMar>
          <w:top w:w="28" w:type="dxa"/>
          <w:left w:w="28" w:type="dxa"/>
          <w:bottom w:w="28" w:type="dxa"/>
          <w:right w:w="28" w:type="dxa"/>
        </w:tblCellMar>
      </w:tblPr>
      <w:tblGrid>
        <w:gridCol w:w="2740"/>
        <w:gridCol w:w="2409"/>
        <w:gridCol w:w="3415"/>
      </w:tblGrid>
      <w:tr>
        <w:trPr/>
        <w:tc>
          <w:tcPr>
            <w:tcW w:w="2740"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8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erif" w:hAnsi="Times New Roman;serif"/>
                <w:b w:val="false"/>
                <w:color w:val="000000"/>
                <w:sz w:val="20"/>
              </w:rPr>
              <w:t xml:space="preserve">/s/ </w:t>
            </w:r>
            <w:r>
              <w:rPr>
                <w:rFonts w:ascii="Times New Roman;serif" w:hAnsi="Times New Roman;serif"/>
                <w:b w:val="false"/>
                <w:i/>
                <w:color w:val="000000"/>
                <w:sz w:val="20"/>
              </w:rPr>
              <w:t>Andrew Rubenstein</w:t>
            </w:r>
          </w:p>
        </w:tc>
      </w:tr>
      <w:tr>
        <w:trPr/>
        <w:tc>
          <w:tcPr>
            <w:tcW w:w="8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Rubenstein</w:t>
            </w:r>
          </w:p>
        </w:tc>
      </w:tr>
      <w:tr>
        <w:trPr/>
        <w:tc>
          <w:tcPr>
            <w:tcW w:w="8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417" w:before="160" w:after="283"/>
        <w:jc w:val="center"/>
        <w:rPr>
          <w:rFonts w:ascii="Times New Roman;serif" w:hAnsi="Times New Roman;serif"/>
          <w:b/>
          <w:color w:val="000000"/>
          <w:sz w:val="20"/>
        </w:rPr>
      </w:pPr>
      <w:r>
        <w:rPr>
          <w:rFonts w:ascii="Times New Roman;serif" w:hAnsi="Times New Roman;serif"/>
          <w:b/>
          <w:color w:val="000000"/>
          <w:sz w:val="20"/>
        </w:rPr>
        <w:t>Section 1350 Certification of Principal Financial Officer</w:t>
      </w:r>
    </w:p>
    <w:p>
      <w:pPr>
        <w:pStyle w:val="TextBody"/>
        <w:bidi w:val="0"/>
        <w:spacing w:lineRule="auto" w:line="345"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Accel Entertainment, Inc. (the “Company”) for the three months ended June 30, 2026 as filed with the Securities and Exchange Commission on the date hereof (the “Report”), I, Brett Summerer,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6"/>
        <w:gridCol w:w="1732"/>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Brett Summerer</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Summerer</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lineRule="auto" w:line="417"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345" w:before="18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21655</Words>
  <Characters>120034</Characters>
  <CharactersWithSpaces>140224</CharactersWithSpaces>
  <Paragraphs>2933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