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493395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518795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4" w:lineRule="exact"/>
        <w:rPr>
          <w:sz w:val="24"/>
          <w:szCs w:val="24"/>
          <w:color w:val="auto"/>
        </w:rPr>
      </w:pPr>
    </w:p>
    <w:p>
      <w:pPr>
        <w:ind w:left="1300" w:hanging="337"/>
        <w:spacing w:after="0"/>
        <w:tabs>
          <w:tab w:leader="none" w:pos="1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June 30, 2022</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1" w:lineRule="exact"/>
        <w:rPr>
          <w:sz w:val="24"/>
          <w:szCs w:val="24"/>
          <w:color w:val="auto"/>
        </w:rPr>
      </w:pPr>
    </w:p>
    <w:p>
      <w:pPr>
        <w:ind w:left="1340" w:hanging="353"/>
        <w:spacing w:after="0"/>
        <w:tabs>
          <w:tab w:leader="none" w:pos="1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 to 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127635</wp:posOffset>
            </wp:positionV>
            <wp:extent cx="2889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Accel Entertainment,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120650</wp:posOffset>
            </wp:positionV>
            <wp:extent cx="2889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304" w:lineRule="exact"/>
        <w:rPr>
          <w:sz w:val="24"/>
          <w:szCs w:val="24"/>
          <w:color w:val="auto"/>
        </w:rPr>
      </w:pPr>
    </w:p>
    <w:tbl>
      <w:tblPr>
        <w:tblLayout w:type="fixed"/>
        <w:tblInd w:w="216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184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80" w:type="dxa"/>
            <w:vAlign w:val="bottom"/>
            <w:gridSpan w:val="4"/>
          </w:tcPr>
          <w:p>
            <w:pPr>
              <w:jc w:val="center"/>
              <w:ind w:left="2560"/>
              <w:spacing w:after="0"/>
              <w:rPr>
                <w:sz w:val="20"/>
                <w:szCs w:val="20"/>
                <w:color w:val="auto"/>
              </w:rPr>
            </w:pPr>
            <w:r>
              <w:rPr>
                <w:rFonts w:ascii="Times New Roman" w:cs="Times New Roman" w:eastAsia="Times New Roman" w:hAnsi="Times New Roman"/>
                <w:sz w:val="16"/>
                <w:szCs w:val="16"/>
                <w:b w:val="1"/>
                <w:bCs w:val="1"/>
                <w:color w:val="auto"/>
                <w:w w:val="98"/>
              </w:rPr>
              <w:t>98-1350261</w:t>
            </w:r>
          </w:p>
        </w:tc>
      </w:tr>
      <w:tr>
        <w:trPr>
          <w:trHeight w:val="20"/>
        </w:trPr>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25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1760" w:type="dxa"/>
            <w:vAlign w:val="bottom"/>
          </w:tcPr>
          <w:p>
            <w:pPr>
              <w:spacing w:after="0"/>
              <w:rPr>
                <w:sz w:val="19"/>
                <w:szCs w:val="19"/>
                <w:color w:val="auto"/>
              </w:rPr>
            </w:pPr>
          </w:p>
        </w:tc>
        <w:tc>
          <w:tcPr>
            <w:tcW w:w="212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0"/>
        </w:trPr>
        <w:tc>
          <w:tcPr>
            <w:tcW w:w="25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1760" w:type="dxa"/>
            <w:vAlign w:val="bottom"/>
          </w:tcPr>
          <w:p>
            <w:pPr>
              <w:spacing w:after="0"/>
              <w:rPr>
                <w:sz w:val="18"/>
                <w:szCs w:val="18"/>
                <w:color w:val="auto"/>
              </w:rPr>
            </w:pPr>
          </w:p>
        </w:tc>
        <w:tc>
          <w:tcPr>
            <w:tcW w:w="212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05"/>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8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7"/>
              </w:rPr>
              <w:t>140 Tower Drive</w:t>
            </w:r>
          </w:p>
        </w:tc>
      </w:tr>
      <w:tr>
        <w:trPr>
          <w:trHeight w:val="204"/>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8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9"/>
              </w:rPr>
              <w:t>Burr Ridge, Illinois 60527</w:t>
            </w: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(630) 972-2235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5"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140" w:type="dxa"/>
            <w:vAlign w:val="bottom"/>
          </w:tcPr>
          <w:p>
            <w:pPr>
              <w:spacing w:after="0"/>
              <w:rPr>
                <w:sz w:val="13"/>
                <w:szCs w:val="13"/>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4"/>
        </w:trPr>
        <w:tc>
          <w:tcPr>
            <w:tcW w:w="40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color w:val="auto"/>
              </w:rPr>
              <w:t>Class A-1 Common Stock, par value $.0001 per 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ACEL</w:t>
            </w:r>
          </w:p>
        </w:tc>
        <w:tc>
          <w:tcPr>
            <w:tcW w:w="114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New York Stock Exchange</w:t>
            </w:r>
          </w:p>
        </w:tc>
      </w:tr>
    </w:tbl>
    <w:p>
      <w:pPr>
        <w:spacing w:after="0" w:line="377" w:lineRule="exact"/>
        <w:rPr>
          <w:sz w:val="24"/>
          <w:szCs w:val="24"/>
          <w:color w:val="auto"/>
        </w:rPr>
      </w:pPr>
    </w:p>
    <w:p>
      <w:pPr>
        <w:jc w:val="both"/>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94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9"/>
        </w:trPr>
        <w:tc>
          <w:tcPr>
            <w:tcW w:w="2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5" w:lineRule="exact"/>
        <w:rPr>
          <w:sz w:val="24"/>
          <w:szCs w:val="24"/>
          <w:color w:val="auto"/>
        </w:rPr>
      </w:pPr>
    </w:p>
    <w:p>
      <w:pPr>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20"/>
        <w:spacing w:after="0" w:line="207" w:lineRule="exact"/>
        <w:tabs>
          <w:tab w:leader="none" w:pos="7760" w:val="left"/>
          <w:tab w:leader="none" w:pos="8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August 5, 2022, there were 90,126,930 shares outstanding of the registrant’s Class A-1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1004570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554355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579120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700" w:type="dxa"/>
            <w:vAlign w:val="bottom"/>
          </w:tcPr>
          <w:p>
            <w:pPr>
              <w:jc w:val="center"/>
              <w:ind w:right="812"/>
              <w:spacing w:after="0"/>
              <w:rPr>
                <w:sz w:val="20"/>
                <w:szCs w:val="20"/>
                <w:color w:val="auto"/>
              </w:rPr>
            </w:pPr>
            <w:r>
              <w:rPr>
                <w:rFonts w:ascii="Times New Roman" w:cs="Times New Roman" w:eastAsia="Times New Roman" w:hAnsi="Times New Roman"/>
                <w:sz w:val="18"/>
                <w:szCs w:val="18"/>
                <w:b w:val="1"/>
                <w:bCs w:val="1"/>
                <w:color w:val="auto"/>
                <w:w w:val="97"/>
              </w:rPr>
              <w:t>ACCEL ENTERTAINMENT, INC.</w:t>
            </w:r>
          </w:p>
        </w:tc>
        <w:tc>
          <w:tcPr>
            <w:tcW w:w="320" w:type="dxa"/>
            <w:vAlign w:val="bottom"/>
          </w:tcPr>
          <w:p>
            <w:pPr>
              <w:spacing w:after="0"/>
              <w:rPr>
                <w:sz w:val="20"/>
                <w:szCs w:val="20"/>
                <w:color w:val="auto"/>
              </w:rPr>
            </w:pPr>
          </w:p>
        </w:tc>
      </w:tr>
      <w:tr>
        <w:trPr>
          <w:trHeight w:val="252"/>
        </w:trPr>
        <w:tc>
          <w:tcPr>
            <w:tcW w:w="1220" w:type="dxa"/>
            <w:vAlign w:val="bottom"/>
          </w:tcPr>
          <w:p>
            <w:pPr>
              <w:spacing w:after="0"/>
              <w:rPr>
                <w:sz w:val="21"/>
                <w:szCs w:val="21"/>
                <w:color w:val="auto"/>
              </w:rPr>
            </w:pPr>
          </w:p>
        </w:tc>
        <w:tc>
          <w:tcPr>
            <w:tcW w:w="9700" w:type="dxa"/>
            <w:vAlign w:val="bottom"/>
          </w:tcPr>
          <w:p>
            <w:pPr>
              <w:jc w:val="center"/>
              <w:ind w:right="812"/>
              <w:spacing w:after="0"/>
              <w:rPr>
                <w:sz w:val="20"/>
                <w:szCs w:val="20"/>
                <w:color w:val="auto"/>
              </w:rPr>
            </w:pPr>
            <w:r>
              <w:rPr>
                <w:rFonts w:ascii="Times New Roman" w:cs="Times New Roman" w:eastAsia="Times New Roman" w:hAnsi="Times New Roman"/>
                <w:sz w:val="18"/>
                <w:szCs w:val="18"/>
                <w:b w:val="1"/>
                <w:bCs w:val="1"/>
                <w:color w:val="auto"/>
                <w:w w:val="97"/>
              </w:rPr>
              <w:t>QUARTERLY REPORT ON FORM 10-Q</w:t>
            </w:r>
          </w:p>
        </w:tc>
        <w:tc>
          <w:tcPr>
            <w:tcW w:w="320" w:type="dxa"/>
            <w:vAlign w:val="bottom"/>
          </w:tcPr>
          <w:p>
            <w:pPr>
              <w:spacing w:after="0"/>
              <w:rPr>
                <w:sz w:val="21"/>
                <w:szCs w:val="21"/>
                <w:color w:val="auto"/>
              </w:rPr>
            </w:pPr>
          </w:p>
        </w:tc>
      </w:tr>
      <w:tr>
        <w:trPr>
          <w:trHeight w:val="252"/>
        </w:trPr>
        <w:tc>
          <w:tcPr>
            <w:tcW w:w="1220" w:type="dxa"/>
            <w:vAlign w:val="bottom"/>
          </w:tcPr>
          <w:p>
            <w:pPr>
              <w:spacing w:after="0"/>
              <w:rPr>
                <w:sz w:val="21"/>
                <w:szCs w:val="21"/>
                <w:color w:val="auto"/>
              </w:rPr>
            </w:pPr>
          </w:p>
        </w:tc>
        <w:tc>
          <w:tcPr>
            <w:tcW w:w="9700" w:type="dxa"/>
            <w:vAlign w:val="bottom"/>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7"/>
              </w:rPr>
              <w:t>FOR THE QUARTER ENDED JUNE 30, 2022</w:t>
            </w:r>
          </w:p>
        </w:tc>
        <w:tc>
          <w:tcPr>
            <w:tcW w:w="320" w:type="dxa"/>
            <w:vAlign w:val="bottom"/>
          </w:tcPr>
          <w:p>
            <w:pPr>
              <w:spacing w:after="0"/>
              <w:rPr>
                <w:sz w:val="21"/>
                <w:szCs w:val="21"/>
                <w:color w:val="auto"/>
              </w:rPr>
            </w:pPr>
          </w:p>
        </w:tc>
      </w:tr>
      <w:tr>
        <w:trPr>
          <w:trHeight w:val="584"/>
        </w:trPr>
        <w:tc>
          <w:tcPr>
            <w:tcW w:w="1220" w:type="dxa"/>
            <w:vAlign w:val="bottom"/>
          </w:tcPr>
          <w:p>
            <w:pPr>
              <w:spacing w:after="0"/>
              <w:rPr>
                <w:sz w:val="24"/>
                <w:szCs w:val="24"/>
                <w:color w:val="auto"/>
              </w:rPr>
            </w:pPr>
          </w:p>
        </w:tc>
        <w:tc>
          <w:tcPr>
            <w:tcW w:w="970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320" w:type="dxa"/>
            <w:vAlign w:val="bottom"/>
          </w:tcPr>
          <w:p>
            <w:pPr>
              <w:spacing w:after="0"/>
              <w:rPr>
                <w:sz w:val="24"/>
                <w:szCs w:val="24"/>
                <w:color w:val="auto"/>
              </w:rPr>
            </w:pPr>
          </w:p>
        </w:tc>
      </w:tr>
      <w:tr>
        <w:trPr>
          <w:trHeight w:val="29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26"/>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178"/>
        </w:trPr>
        <w:tc>
          <w:tcPr>
            <w:tcW w:w="1220" w:type="dxa"/>
            <w:vAlign w:val="bottom"/>
          </w:tcPr>
          <w:p>
            <w:pPr>
              <w:spacing w:after="0"/>
              <w:rPr>
                <w:sz w:val="15"/>
                <w:szCs w:val="15"/>
                <w:color w:val="auto"/>
              </w:rPr>
            </w:pPr>
          </w:p>
        </w:tc>
        <w:tc>
          <w:tcPr>
            <w:tcW w:w="97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(Unaudited) for the three and six months ended</w:t>
            </w:r>
          </w:p>
        </w:tc>
        <w:tc>
          <w:tcPr>
            <w:tcW w:w="320" w:type="dxa"/>
            <w:vAlign w:val="bottom"/>
          </w:tcPr>
          <w:p>
            <w:pPr>
              <w:spacing w:after="0"/>
              <w:rPr>
                <w:sz w:val="15"/>
                <w:szCs w:val="15"/>
                <w:color w:val="auto"/>
              </w:rPr>
            </w:pPr>
          </w:p>
        </w:tc>
      </w:tr>
      <w:tr>
        <w:trPr>
          <w:trHeight w:val="234"/>
        </w:trPr>
        <w:tc>
          <w:tcPr>
            <w:tcW w:w="1220" w:type="dxa"/>
            <w:vAlign w:val="bottom"/>
          </w:tcPr>
          <w:p>
            <w:pPr>
              <w:spacing w:after="0"/>
              <w:rPr>
                <w:sz w:val="20"/>
                <w:szCs w:val="20"/>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2022 and 2021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26"/>
        </w:trPr>
        <w:tc>
          <w:tcPr>
            <w:tcW w:w="12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 at June 30, 2022 (Unaudited) and December 31, 2021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26"/>
        </w:trPr>
        <w:tc>
          <w:tcPr>
            <w:tcW w:w="12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Condensed Consolidated Statements of Stockholders’ Equity (Unaudited) for the three and six months ended June 30, 2022 and 2021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6"/>
        </w:trPr>
        <w:tc>
          <w:tcPr>
            <w:tcW w:w="12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six months ended June 30, 2022 and 2021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6"/>
        </w:trPr>
        <w:tc>
          <w:tcPr>
            <w:tcW w:w="1220" w:type="dxa"/>
            <w:vAlign w:val="bottom"/>
          </w:tcPr>
          <w:p>
            <w:pPr>
              <w:spacing w:after="0"/>
              <w:rPr>
                <w:sz w:val="19"/>
                <w:szCs w:val="19"/>
                <w:color w:val="auto"/>
              </w:rPr>
            </w:pP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 (Unaudited)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32"/>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7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7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48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26"/>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26"/>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26"/>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26"/>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32"/>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65"/>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49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7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987"/>
        </w:trPr>
        <w:tc>
          <w:tcPr>
            <w:tcW w:w="122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5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4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740" w:type="dxa"/>
            <w:vAlign w:val="bottom"/>
            <w:gridSpan w:val="4"/>
          </w:tcPr>
          <w:p>
            <w:pPr>
              <w:ind w:left="4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gaming</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334,898</w:t>
            </w:r>
          </w:p>
        </w:tc>
        <w:tc>
          <w:tcPr>
            <w:tcW w:w="0" w:type="dxa"/>
            <w:vAlign w:val="bottom"/>
          </w:tcPr>
          <w:p>
            <w:pPr>
              <w:spacing w:after="0"/>
              <w:rPr>
                <w:sz w:val="1"/>
                <w:szCs w:val="1"/>
                <w:color w:val="auto"/>
              </w:rPr>
            </w:pPr>
          </w:p>
        </w:tc>
      </w:tr>
      <w:tr>
        <w:trPr>
          <w:trHeight w:val="252"/>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Amusement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ATM fees and 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Total net revenues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227,869</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201,974</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424,760</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349,043</w:t>
            </w: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440"/>
              <w:spacing w:after="0" w:line="181"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expense shown below)</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234,663</w:t>
            </w:r>
          </w:p>
        </w:tc>
        <w:tc>
          <w:tcPr>
            <w:tcW w:w="0" w:type="dxa"/>
            <w:vAlign w:val="bottom"/>
          </w:tcPr>
          <w:p>
            <w:pPr>
              <w:spacing w:after="0"/>
              <w:rPr>
                <w:sz w:val="1"/>
                <w:szCs w:val="1"/>
                <w:color w:val="auto"/>
              </w:rPr>
            </w:pPr>
          </w:p>
        </w:tc>
      </w:tr>
      <w:tr>
        <w:trPr>
          <w:trHeight w:val="181"/>
        </w:trPr>
        <w:tc>
          <w:tcPr>
            <w:tcW w:w="448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Cost of goods sold (exclusive of depreciation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expense shown below)</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0" w:type="dxa"/>
            <w:vAlign w:val="bottom"/>
          </w:tcPr>
          <w:p>
            <w:pPr>
              <w:spacing w:after="0"/>
              <w:rPr>
                <w:sz w:val="1"/>
                <w:szCs w:val="1"/>
                <w:color w:val="auto"/>
              </w:rPr>
            </w:pPr>
          </w:p>
        </w:tc>
      </w:tr>
      <w:tr>
        <w:trPr>
          <w:trHeight w:val="181"/>
        </w:trPr>
        <w:tc>
          <w:tcPr>
            <w:tcW w:w="448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Depreciation and amortization of property and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440"/>
              <w:spacing w:after="0" w:line="181" w:lineRule="exact"/>
              <w:rPr>
                <w:sz w:val="20"/>
                <w:szCs w:val="20"/>
                <w:color w:val="auto"/>
              </w:rPr>
            </w:pPr>
            <w:r>
              <w:rPr>
                <w:rFonts w:ascii="Times New Roman" w:cs="Times New Roman" w:eastAsia="Times New Roman" w:hAnsi="Times New Roman"/>
                <w:sz w:val="18"/>
                <w:szCs w:val="18"/>
                <w:color w:val="auto"/>
              </w:rPr>
              <w:t>Amortization of route and customer acquisition costs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location contracts acquired</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expenses, 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177,047</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376,238</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314,561</w:t>
            </w:r>
          </w:p>
        </w:tc>
        <w:tc>
          <w:tcPr>
            <w:tcW w:w="0" w:type="dxa"/>
            <w:vAlign w:val="bottom"/>
          </w:tcPr>
          <w:p>
            <w:pPr>
              <w:spacing w:after="0"/>
              <w:rPr>
                <w:sz w:val="1"/>
                <w:szCs w:val="1"/>
                <w:color w:val="auto"/>
              </w:rPr>
            </w:pPr>
          </w:p>
        </w:tc>
      </w:tr>
      <w:tr>
        <w:trPr>
          <w:trHeight w:val="232"/>
        </w:trPr>
        <w:tc>
          <w:tcPr>
            <w:tcW w:w="44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181"/>
        </w:trPr>
        <w:tc>
          <w:tcPr>
            <w:tcW w:w="4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(Gain) loss on change in fair value of contingent earnout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52"/>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93,452</w:t>
            </w: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94,382</w:t>
            </w:r>
          </w:p>
        </w:tc>
        <w:tc>
          <w:tcPr>
            <w:tcW w:w="0" w:type="dxa"/>
            <w:vAlign w:val="bottom"/>
          </w:tcPr>
          <w:p>
            <w:pPr>
              <w:spacing w:after="0"/>
              <w:rPr>
                <w:sz w:val="1"/>
                <w:szCs w:val="1"/>
                <w:color w:val="auto"/>
              </w:rPr>
            </w:pPr>
          </w:p>
        </w:tc>
      </w:tr>
      <w:tr>
        <w:trPr>
          <w:trHeight w:val="252"/>
        </w:trPr>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140" w:type="dxa"/>
            <w:vAlign w:val="bottom"/>
          </w:tcPr>
          <w:p>
            <w:pPr>
              <w:spacing w:after="0"/>
              <w:rPr>
                <w:sz w:val="23"/>
                <w:szCs w:val="23"/>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4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38,252</w:t>
            </w:r>
          </w:p>
        </w:tc>
        <w:tc>
          <w:tcPr>
            <w:tcW w:w="140" w:type="dxa"/>
            <w:vAlign w:val="bottom"/>
          </w:tcPr>
          <w:p>
            <w:pPr>
              <w:spacing w:after="0"/>
              <w:rPr>
                <w:sz w:val="23"/>
                <w:szCs w:val="23"/>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Unrealized gain on investment in convertible notes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income taxes of $2,073 and $2,260, respectively)</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20"/>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Unrealized gain on interest rate caplets (net of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 of $760 and $2,694, respectively)</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48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0320"/>
          </w:cols>
          <w:pgMar w:left="320" w:top="12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320"/>
          </w:cols>
          <w:pgMar w:left="320" w:top="121" w:right="1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2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par value and share amounts)</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6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220,168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198,786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5,121</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6,998</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rate caplets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Investment in convertible notes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32,065</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5,025</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288,001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247,995</w:t>
            </w:r>
          </w:p>
        </w:tc>
        <w:tc>
          <w:tcPr>
            <w:tcW w:w="0" w:type="dxa"/>
            <w:vAlign w:val="bottom"/>
          </w:tcPr>
          <w:p>
            <w:pPr>
              <w:spacing w:after="0"/>
              <w:rPr>
                <w:sz w:val="1"/>
                <w:szCs w:val="1"/>
                <w:color w:val="auto"/>
              </w:rPr>
            </w:pPr>
          </w:p>
        </w:tc>
      </w:tr>
      <w:tr>
        <w:trPr>
          <w:trHeight w:val="18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189,637</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152,251</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Route and customer acquisition costs, net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15,913</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Location contracts acquired, net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184,519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150,672</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99,490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46,199</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rate caplets, net of current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3,043</w:t>
            </w:r>
          </w:p>
        </w:tc>
        <w:tc>
          <w:tcPr>
            <w:tcW w:w="0" w:type="dxa"/>
            <w:vAlign w:val="bottom"/>
          </w:tcPr>
          <w:p>
            <w:pPr>
              <w:spacing w:after="0"/>
              <w:rPr>
                <w:sz w:val="1"/>
                <w:szCs w:val="1"/>
                <w:color w:val="auto"/>
              </w:rPr>
            </w:pPr>
          </w:p>
        </w:tc>
      </w:tr>
      <w:tr>
        <w:trPr>
          <w:trHeight w:val="181"/>
        </w:trPr>
        <w:tc>
          <w:tcPr>
            <w:tcW w:w="64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other noncurrent assets</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338,941</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215,827</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816,579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616,073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maturities of debt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23,460</w:t>
            </w:r>
          </w:p>
        </w:tc>
        <w:tc>
          <w:tcPr>
            <w:tcW w:w="14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17,500</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portion of route and customer acquisition costs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location gaming expense</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3,969</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state gaming expense</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11,441</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14,616</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8,886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portion of consideration payable</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13,344</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85,997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71,835</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Debt, net of current maturities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478,635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324,022</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Route and customer acquisition costs payable, less current portion</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Consideration payable, less current portion</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12,706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Contingent earnout share liability</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42,831</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Warrant and other long-term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long-term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556,707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385,777</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Preferred Stock, par value of $0.0001; 1,000,000 shares authorized; 0 shares issued and outstanding at</w:t>
            </w: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June 30, 2022 and December 31, 2021</w:t>
            </w:r>
          </w:p>
        </w:tc>
        <w:tc>
          <w:tcPr>
            <w:tcW w:w="2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440" w:type="dxa"/>
            <w:vAlign w:val="bottom"/>
          </w:tcPr>
          <w:p>
            <w:pPr>
              <w:ind w:left="440"/>
              <w:spacing w:after="0" w:line="137" w:lineRule="exact"/>
              <w:rPr>
                <w:sz w:val="20"/>
                <w:szCs w:val="20"/>
                <w:color w:val="auto"/>
              </w:rPr>
            </w:pPr>
            <w:r>
              <w:rPr>
                <w:rFonts w:ascii="Times New Roman" w:cs="Times New Roman" w:eastAsia="Times New Roman" w:hAnsi="Times New Roman"/>
                <w:sz w:val="14"/>
                <w:szCs w:val="14"/>
                <w:color w:val="auto"/>
              </w:rPr>
              <w:t>Class A-1 Common Stock, par value $0.0001; 250,000,000 shares authorized; 94,359,417 shares issued</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4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and 90,759,331 shares outstanding at June 30, 2022; 94,111,868 shares issued and 93,410,563 shares</w:t>
            </w: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191,190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187,656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Treasury stock, at cost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Accumulated earnings (deficit)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(20,221)</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173,875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158,461</w:t>
            </w:r>
          </w:p>
        </w:tc>
        <w:tc>
          <w:tcPr>
            <w:tcW w:w="0" w:type="dxa"/>
            <w:vAlign w:val="bottom"/>
          </w:tcPr>
          <w:p>
            <w:pPr>
              <w:spacing w:after="0"/>
              <w:rPr>
                <w:sz w:val="1"/>
                <w:szCs w:val="1"/>
                <w:color w:val="auto"/>
              </w:rPr>
            </w:pPr>
          </w:p>
        </w:tc>
      </w:tr>
      <w:tr>
        <w:trPr>
          <w:trHeight w:val="213"/>
        </w:trPr>
        <w:tc>
          <w:tcPr>
            <w:tcW w:w="64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816,579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616,073</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0240"/>
          </w:cols>
          <w:pgMar w:left="320" w:top="121" w:right="1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1" w:right="1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8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Class A-1</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9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8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Paid-In</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8"/>
                <w:szCs w:val="18"/>
                <w:color w:val="auto"/>
              </w:rPr>
            </w:pPr>
          </w:p>
        </w:tc>
        <w:tc>
          <w:tcPr>
            <w:tcW w:w="9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8"/>
              </w:rPr>
              <w:t>Capital</w:t>
            </w: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Income</w:t>
            </w:r>
          </w:p>
        </w:tc>
        <w:tc>
          <w:tcPr>
            <w:tcW w:w="12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Earnings (Deficit)</w:t>
            </w:r>
          </w:p>
        </w:tc>
        <w:tc>
          <w:tcPr>
            <w:tcW w:w="100" w:type="dxa"/>
            <w:vAlign w:val="bottom"/>
          </w:tcPr>
          <w:p>
            <w:pPr>
              <w:spacing w:after="0"/>
              <w:rPr>
                <w:sz w:val="2"/>
                <w:szCs w:val="2"/>
                <w:color w:val="auto"/>
              </w:rPr>
            </w:pPr>
          </w:p>
        </w:tc>
        <w:tc>
          <w:tcPr>
            <w:tcW w:w="9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9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93,410,563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187,656</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(701,305)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158,461</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(1,087,990)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(1,087,990)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interest rate caplets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15,788</w:t>
            </w:r>
          </w:p>
        </w:tc>
        <w:tc>
          <w:tcPr>
            <w:tcW w:w="0" w:type="dxa"/>
            <w:vAlign w:val="bottom"/>
          </w:tcPr>
          <w:p>
            <w:pPr>
              <w:spacing w:after="0"/>
              <w:rPr>
                <w:sz w:val="1"/>
                <w:szCs w:val="1"/>
                <w:color w:val="auto"/>
              </w:rPr>
            </w:pPr>
          </w:p>
        </w:tc>
      </w:tr>
      <w:tr>
        <w:trPr>
          <w:trHeight w:val="24"/>
        </w:trPr>
        <w:tc>
          <w:tcPr>
            <w:tcW w:w="3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92,484,542</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189,299</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(1,789,295)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4,864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166,822</w:t>
            </w:r>
          </w:p>
        </w:tc>
        <w:tc>
          <w:tcPr>
            <w:tcW w:w="0" w:type="dxa"/>
            <w:vAlign w:val="bottom"/>
          </w:tcPr>
          <w:p>
            <w:pPr>
              <w:spacing w:after="0"/>
              <w:rPr>
                <w:sz w:val="1"/>
                <w:szCs w:val="1"/>
                <w:color w:val="auto"/>
              </w:rPr>
            </w:pPr>
          </w:p>
        </w:tc>
      </w:tr>
      <w:tr>
        <w:trPr>
          <w:trHeight w:val="18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(2,326,413)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(2,326,413)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(25,498)</w:t>
            </w:r>
          </w:p>
        </w:tc>
        <w:tc>
          <w:tcPr>
            <w:tcW w:w="0" w:type="dxa"/>
            <w:vAlign w:val="bottom"/>
          </w:tcPr>
          <w:p>
            <w:pPr>
              <w:spacing w:after="0"/>
              <w:rPr>
                <w:sz w:val="1"/>
                <w:szCs w:val="1"/>
                <w:color w:val="auto"/>
              </w:rPr>
            </w:pPr>
          </w:p>
        </w:tc>
      </w:tr>
      <w:tr>
        <w:trPr>
          <w:trHeight w:val="20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Reissuance of treasury stock in business combination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515,622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515,622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6,289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2,281</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stock-based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85,580</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interest rate caplets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22,464</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90,759,331</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191,190</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(3,600,086)</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6,771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18,031</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173,875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208"/>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40" w:type="dxa"/>
            <w:vAlign w:val="bottom"/>
          </w:tcPr>
          <w:p>
            <w:pPr>
              <w:spacing w:after="0"/>
              <w:rPr>
                <w:sz w:val="20"/>
                <w:szCs w:val="20"/>
                <w:color w:val="auto"/>
              </w:rPr>
            </w:pPr>
          </w:p>
        </w:tc>
        <w:tc>
          <w:tcPr>
            <w:tcW w:w="19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Class A-1</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9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Comprehensive</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8"/>
                <w:szCs w:val="18"/>
                <w:color w:val="auto"/>
              </w:rPr>
            </w:pPr>
          </w:p>
        </w:tc>
        <w:tc>
          <w:tcPr>
            <w:tcW w:w="10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2"/>
                <w:szCs w:val="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9"/>
              </w:rPr>
              <w:t>Income</w:t>
            </w:r>
          </w:p>
        </w:tc>
        <w:tc>
          <w:tcPr>
            <w:tcW w:w="100" w:type="dxa"/>
            <w:vAlign w:val="bottom"/>
          </w:tcPr>
          <w:p>
            <w:pPr>
              <w:spacing w:after="0"/>
              <w:rPr>
                <w:sz w:val="2"/>
                <w:szCs w:val="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7"/>
              </w:rPr>
              <w:t>Deficit</w:t>
            </w:r>
          </w:p>
        </w:tc>
        <w:tc>
          <w:tcPr>
            <w:tcW w:w="140" w:type="dxa"/>
            <w:vAlign w:val="bottom"/>
          </w:tcPr>
          <w:p>
            <w:pPr>
              <w:spacing w:after="0"/>
              <w:rPr>
                <w:sz w:val="2"/>
                <w:szCs w:val="2"/>
                <w:color w:val="auto"/>
              </w:rPr>
            </w:pPr>
          </w:p>
        </w:tc>
        <w:tc>
          <w:tcPr>
            <w:tcW w:w="10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9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93,379,508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179,549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127,871</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investment in convertible notes</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93,379,508</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181,142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562</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(50,279)</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131,434</w:t>
            </w:r>
          </w:p>
        </w:tc>
        <w:tc>
          <w:tcPr>
            <w:tcW w:w="0" w:type="dxa"/>
            <w:vAlign w:val="bottom"/>
          </w:tcPr>
          <w:p>
            <w:pPr>
              <w:spacing w:after="0"/>
              <w:rPr>
                <w:sz w:val="1"/>
                <w:szCs w:val="1"/>
                <w:color w:val="auto"/>
              </w:rPr>
            </w:pPr>
          </w:p>
        </w:tc>
      </w:tr>
      <w:tr>
        <w:trPr>
          <w:trHeight w:val="18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281,245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0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2,148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investment in convertible notes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5,204</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12,445</w:t>
            </w:r>
          </w:p>
        </w:tc>
        <w:tc>
          <w:tcPr>
            <w:tcW w:w="0" w:type="dxa"/>
            <w:vAlign w:val="bottom"/>
          </w:tcPr>
          <w:p>
            <w:pPr>
              <w:spacing w:after="0"/>
              <w:rPr>
                <w:sz w:val="1"/>
                <w:szCs w:val="1"/>
                <w:color w:val="auto"/>
              </w:rPr>
            </w:pPr>
          </w:p>
        </w:tc>
      </w:tr>
      <w:tr>
        <w:trPr>
          <w:trHeight w:val="192"/>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93,660,753</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183,975</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5,766</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(37,834)</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151,916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jc w:val="center"/>
        <w:ind w:right="-999"/>
        <w:spacing w:after="0" w:line="228" w:lineRule="auto"/>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240"/>
          </w:cols>
          <w:pgMar w:left="320" w:top="121" w:right="1339" w:bottom="1440" w:gutter="0" w:footer="0" w:header="0"/>
        </w:sectPr>
      </w:pP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165100</wp:posOffset>
            </wp:positionV>
            <wp:extent cx="5862955" cy="143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2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65" w:lineRule="exact"/>
        <w:rPr>
          <w:sz w:val="20"/>
          <w:szCs w:val="20"/>
          <w:color w:val="auto"/>
        </w:rPr>
      </w:pPr>
    </w:p>
    <w:p>
      <w:pPr>
        <w:ind w:left="1460"/>
        <w:spacing w:after="0"/>
        <w:tabs>
          <w:tab w:leader="none" w:pos="7640" w:val="left"/>
        </w:tabs>
        <w:rPr>
          <w:sz w:val="20"/>
          <w:szCs w:val="20"/>
          <w:color w:val="auto"/>
        </w:rPr>
      </w:pPr>
      <w:r>
        <w:rPr>
          <w:rFonts w:ascii="Times New Roman" w:cs="Times New Roman" w:eastAsia="Times New Roman" w:hAnsi="Times New Roman"/>
          <w:sz w:val="14"/>
          <w:szCs w:val="14"/>
          <w:color w:val="auto"/>
        </w:rPr>
        <w:t>Net income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6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860" w:right="1060"/>
        <w:spacing w:after="0" w:line="336" w:lineRule="auto"/>
        <w:rPr>
          <w:sz w:val="20"/>
          <w:szCs w:val="20"/>
          <w:color w:val="auto"/>
        </w:rPr>
      </w:pPr>
      <w:r>
        <w:rPr>
          <w:rFonts w:ascii="Times New Roman" w:cs="Times New Roman" w:eastAsia="Times New Roman" w:hAnsi="Times New Roman"/>
          <w:sz w:val="14"/>
          <w:szCs w:val="14"/>
          <w:color w:val="auto"/>
        </w:rPr>
        <w:t>Amortization of route and customer acquisition costs and location contracts acquired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-1905</wp:posOffset>
            </wp:positionV>
            <wp:extent cx="586295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4"/>
          <w:szCs w:val="14"/>
          <w:color w:val="auto"/>
        </w:rPr>
        <w:t>(Gain) loss on change in fair value of contingent earnout shares</w:t>
      </w:r>
    </w:p>
    <w:p>
      <w:pPr>
        <w:spacing w:after="0" w:line="6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p>
      <w:pPr>
        <w:spacing w:after="0" w:line="51" w:lineRule="exact"/>
        <w:rPr>
          <w:sz w:val="20"/>
          <w:szCs w:val="20"/>
          <w:color w:val="auto"/>
        </w:rPr>
      </w:pPr>
    </w:p>
    <w:p>
      <w:pPr>
        <w:ind w:left="2020" w:right="120" w:hanging="158"/>
        <w:spacing w:after="0" w:line="251" w:lineRule="auto"/>
        <w:rPr>
          <w:sz w:val="20"/>
          <w:szCs w:val="20"/>
          <w:color w:val="auto"/>
        </w:rPr>
      </w:pPr>
      <w:r>
        <w:rPr>
          <w:rFonts w:ascii="Times New Roman" w:cs="Times New Roman" w:eastAsia="Times New Roman" w:hAnsi="Times New Roman"/>
          <w:sz w:val="14"/>
          <w:szCs w:val="14"/>
          <w:color w:val="auto"/>
        </w:rPr>
        <w:t>Net loss on write-off of route and customer acquisition costs and route and customer acquisition costs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2540</wp:posOffset>
            </wp:positionV>
            <wp:extent cx="5862955"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4"/>
          <w:szCs w:val="14"/>
          <w:color w:val="auto"/>
        </w:rPr>
        <w:t>Remeasurement of contingent consideration</w:t>
      </w:r>
    </w:p>
    <w:p>
      <w:pPr>
        <w:spacing w:after="0" w:line="5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Payments on consideration payable</w:t>
      </w:r>
    </w:p>
    <w:p>
      <w:pPr>
        <w:spacing w:after="0" w:line="38" w:lineRule="exact"/>
        <w:rPr>
          <w:sz w:val="20"/>
          <w:szCs w:val="20"/>
          <w:color w:val="auto"/>
        </w:rPr>
      </w:pPr>
    </w:p>
    <w:p>
      <w:pPr>
        <w:ind w:left="2020" w:right="220" w:hanging="158"/>
        <w:spacing w:after="0" w:line="251" w:lineRule="auto"/>
        <w:rPr>
          <w:sz w:val="20"/>
          <w:szCs w:val="20"/>
          <w:color w:val="auto"/>
        </w:rPr>
      </w:pPr>
      <w:r>
        <w:rPr>
          <w:rFonts w:ascii="Times New Roman" w:cs="Times New Roman" w:eastAsia="Times New Roman" w:hAnsi="Times New Roman"/>
          <w:sz w:val="14"/>
          <w:szCs w:val="14"/>
          <w:color w:val="auto"/>
        </w:rPr>
        <w:t>Accretion of interest on route and customer acquisition costs payable, contingent consideration, and contingent 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-207010</wp:posOffset>
            </wp:positionV>
            <wp:extent cx="5862955" cy="210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2955" cy="210820"/>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Changes in operating assets and liabilities:</w:t>
      </w:r>
    </w:p>
    <w:p>
      <w:pPr>
        <w:spacing w:after="0" w:line="6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6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Income taxes receivable</w:t>
      </w:r>
    </w:p>
    <w:p>
      <w:pPr>
        <w:spacing w:after="0" w:line="6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Route and customer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Route and customer acquisition costs payable</w:t>
      </w:r>
    </w:p>
    <w:p>
      <w:pPr>
        <w:spacing w:after="0" w:line="6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Accrued compensation and related expenses</w:t>
      </w:r>
    </w:p>
    <w:p>
      <w:pPr>
        <w:spacing w:after="0" w:line="6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5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2955" cy="151765"/>
                    </a:xfrm>
                    <a:prstGeom prst="rect">
                      <a:avLst/>
                    </a:prstGeom>
                    <a:noFill/>
                  </pic:spPr>
                </pic:pic>
              </a:graphicData>
            </a:graphic>
          </wp:anchor>
        </w:drawing>
      </w:r>
    </w:p>
    <w:p>
      <w:pPr>
        <w:spacing w:after="0" w:line="5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p>
      <w:pPr>
        <w:spacing w:after="0" w:line="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Purchases of property and equipment</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Business and asset acquisitions, net of cash acquired</w:t>
      </w:r>
    </w:p>
    <w:p>
      <w:pPr>
        <w:spacing w:after="0" w:line="6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40005</wp:posOffset>
            </wp:positionV>
            <wp:extent cx="586295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Payments on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Proceeds from delayed draw term loans</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Payments on delayed draw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Proceeds from line of credit</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Payments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Payments for repurchase of common stock</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Payments on interest rate caplets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Proceeds from exercise of stock options and warrants</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Payments on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Tax withholding on share-based payments</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11430</wp:posOffset>
            </wp:positionV>
            <wp:extent cx="16510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5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3"/>
              </w:rPr>
              <w:t>38,252</w:t>
            </w:r>
          </w:p>
        </w:tc>
        <w:tc>
          <w:tcPr>
            <w:tcW w:w="5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13,946</w:t>
            </w:r>
          </w:p>
        </w:tc>
      </w:tr>
      <w:tr>
        <w:trPr>
          <w:trHeight w:val="451"/>
        </w:trPr>
        <w:tc>
          <w:tcPr>
            <w:tcW w:w="5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3"/>
              </w:rPr>
              <w:t>12,439</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w:t>
            </w:r>
          </w:p>
        </w:tc>
      </w:tr>
      <w:tr>
        <w:trPr>
          <w:trHeight w:val="226"/>
        </w:trPr>
        <w:tc>
          <w:tcPr>
            <w:tcW w:w="5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7,122</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12,268</w:t>
            </w:r>
          </w:p>
        </w:tc>
      </w:tr>
      <w:tr>
        <w:trPr>
          <w:trHeight w:val="226"/>
        </w:trPr>
        <w:tc>
          <w:tcPr>
            <w:tcW w:w="5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1,194</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226"/>
        </w:trPr>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7"/>
              </w:rPr>
              <w:t>(9,139)</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w:t>
            </w:r>
          </w:p>
        </w:tc>
      </w:tr>
      <w:tr>
        <w:trPr>
          <w:trHeight w:val="226"/>
        </w:trPr>
        <w:tc>
          <w:tcPr>
            <w:tcW w:w="5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3,886</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w:t>
            </w:r>
          </w:p>
        </w:tc>
      </w:tr>
    </w:tbl>
    <w:p>
      <w:pPr>
        <w:spacing w:after="0" w:line="42" w:lineRule="exact"/>
        <w:rPr>
          <w:sz w:val="20"/>
          <w:szCs w:val="20"/>
          <w:color w:val="auto"/>
        </w:rPr>
      </w:pPr>
    </w:p>
    <w:p>
      <w:pPr>
        <w:ind w:left="1840" w:hanging="143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372</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288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26"/>
        </w:trPr>
        <w:tc>
          <w:tcPr>
            <w:tcW w:w="9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97"/>
              </w:rPr>
              <w:t>(1,143)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r>
      <w:tr>
        <w:trPr>
          <w:trHeight w:val="212"/>
        </w:trPr>
        <w:tc>
          <w:tcPr>
            <w:tcW w:w="9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97"/>
              </w:rPr>
              <w:t>(1,649)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318"/>
        </w:trPr>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1,402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226"/>
        </w:trPr>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7,199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r>
    </w:tbl>
    <w:p>
      <w:pPr>
        <w:spacing w:after="0" w:line="267" w:lineRule="exact"/>
        <w:rPr>
          <w:sz w:val="20"/>
          <w:szCs w:val="20"/>
          <w:color w:val="auto"/>
        </w:rPr>
      </w:pPr>
    </w:p>
    <w:p>
      <w:pPr>
        <w:ind w:left="1840" w:hanging="1432"/>
        <w:spacing w:after="0"/>
        <w:tabs>
          <w:tab w:leader="none" w:pos="1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146</w:t>
      </w:r>
    </w:p>
    <w:p>
      <w:pPr>
        <w:spacing w:after="0" w:line="65" w:lineRule="exact"/>
        <w:rPr>
          <w:sz w:val="20"/>
          <w:szCs w:val="20"/>
          <w:color w:val="auto"/>
        </w:rPr>
      </w:pPr>
    </w:p>
    <w:p>
      <w:pPr>
        <w:ind w:left="1660" w:hanging="1193"/>
        <w:spacing w:after="0"/>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(3,257)</w:t>
      </w:r>
    </w:p>
    <w:p>
      <w:pPr>
        <w:spacing w:after="0" w:line="64" w:lineRule="exact"/>
        <w:rPr>
          <w:rFonts w:ascii="Times New Roman" w:cs="Times New Roman" w:eastAsia="Times New Roman" w:hAnsi="Times New Roman"/>
          <w:sz w:val="14"/>
          <w:szCs w:val="14"/>
          <w:color w:val="auto"/>
        </w:rPr>
      </w:pPr>
    </w:p>
    <w:p>
      <w:pPr>
        <w:ind w:left="1900" w:hanging="1433"/>
        <w:spacing w:after="0"/>
        <w:tabs>
          <w:tab w:leader="none" w:pos="1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65"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(1,475)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r>
      <w:tr>
        <w:trPr>
          <w:trHeight w:val="212"/>
        </w:trPr>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(2,612)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r>
      <w:tr>
        <w:trPr>
          <w:trHeight w:val="226"/>
        </w:trPr>
        <w:tc>
          <w:tcPr>
            <w:tcW w:w="9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750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26"/>
        </w:trPr>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6"/>
              </w:rPr>
              <w:t>(12,679)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r>
      <w:tr>
        <w:trPr>
          <w:trHeight w:val="226"/>
        </w:trPr>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(1,450)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r>
    </w:tbl>
    <w:p>
      <w:pPr>
        <w:spacing w:after="0" w:line="42" w:lineRule="exact"/>
        <w:rPr>
          <w:sz w:val="20"/>
          <w:szCs w:val="20"/>
          <w:color w:val="auto"/>
        </w:rPr>
      </w:pPr>
    </w:p>
    <w:p>
      <w:pPr>
        <w:ind w:left="1900" w:hanging="1492"/>
        <w:spacing w:after="0"/>
        <w:tabs>
          <w:tab w:leader="none" w:pos="1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w:t>
      </w:r>
    </w:p>
    <w:p>
      <w:pPr>
        <w:spacing w:after="0" w:line="77" w:lineRule="exact"/>
        <w:rPr>
          <w:rFonts w:ascii="Times New Roman" w:cs="Times New Roman" w:eastAsia="Times New Roman" w:hAnsi="Times New Roman"/>
          <w:sz w:val="14"/>
          <w:szCs w:val="14"/>
          <w:color w:val="auto"/>
        </w:rPr>
      </w:pPr>
    </w:p>
    <w:p>
      <w:pPr>
        <w:ind w:left="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41,211</w:t>
      </w:r>
      <w:r>
        <w:rPr>
          <w:rFonts w:ascii="Times New Roman" w:cs="Times New Roman" w:eastAsia="Times New Roman" w:hAnsi="Times New Roman"/>
          <w:sz w:val="13"/>
          <w:szCs w:val="13"/>
          <w:color w:val="auto"/>
        </w:rPr>
        <w:t>54,158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38735</wp:posOffset>
            </wp:positionV>
            <wp:extent cx="1651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270"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(13,221)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0" w:type="dxa"/>
            <w:vAlign w:val="bottom"/>
          </w:tcPr>
          <w:p>
            <w:pPr>
              <w:spacing w:after="0"/>
              <w:rPr>
                <w:sz w:val="1"/>
                <w:szCs w:val="1"/>
                <w:color w:val="auto"/>
              </w:rPr>
            </w:pPr>
          </w:p>
        </w:tc>
      </w:tr>
      <w:tr>
        <w:trPr>
          <w:trHeight w:val="226"/>
        </w:trPr>
        <w:tc>
          <w:tcPr>
            <w:tcW w:w="7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1,406</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26"/>
        </w:trPr>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8"/>
              </w:rPr>
              <w:t>(125,452)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0" w:type="dxa"/>
            <w:vAlign w:val="bottom"/>
          </w:tcPr>
          <w:p>
            <w:pPr>
              <w:spacing w:after="0"/>
              <w:rPr>
                <w:sz w:val="1"/>
                <w:szCs w:val="1"/>
                <w:color w:val="auto"/>
              </w:rPr>
            </w:pPr>
          </w:p>
        </w:tc>
      </w:tr>
      <w:tr>
        <w:trPr>
          <w:trHeight w:val="38"/>
        </w:trPr>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98"/>
              </w:rPr>
              <w:t>(137,267)</w:t>
            </w: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40" w:type="dxa"/>
            <w:vAlign w:val="bottom"/>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(13,758)</w:t>
            </w:r>
          </w:p>
        </w:tc>
        <w:tc>
          <w:tcPr>
            <w:tcW w:w="0" w:type="dxa"/>
            <w:vAlign w:val="bottom"/>
          </w:tcPr>
          <w:p>
            <w:pPr>
              <w:spacing w:after="0"/>
              <w:rPr>
                <w:sz w:val="1"/>
                <w:szCs w:val="1"/>
                <w:color w:val="auto"/>
              </w:rPr>
            </w:pPr>
          </w:p>
        </w:tc>
      </w:tr>
      <w:tr>
        <w:trPr>
          <w:trHeight w:val="38"/>
        </w:trPr>
        <w:tc>
          <w:tcPr>
            <w:tcW w:w="7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7"/>
        </w:trPr>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(13,125)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26"/>
        </w:trPr>
        <w:tc>
          <w:tcPr>
            <w:tcW w:w="7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100,000</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6"/>
        </w:trPr>
        <w:tc>
          <w:tcPr>
            <w:tcW w:w="7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0" w:type="dxa"/>
            <w:vAlign w:val="bottom"/>
          </w:tcPr>
          <w:p>
            <w:pPr>
              <w:spacing w:after="0"/>
              <w:rPr>
                <w:sz w:val="1"/>
                <w:szCs w:val="1"/>
                <w:color w:val="auto"/>
              </w:rPr>
            </w:pPr>
          </w:p>
        </w:tc>
      </w:tr>
      <w:tr>
        <w:trPr>
          <w:trHeight w:val="226"/>
        </w:trPr>
        <w:tc>
          <w:tcPr>
            <w:tcW w:w="7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69,000</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-851535</wp:posOffset>
            </wp:positionV>
            <wp:extent cx="78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—(29,000)</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(36,931)—</w:t>
      </w:r>
    </w:p>
    <w:p>
      <w:pPr>
        <w:spacing w:after="0" w:line="65" w:lineRule="exact"/>
        <w:rPr>
          <w:sz w:val="20"/>
          <w:szCs w:val="20"/>
          <w:color w:val="auto"/>
        </w:rPr>
      </w:pPr>
    </w:p>
    <w:p>
      <w:pPr>
        <w:ind w:left="1900" w:hanging="1492"/>
        <w:spacing w:after="0"/>
        <w:tabs>
          <w:tab w:leader="none" w:pos="1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9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353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226"/>
        </w:trPr>
        <w:tc>
          <w:tcPr>
            <w:tcW w:w="9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7"/>
              </w:rPr>
              <w:t>(1,406)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r>
    </w:tbl>
    <w:p>
      <w:pPr>
        <w:spacing w:after="0" w:line="42" w:lineRule="exact"/>
        <w:rPr>
          <w:sz w:val="20"/>
          <w:szCs w:val="20"/>
          <w:color w:val="auto"/>
        </w:rPr>
      </w:pPr>
    </w:p>
    <w:p>
      <w:pPr>
        <w:ind w:left="1900" w:hanging="1421"/>
        <w:spacing w:after="0"/>
        <w:tabs>
          <w:tab w:leader="none" w:pos="1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ectPr>
          <w:pgSz w:w="11900" w:h="16838" w:orient="portrait"/>
          <w:cols w:equalWidth="0" w:num="2">
            <w:col w:w="7720" w:space="400"/>
            <w:col w:w="2120"/>
          </w:cols>
          <w:pgMar w:left="320" w:top="121" w:right="1339" w:bottom="1440" w:gutter="0" w:footer="0" w:header="0"/>
          <w:type w:val="continuous"/>
        </w:sectPr>
      </w:pPr>
    </w:p>
    <w:tbl>
      <w:tblPr>
        <w:tblLayout w:type="fixed"/>
        <w:tblInd w:w="1020" w:type="dxa"/>
        <w:tblCellMar>
          <w:top w:w="0" w:type="dxa"/>
          <w:left w:w="0" w:type="dxa"/>
          <w:bottom w:w="0" w:type="dxa"/>
          <w:right w:w="0" w:type="dxa"/>
        </w:tblCellMar>
      </w:tblPr>
      <w:tr>
        <w:trPr>
          <w:trHeight w:val="219"/>
        </w:trPr>
        <w:tc>
          <w:tcPr>
            <w:tcW w:w="6620" w:type="dxa"/>
            <w:vAlign w:val="bottom"/>
            <w:tcBorders>
              <w:bottom w:val="single" w:sz="8" w:color="CCEEFF"/>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117,438</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3,657</w:t>
            </w:r>
          </w:p>
        </w:tc>
      </w:tr>
      <w:tr>
        <w:trPr>
          <w:trHeight w:val="192"/>
        </w:trPr>
        <w:tc>
          <w:tcPr>
            <w:tcW w:w="662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21,382</w:t>
            </w: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44,057</w:t>
            </w:r>
          </w:p>
        </w:tc>
      </w:tr>
      <w:tr>
        <w:trPr>
          <w:trHeight w:val="188"/>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6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6"/>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Beginning of period</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198,786</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134,451</w:t>
            </w:r>
          </w:p>
        </w:tc>
      </w:tr>
      <w:tr>
        <w:trPr>
          <w:trHeight w:val="213"/>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End of period</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220,168</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178,508</w:t>
            </w:r>
          </w:p>
        </w:tc>
      </w:tr>
      <w:tr>
        <w:trPr>
          <w:trHeight w:val="25"/>
        </w:trPr>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40"/>
          </w:cols>
          <w:pgMar w:left="320" w:top="121"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1" w:right="1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jc w:val="center"/>
        <w:ind w:right="-999"/>
        <w:spacing w:after="0" w:line="21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2540</wp:posOffset>
            </wp:positionV>
            <wp:extent cx="5862955" cy="160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2955" cy="160020"/>
                    </a:xfrm>
                    <a:prstGeom prst="rect">
                      <a:avLst/>
                    </a:prstGeom>
                    <a:noFill/>
                  </pic:spPr>
                </pic:pic>
              </a:graphicData>
            </a:graphic>
          </wp:anchor>
        </w:drawing>
      </w:r>
    </w:p>
    <w:p>
      <w:pPr>
        <w:spacing w:after="0" w:line="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p>
      <w:pPr>
        <w:spacing w:after="0" w:line="91"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payments for:</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6,268</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6,049</w:t>
            </w:r>
          </w:p>
        </w:tc>
      </w:tr>
      <w:tr>
        <w:trPr>
          <w:trHeight w:val="214"/>
        </w:trPr>
        <w:tc>
          <w:tcPr>
            <w:tcW w:w="6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Income taxes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6,228</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651</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schedules of noncash investing and 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1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liabilities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8,079</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2,608</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premium on interest rate caplets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3,504</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Fair value of treasury stock issued in business combination</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5,584</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treasury shares in accounts payable and accrued expense</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14"/>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businesses and assets: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identifiable net assets acquired</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164,265</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3,334</w:t>
            </w:r>
          </w:p>
        </w:tc>
      </w:tr>
      <w:tr>
        <w:trPr>
          <w:trHeight w:val="21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cash acquired</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Less consideration payable</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4"/>
        </w:trPr>
        <w:tc>
          <w:tcPr>
            <w:tcW w:w="6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fair value of treasury stock issued</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w:t>
            </w:r>
          </w:p>
        </w:tc>
      </w:tr>
      <w:tr>
        <w:trPr>
          <w:trHeight w:val="38"/>
        </w:trPr>
        <w:tc>
          <w:tcPr>
            <w:tcW w:w="66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purchase price</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125,452</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1" w:right="1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ACCEL ENTERTAINMENT,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66" w:lineRule="exact"/>
        <w:rPr>
          <w:sz w:val="20"/>
          <w:szCs w:val="20"/>
          <w:color w:val="auto"/>
        </w:rPr>
      </w:pPr>
    </w:p>
    <w:p>
      <w:pPr>
        <w:jc w:val="both"/>
        <w:ind w:firstLine="318"/>
        <w:spacing w:after="0" w:line="315" w:lineRule="auto"/>
        <w:rPr>
          <w:sz w:val="20"/>
          <w:szCs w:val="20"/>
          <w:color w:val="auto"/>
        </w:rPr>
      </w:pPr>
      <w:r>
        <w:rPr>
          <w:rFonts w:ascii="Times New Roman" w:cs="Times New Roman" w:eastAsia="Times New Roman" w:hAnsi="Times New Roman"/>
          <w:sz w:val="17"/>
          <w:szCs w:val="17"/>
          <w:color w:val="auto"/>
        </w:rPr>
        <w:t>Accel Entertainment, Inc.'s (and together with its subsidiaries, the “Company” or “Accel”) wholly owned subsidiary, Accel Entertainment Gaming LLC, is a terminal operator in various jurisdictions in the United States. The Company has been licensed by the State of Illinois Gaming Board (“IGB”) since March 15, 2012. Its Illinois terminal operator license allows the Company to install and operate gaming terminals in licensed video gaming locations throughout the State of Illinois as approved by individual municipalities. The Illinois terminal operator license, which is not transferable or assignable, requires compliance with applicable regulations and the license is renewable annually unless sooner cancelled or terminated. In July 2020, the Georgia Lottery Corporation approved one of the Company's consolidated subsidiaries as a licensed operator, or Master Licensee, which allows the Company to install and operate coin operated amusement machines for commercial use by the public for play throughout the State of Georgia. The Company also holds a license from the Pennsylvania Gaming Control Board. On December 30, 2021, one of the Company's consolidated subsidiaries acquired amusement and automated teller machines (“ATMs”) operations in Iowa and registered with the Iowa Department of Inspections and Appeals to conduct such operations in Iowa. On June 1, 2022, the Company acquired Century Gaming, Inc. (“Century”), which is a leading distributed gaming operator in the Montana and Nevada gaming markets. Century is also a manufacturer of gaming terminals in the Montana, Nevada, South Dakota, Louisiana and West Virginia markets. In connection with the acquisition, Accel was granted a two-year terminal operator license by the Nevada Gaming Commission and a manufacturer, distributor and route operator license by the Gambling Control Division of the Montana Department of Justice through June 2023. The Montana license is renewable annually. In June 2022, the Company became a licensed distributor of mechanical amusement devices (“MADs”) in Nebraska and commenced operations in this market. The Company also operates redemption terminals, which also function as ATMs at its licensed video gaming locations, and amusement equipment at certain locations. The Company is also subject to various other federal, state and local laws and regulations in addition to gaming regulations.</w:t>
      </w:r>
    </w:p>
    <w:p>
      <w:pPr>
        <w:spacing w:after="0" w:line="12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Company is an emerging growth company (“EGC”) under the Jumpstart Our Business Startups Act of 2012 (“JOBS Act”) following the consummation of a reverse recapitalization that occurred on November 20, 2019. The Company has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expects to remain an EGC until December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the Condensed Consolidated Financial Statements</w:t>
      </w:r>
    </w:p>
    <w:p>
      <w:pPr>
        <w:spacing w:after="0" w:line="18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ongoing COVID-19 outbreak and its related variants are having a significant impact on global markets as a result of prior and current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12"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A surge of COVID-19 infections occurred in the fall of 2020, as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 Given the staggered reopening by region in January of 2021, the temporary shutdown impacted, on average, 18 of the 181 gaming days (or 10% of gaming days) during the six</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months ended June 30, 2021. In light of these events and their effect on the Company’s employees and licensed establishment partners, the Company took action to help mitigate the potential effects caused by the temporary cessation of operations by furloughing idle staff as appropriate and deferring certain payments to major vendors.</w:t>
      </w:r>
    </w:p>
    <w:p>
      <w:pPr>
        <w:spacing w:after="0" w:line="124"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As a result of these developments, the Company's revenues, results of operations and cash flows were materially affected for the six months ended June 30, 2021.</w:t>
      </w:r>
    </w:p>
    <w:p>
      <w:pPr>
        <w:spacing w:after="0" w:line="125"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While variants of COVID-19 continue to impact infection rates and the healthcare system, it is possible that the regulating bodies or the states in which we operate may order future shutdowns, or a complete suspension of video gaming in the state, or institute stay-at-home, closure or other similar orders or measures in the future in response to COVID-19 and its related variants. If this were to occur, the Company could recognize impairment losses which could be material.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 The condensed consolidated financial statements and accompanying notes were prepared in conformity with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accounting principles (“GAAP”) and the rules and regulations of the Securities and Exchange Commission (“SEC”). The condensed consolidated financial statements include the accounts of the Company and of its wholly owned subsidiaries. All significant intercompany balances and transactions have been eliminated in consolidation. Certain prior period amounts have been reclassified to conform to the current period presentation.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2021 (the “Form 10-K”).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w:t>
      </w:r>
    </w:p>
    <w:p>
      <w:pPr>
        <w:spacing w:after="0" w:line="11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Use of estimates</w:t>
      </w:r>
      <w:r>
        <w:rPr>
          <w:rFonts w:ascii="Times New Roman" w:cs="Times New Roman" w:eastAsia="Times New Roman" w:hAnsi="Times New Roman"/>
          <w:sz w:val="17"/>
          <w:szCs w:val="17"/>
          <w:color w:val="auto"/>
        </w:rPr>
        <w:t>: The preparation of condensed consolidated financial statements requires management to make estimates and assumptions that affect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amounts of assets and liabilities, (ii) disclosure of contingent assets and liabilities at the date of the condensed consolidated financial statements and</w:t>
      </w:r>
    </w:p>
    <w:p>
      <w:pPr>
        <w:spacing w:after="0" w:line="1" w:lineRule="exact"/>
        <w:rPr>
          <w:sz w:val="20"/>
          <w:szCs w:val="20"/>
          <w:color w:val="auto"/>
        </w:rPr>
      </w:pPr>
    </w:p>
    <w:p>
      <w:pPr>
        <w:jc w:val="both"/>
        <w:ind w:firstLine="6"/>
        <w:spacing w:after="0" w:line="313" w:lineRule="auto"/>
        <w:tabs>
          <w:tab w:leader="none" w:pos="3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certain intangible and tangible assets in conjunction with business acquisitions, the selection of useful lives for depreciable and amortizable assets in conjunction with business combinations, the valuation of level 3 investments, the</w:t>
      </w:r>
    </w:p>
    <w:p>
      <w:pPr>
        <w:spacing w:after="0" w:line="1" w:lineRule="exact"/>
        <w:rPr>
          <w:rFonts w:ascii="Times New Roman" w:cs="Times New Roman" w:eastAsia="Times New Roman" w:hAnsi="Times New Roman"/>
          <w:sz w:val="17"/>
          <w:szCs w:val="17"/>
          <w:color w:val="auto"/>
        </w:rPr>
      </w:pPr>
    </w:p>
    <w:p>
      <w:pPr>
        <w:jc w:val="both"/>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valuation of contingent earnout shares and interest rate caplets, contingencies, and the expected term of share- based compensation awards and stock price volatility when computing share-based compensation expense. The contingent consideration in a business combination is measured at its fair value on the acquisition date, recorded as a liability and accreted over its payment term in Accel’s condensed consolidated statements of operations and comprehensive income as other expenses, net. Location contract intangibles are generally measured at fair value using an income approach which measures the fair value based on the estimated future cash flows using certain projected financial information such as revenue and costs projections and other assumptions such as</w:t>
      </w:r>
    </w:p>
    <w:p>
      <w:pPr>
        <w:spacing w:after="0" w:line="1" w:lineRule="exact"/>
        <w:rPr>
          <w:rFonts w:ascii="Times New Roman" w:cs="Times New Roman" w:eastAsia="Times New Roman" w:hAnsi="Times New Roman"/>
          <w:sz w:val="17"/>
          <w:szCs w:val="17"/>
          <w:color w:val="auto"/>
        </w:rPr>
      </w:pPr>
    </w:p>
    <w:p>
      <w:pPr>
        <w:jc w:val="both"/>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estimated attrition rates and discount rates. Acquired tangible personal property such as gaming equipment is generally measured at fair value using a cost approach which measures the fair value based on the cost to reproduce or replace the asset. Goodwill is measured as the excess of the consideration transferred over the fair value of the net identifiable assets acquired and liabilities assumed.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Change in estimate: </w:t>
      </w:r>
      <w:r>
        <w:rPr>
          <w:rFonts w:ascii="Times New Roman" w:cs="Times New Roman" w:eastAsia="Times New Roman" w:hAnsi="Times New Roman"/>
          <w:sz w:val="18"/>
          <w:szCs w:val="18"/>
          <w:color w:val="auto"/>
        </w:rPr>
        <w:t>During the fourth quarter of 2021, the Company conducted a review of its estimate of depreciable lives for its gaming terminals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As a result of this review, the Company extended the useful lives of its gaming terminals and equipment from 10 years to 13 years as the equipment is lasting longer than originally estimated. The Company has many gaming terminals and equipment that were purchased when the Company started operations in 2012 that are still being used today.</w:t>
      </w:r>
    </w:p>
    <w:p>
      <w:pPr>
        <w:spacing w:after="0" w:line="2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 In both cases the extended useful lives reflect the Company's strong relationship with its licensed establishment partners as demonstrated by continued high contract renewal rates.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these changes in estimate for the three and six months ended June 30, 2022, was as follows (in thousands):</w:t>
      </w:r>
    </w:p>
    <w:p>
      <w:pPr>
        <w:spacing w:after="0" w:line="298" w:lineRule="exact"/>
        <w:rPr>
          <w:sz w:val="20"/>
          <w:szCs w:val="20"/>
          <w:color w:val="auto"/>
        </w:rPr>
      </w:pPr>
    </w:p>
    <w:tbl>
      <w:tblPr>
        <w:tblLayout w:type="fixed"/>
        <w:tblInd w:w="174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6"/>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9"/>
                <w:szCs w:val="19"/>
                <w:color w:val="auto"/>
              </w:rPr>
            </w:pPr>
          </w:p>
        </w:tc>
        <w:tc>
          <w:tcPr>
            <w:tcW w:w="13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38"/>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Decrease to depreciation expense</w:t>
            </w: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5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to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0" w:type="dxa"/>
            <w:vAlign w:val="bottom"/>
          </w:tcPr>
          <w:p>
            <w:pPr>
              <w:spacing w:after="0"/>
              <w:rPr>
                <w:sz w:val="1"/>
                <w:szCs w:val="1"/>
                <w:color w:val="auto"/>
              </w:rPr>
            </w:pPr>
          </w:p>
        </w:tc>
      </w:tr>
      <w:tr>
        <w:trPr>
          <w:trHeight w:val="24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to net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6"/>
        </w:trPr>
        <w:tc>
          <w:tcPr>
            <w:tcW w:w="4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 The Company operates as a single reportable operating segment. The Company’s chief operating decision maker (“CODM”)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who has ultimate responsibility for the operating performance of the Company and the allocation of resources. The CODM assesses the Company’s performance and allocates resources based on consolidated results, and while revenue information by state exists, the Company has determined consolidated information is the only discrete financial information that is regularly reviewed by the CODM.</w:t>
      </w:r>
    </w:p>
    <w:p>
      <w:pPr>
        <w:spacing w:after="0" w:line="12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represent amounts due from third-party locations serviced by the Company and amounts due for machines,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and equipment sold by the Company. The carrying amount of receivables is reduced by a valuation allowance that reflects management’s best estimate of the amounts that will not be collected. Management determines the allowance for doubtful accounts by regularly evaluating individual customer receivables and considering a customer’s financial condition, credit history and current economic conditions. The Company generally does not charge interest on past due accounts receivable.</w:t>
      </w:r>
    </w:p>
    <w:p>
      <w:pPr>
        <w:spacing w:after="0" w:line="12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consist of gaming machines, raw materials, and manufacturing supplies. Inventories are stated at the lower of average cost and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(generally, estimated selling price). Labor and overhead associated with the assembly of gaming machines are capitalized and allocated to inventory.</w:t>
      </w:r>
    </w:p>
    <w:p>
      <w:pPr>
        <w:spacing w:after="0" w:line="11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Company may manage its exposure to certain financial risks through the use of derivative financial instruments (“derivatives”).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w:t>
      </w:r>
    </w:p>
    <w:p>
      <w:pPr>
        <w:spacing w:after="0" w:line="12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generates revenues from the following types of services: gaming terminals, amusements, and ATMs. It also generates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revenue from the sales of gaming terminals and associated software by Grand Vision Gaming, a wholly-owned subsidiary of Century, which is a designer and manufacturer of Class III gaming terminals. Revenue is disaggregated by type of revenue and is presented on the face of the condensed consolidated statements of operations and comprehensive income.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revenue represents the sale of gaming terminals and is recognized at the time the goods are provided to the customer.</w:t>
      </w:r>
    </w:p>
    <w:p>
      <w:pPr>
        <w:spacing w:after="0" w:line="2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Revenue is disaggregated in the following table by the primary states in which the Company operates given the geographic economic factors that affect the revenues in the states.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7"/>
                <w:szCs w:val="17"/>
                <w:color w:val="auto"/>
              </w:rPr>
            </w:pPr>
          </w:p>
        </w:tc>
        <w:tc>
          <w:tcPr>
            <w:tcW w:w="13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r>
      <w:tr>
        <w:trPr>
          <w:trHeight w:val="38"/>
        </w:trPr>
        <w:tc>
          <w:tcPr>
            <w:tcW w:w="34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34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5"/>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 by state:</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0"/>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Illinois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205,962</w:t>
            </w:r>
          </w:p>
        </w:tc>
        <w:tc>
          <w:tcPr>
            <w:tcW w:w="14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200,878</w:t>
            </w:r>
          </w:p>
        </w:tc>
        <w:tc>
          <w:tcPr>
            <w:tcW w:w="16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400,821</w:t>
            </w:r>
          </w:p>
        </w:tc>
        <w:tc>
          <w:tcPr>
            <w:tcW w:w="16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347,006</w:t>
            </w:r>
          </w:p>
        </w:tc>
      </w:tr>
      <w:tr>
        <w:trPr>
          <w:trHeight w:val="26"/>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3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Nevada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8,920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Montana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10,825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5"/>
        </w:trPr>
        <w:tc>
          <w:tcPr>
            <w:tcW w:w="3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4,194</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3"/>
        </w:trPr>
        <w:tc>
          <w:tcPr>
            <w:tcW w:w="3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227,869</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201,974</w:t>
            </w:r>
          </w:p>
        </w:tc>
        <w:tc>
          <w:tcPr>
            <w:tcW w:w="16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424,760</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349,043</w:t>
            </w:r>
          </w:p>
        </w:tc>
      </w:tr>
      <w:tr>
        <w:trPr>
          <w:trHeight w:val="26"/>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February 2016, the Financial Accounting Standards Board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guidance in this ASU supersedes the leasing guidance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July 2018, the FASB also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provides an optional transition method allowing the standard to be applied at the adoption date.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Based on its status as an EGC, the Company expects the new standard will be effective for the Company's fiscal year beginning after December 15, 2021.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assessing the impact of the standard on its condensed consolidated financial statements, as well as evaluating the impact on arrangements within potential future acquisitions.</w:t>
      </w:r>
    </w:p>
    <w:p>
      <w:pPr>
        <w:spacing w:after="0" w:line="12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 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Accounting Standards Codification ("ASC") 606 as if it had originated the contracts. The standard is effective for fiscal years beginning after December 15, 2022, and interim periods within those fiscal years with early adoption permitted. The Company does not expect the impact of the adoption of this ASU to be material to its financial statements or disclosures.</w:t>
      </w:r>
    </w:p>
    <w:p>
      <w:pPr>
        <w:spacing w:after="0" w:line="10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This ASU provides temporary guidance to ease the potential burden in accounting for reference rate reform primarily resulting from the discontinuation of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An entity may elect to apply the amendments prospectively from March 12, 2020, through December 31, 2022 by accounting topic. The Company currently references LIBOR for certain debt and hedging arrangements. While no material impacts are expected from the transition from LIBOR, the Company will continue to evaluate the provisions of this ASU and the impacts of transitioning to an alternative rate.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 (in thousands):</w:t>
      </w:r>
    </w:p>
    <w:p>
      <w:pPr>
        <w:spacing w:after="0" w:line="264"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38"/>
        </w:trPr>
        <w:tc>
          <w:tcPr>
            <w:tcW w:w="65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9"/>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manufacturing supplies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4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6"/>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6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Company recently completed a fair value purchase price allocation and recorded inventory at fair value (see Note 10). Accordingly at June 30, 2022 no inventory valuation allowance was determined to be necessary.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in Convertible Notes</w:t>
      </w:r>
    </w:p>
    <w:p>
      <w:pPr>
        <w:spacing w:after="0" w:line="193"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On July 19, 2019, the Company entered into an agreement to purchase up to $30.0 million in convertible notes from Gold Rush Amusements, Inc. (“Gold Rush”), another terminal operator in Illinois, that bore interest at 3% per annum through December 31, 2021. The convertible notes each included an option to convert the notes to common stock of Gold Rush prior to the maturity date upon written notice from the Company. At closing, the Company purchased a $5.0 million convertible promissory note which was subordinated to Gold Rush’s credit facility and matured six months following the satisfaction of administrative conditions.</w:t>
      </w:r>
    </w:p>
    <w:p>
      <w:pPr>
        <w:spacing w:after="0" w:line="12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October 11, 2019, the Company purchased an additional $25.0 million convertible note which was also subordinated to Gold Rush’s credit facility and, beginning on July 1, 2020, the balance of this note, if not previously converted, was payable in equal $1,000,000 monthly installments until all principal has been repaid in full.</w:t>
      </w:r>
    </w:p>
    <w:p>
      <w:pPr>
        <w:spacing w:after="0" w:line="13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July 30, 2020, the Company and Gold Rush entered into the Omnibus Amendment (the “Amendment”) to the original agreement to purchase convertible notes from Gold Rush. The Amendment, among other things, extended the maturity date of the $5.0 million convertible note and the beginning of the payback period for the $25.0 million convertible note until December 31, 2020.</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March 9, 2021, the Company and Gold Rush entered into the Second Omnibus Amendment (the “Second Amendment”) to both of the convertible notes and the agreement to purchase the convertible notes. The Second Amendment, among other things, extended the December 31, 2020, maturity and conversion feature of the $5.0 million convertible note to December 31, 2021, the maturity and conversion feature of the $25.0 million convertible note to June 1, 2024 and the beginning of the payback period for the $25.0 million convertible note from December 31, 2020 to January 1, 2022.</w:t>
      </w:r>
    </w:p>
    <w:p>
      <w:pPr>
        <w:spacing w:after="0" w:line="125"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July 30, 2021, the Company provided notice to Gold Rush that it was exercising its rights under each of the convertible notes to convert the entire aggregate principal amount and accrued interest into common stock of Gold Rush, subject to approval from the IGB to transfer the common stock to the Company and receipt of other customary closing deliverables.</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December 2, 2021, the Company received notice from the administrator of the IGB that he was denying the requested transfer of Gold Rush common stock to the Company. The Company disagreed with the administrator’s ruling and requested that the matter be put before the IGB for a public vote. On January 27, 2022, the IGB affirmed the administrator’s denial. Although the Company is pursuing all administrative remedies available to contest the IGB’s ruling, this denial has impacted the conversion assumptions previously used in the accounting valuation of the convertible notes.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April 22, 2022, the Company filed a petition in the Circuit Court of Cook County, Illinois to judicially review the IGB's decision to deny the requested transfer of Gold Rush common stock in respect of the Company's conversion of its convertible notes.</w:t>
      </w:r>
    </w:p>
    <w:p>
      <w:pPr>
        <w:spacing w:after="0" w:line="125"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The Company intends to vigorously defend itself against the allegations in the complaint and denies any allegations of wrongdoing.</w:t>
      </w:r>
    </w:p>
    <w:p>
      <w:pPr>
        <w:spacing w:after="0" w:line="142"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Based on the IGB denying the Company’s request to transfer Gold Rush common stock despite the Company’s unilateral conversion rights, the convertible notes continue to be accounted for as available for sale debt securities, at fair value, with gains and losses recorded in other comprehensive income. As of the filing of the financial statements, the Gold Rush convertible notes (which the Company converted under the terms of the convertible notes to shares of common stock of Gold Rush, but the IGB has currently denied the distribution of shares to the Company) are deemed in default for disclosure and presentation purposes, assuming non-conversion of the convertible notes, as no repayment or installment payments have been received. The Company has classified the entire $32.1 million accounting fair value, of the convertible notes as current on the condensed consolidated balance sheets as the Company hopes to resolve this matter within the next year. The Company did not further adjust the valuation of the convertible notes downward as the Company believes, assuming for accounting purposes that the notes have not been converted, the recorded amounts approximate the accounting fair value. If successful, the Company's legal remedies with respect to its rights to receive the Gold Rush common stock or equivalent amounts it is entitled to receive with respect to the convertible notes could be materially in excess of the current accounting fair value. The Company recognized within comprehensive income an unrealized gain of $5.2 million and $5.7 million, net of income taxes, for the three and six months ended June 30, 2021, related to the valuation of the convertible notes. For more information on how the Company determined the fair value of the convertible notes, see Note 13.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 of the following at June 30, 2022 and December 31, 2021 (in thousands):</w:t>
      </w:r>
    </w:p>
    <w:p>
      <w:pPr>
        <w:spacing w:after="0" w:line="132"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terminals and equipment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225,692</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Amusement and other equipment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18,547</w:t>
            </w:r>
          </w:p>
        </w:tc>
      </w:tr>
      <w:tr>
        <w:trPr>
          <w:trHeight w:val="26"/>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1,731</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14,319</w:t>
            </w:r>
          </w:p>
        </w:tc>
      </w:tr>
      <w:tr>
        <w:trPr>
          <w:trHeight w:val="26"/>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4,127</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11,518</w:t>
            </w:r>
          </w:p>
        </w:tc>
      </w:tr>
      <w:tr>
        <w:trPr>
          <w:trHeight w:val="26"/>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10,997</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911</w:t>
            </w:r>
          </w:p>
        </w:tc>
      </w:tr>
      <w:tr>
        <w:trPr>
          <w:trHeight w:val="26"/>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3,898</w:t>
            </w:r>
          </w:p>
        </w:tc>
      </w:tr>
      <w:tr>
        <w:trPr>
          <w:trHeight w:val="23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340,850</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291,740</w:t>
            </w:r>
          </w:p>
        </w:tc>
      </w:tr>
      <w:tr>
        <w:trPr>
          <w:trHeight w:val="26"/>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(139,489)</w:t>
            </w:r>
          </w:p>
        </w:tc>
      </w:tr>
      <w:tr>
        <w:trPr>
          <w:trHeight w:val="25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189,637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152,251</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318"/>
        <w:spacing w:after="0" w:line="336" w:lineRule="auto"/>
        <w:rPr>
          <w:sz w:val="20"/>
          <w:szCs w:val="20"/>
          <w:color w:val="auto"/>
        </w:rPr>
      </w:pPr>
      <w:r>
        <w:rPr>
          <w:rFonts w:ascii="Times New Roman" w:cs="Times New Roman" w:eastAsia="Times New Roman" w:hAnsi="Times New Roman"/>
          <w:sz w:val="18"/>
          <w:szCs w:val="18"/>
          <w:color w:val="auto"/>
        </w:rPr>
        <w:t>Depreciation and amortization of property and equipment was $6.6 million and $12.4 million for the three and six months ended June 30, 2022. In comparison, depreciation and amortization of property and equipment was $6.3 million and $12.3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8"/>
          <w:szCs w:val="18"/>
          <w:color w:val="auto"/>
        </w:rPr>
        <w:t>for the three and six months ended June 30, 2021. Depreciation expense in 2022 reflected a change in estimate as the Company extended the useful lives of its gaming terminals and equipment from 10 years to 13 years in the fourth quarter of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Route and Customer Acquisition Costs</w:t>
      </w:r>
    </w:p>
    <w:p>
      <w:pPr>
        <w:spacing w:after="0" w:line="193"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The Company enters into contracts with third parties and licensed video gaming locations throughout the State of Illinois that allow the Company to install and operate video gaming terminals. When video gaming operations commence, payments are due monthly or quarterly. Gross payments due, based on the number of live locations, were approximately $7.7 million and $6.8 million as of June 30, 2022 and December 31, 2021, respectively. Payments are due over varying terms of the individual agreements and are discounted at the Company’s incremental borrowing rate associated with its long-term debt at the time the contract is acquired. The net present value of payments due was $6.9 million and $6.0 million as of June 30, 2022 and December 31, 2021, respectively, of which approximately $2.8 million and $2.1 million is included in current liabilities in the accompanying condensed consolidated balance sheets as of June 30, 2022 and December 31, 2021, respectively. The route and customer acquisition cost asset was comprised of payments made on the contracts of $17.7 million and $18.0 million as of June 30, 2022 and December 31, 2021, respectively. The Company has upfront payments of commissions paid to the third parties for the acquisition of the customer contracts that are subject to a clawback provision if the customer cancels the contract prior to completion. The payments subject to a clawback were $1.1 million as of both June 30, 2022 and December 31, 2021.</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Route and customer acquisition costs consisted of the following at June 30, 2022 and December 31, 2021 (in thousands):</w:t>
      </w:r>
    </w:p>
    <w:p>
      <w:pPr>
        <w:spacing w:after="0" w:line="132"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6"/>
              </w:rPr>
              <w:t>30,920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6"/>
              </w:rPr>
              <w:t>28,902</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Pr>
          <w:p>
            <w:pPr>
              <w:spacing w:after="0"/>
              <w:rPr>
                <w:sz w:val="20"/>
                <w:szCs w:val="20"/>
                <w:color w:val="auto"/>
              </w:rPr>
            </w:pPr>
          </w:p>
        </w:tc>
        <w:tc>
          <w:tcPr>
            <w:tcW w:w="1080" w:type="dxa"/>
            <w:vAlign w:val="bottom"/>
          </w:tcPr>
          <w:p>
            <w:pPr>
              <w:jc w:val="center"/>
              <w:ind w:left="319"/>
              <w:spacing w:after="0"/>
              <w:rPr>
                <w:sz w:val="20"/>
                <w:szCs w:val="20"/>
                <w:color w:val="auto"/>
              </w:rPr>
            </w:pPr>
            <w:r>
              <w:rPr>
                <w:rFonts w:ascii="Times New Roman" w:cs="Times New Roman" w:eastAsia="Times New Roman" w:hAnsi="Times New Roman"/>
                <w:sz w:val="18"/>
                <w:szCs w:val="18"/>
                <w:color w:val="auto"/>
                <w:w w:val="97"/>
              </w:rPr>
              <w:t>(13,242)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(12,989)</w:t>
            </w:r>
          </w:p>
        </w:tc>
      </w:tr>
      <w:tr>
        <w:trPr>
          <w:trHeight w:val="26"/>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Route and customer acquisition costs,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6"/>
              </w:rPr>
              <w:t>17,678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6"/>
              </w:rPr>
              <w:t>15,913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Amortization expense of route and customer acquisition costs was $0.3 million and $0.6 million for the three and six months ended June 30, 2022. In comparison, amortization expense of route and customer acquisition costs was $0.5 million and $0.9 million for the three and six months ended June 30, 2021. Amortization expense of route and customer acquisition costs was lower in 2022 when compared to the prior year as the Company extended the amortization period of its route and customer acquisition costs from 12.4 years to 18 years in the fourth quarter of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Location Contracts Acquired</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Location contract assets acquired in business acquisitions are recorded at acquisition at fair value based on an income approach. Location contracts acquired consisted of the following at June 30, 2022 and December 31, 2021 (in thousands):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6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269,696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229,287</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Pr>
          <w:p>
            <w:pPr>
              <w:spacing w:after="0"/>
              <w:rPr>
                <w:sz w:val="20"/>
                <w:szCs w:val="20"/>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(85,177)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(78,615)</w:t>
            </w:r>
          </w:p>
        </w:tc>
      </w:tr>
      <w:tr>
        <w:trPr>
          <w:trHeight w:val="26"/>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contracts acquired,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184,519</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150,672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Amortization expense of location contracts acquired was $3.3 million and $6.6 million for the three and six months ended June 30, 2022. In comparison, amortization expense of location contracts acquired was $5.7 million and $11.3 million for the three and six months ended June 30, 2021. Amortization expense of location contracts is lower in 2022 when compared to the prior year as the Company extended the amortization period of its location contracts from 10 years to 15 years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 xml:space="preserve">On June 1, 2022, the Company acquired Century, which was accounted for as a business combination using the acquisition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The excess of the purchase price over the tangible and intangible assets acquired and liabilities assumed has been recorded as goodwill of $53.3 million. See Note 10 for more information on how the amount of goodwill was calculated.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total goodwill of $99.5 million as of June 30, 2022, of which $53.3 million was deductible for tax purposes.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roll forward of the Company's goodwill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8"/>
        </w:trPr>
        <w:tc>
          <w:tcPr>
            <w:tcW w:w="7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balance as of January 1, 2022</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46,199</w:t>
            </w:r>
          </w:p>
        </w:tc>
      </w:tr>
      <w:tr>
        <w:trPr>
          <w:trHeight w:val="265"/>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Addition to goodwill for acquisition of Century</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53,291</w:t>
            </w:r>
          </w:p>
        </w:tc>
      </w:tr>
      <w:tr>
        <w:trPr>
          <w:trHeight w:val="284"/>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balance as of June 30, 2022</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99,490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Other intangible assets of $24.4 million as of June 30, 2022 consist of definite-lived trade names, customer relationships, and software applications. Other intangible assets are related to the acquisition of Century. See Note 10 for more information on how the amount of other intangible assets was calculated. Other intangible assets are amortized over their estimated 8 to 20-year useful lives.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as of June 30, 2022, and December 31, 2021, consisted of the following (in thousands):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6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7"/>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65"/>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336,875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350,000</w:t>
            </w:r>
          </w:p>
        </w:tc>
      </w:tr>
      <w:tr>
        <w:trPr>
          <w:trHeight w:val="265"/>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Delayed Draw Term Loan (DDTL)</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debt on credit facility</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505,875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350,000</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Interest rate caplet liability</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r>
      <w:tr>
        <w:trPr>
          <w:trHeight w:val="233"/>
        </w:trPr>
        <w:tc>
          <w:tcPr>
            <w:tcW w:w="6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debt, net of debt issuance costs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502,095</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341,522</w:t>
            </w:r>
          </w:p>
        </w:tc>
      </w:tr>
      <w:tr>
        <w:trPr>
          <w:trHeight w:val="26"/>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33"/>
        </w:trPr>
        <w:tc>
          <w:tcPr>
            <w:tcW w:w="6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debt, net of current maturities</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478,635</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324,022</w:t>
            </w:r>
          </w:p>
        </w:tc>
      </w:tr>
      <w:tr>
        <w:trPr>
          <w:trHeight w:val="26"/>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16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November 13, 2019, the Company entered into a credit agreement (the “Credit Agreement”) as borrower, with the Company and its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hanging="316"/>
        <w:spacing w:after="0" w:line="33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revolving credit facility, including a letter of credit facility with a $10.0 million sublimit and a swing line facility with a $10.0 million sublimit,</w:t>
      </w:r>
    </w:p>
    <w:p>
      <w:pPr>
        <w:spacing w:after="0" w:line="7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 million initial term loan facility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million additional term loan facility.</w:t>
      </w:r>
    </w:p>
    <w:p>
      <w:pPr>
        <w:spacing w:after="0" w:line="191" w:lineRule="exact"/>
        <w:rPr>
          <w:sz w:val="20"/>
          <w:szCs w:val="20"/>
          <w:color w:val="auto"/>
        </w:rPr>
      </w:pPr>
    </w:p>
    <w:p>
      <w:pPr>
        <w:jc w:val="both"/>
        <w:ind w:firstLine="318"/>
        <w:spacing w:after="0" w:line="353" w:lineRule="auto"/>
        <w:rPr>
          <w:sz w:val="20"/>
          <w:szCs w:val="20"/>
          <w:color w:val="auto"/>
        </w:rPr>
      </w:pPr>
      <w:r>
        <w:rPr>
          <w:rFonts w:ascii="Times New Roman" w:cs="Times New Roman" w:eastAsia="Times New Roman" w:hAnsi="Times New Roman"/>
          <w:sz w:val="17"/>
          <w:szCs w:val="17"/>
          <w:color w:val="auto"/>
        </w:rPr>
        <w:t>The additional term loan facility was available for borrowings until November 13, 2020. Each of the revolving loans and the term loans were scheduled to mature on November 13, 2024. The Company incurred $8.8 million of debt issuance costs, which are being amortized over the life of the Credit Agreement.</w:t>
      </w:r>
    </w:p>
    <w:p>
      <w:pPr>
        <w:spacing w:after="0" w:line="75"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Given the uncertainty of COVID-19 and its variants and the resulting potential impact to the gaming industry, as well as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 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in compliance with all debt covenants during these periods.</w:t>
      </w:r>
    </w:p>
    <w:p>
      <w:pPr>
        <w:spacing w:after="0" w:line="118"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On October 22, 2021, in order to increase the borrowing capacity under the Credit Agreement, the Company and the other parties thereto entered into Amendment No. 2 to the Credit Agreement (“Amendment No. 2”). Amendment No. 2, among other things, provides for</w:t>
      </w:r>
    </w:p>
    <w:p>
      <w:pPr>
        <w:spacing w:after="0" w:line="98"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the revolving credit facility from $100.0 million to $150.0 million,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 million initial term loan facility, the proceeds of which were applied to refinancing existing indebtedness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million delayed draw term loan facility.</w:t>
      </w:r>
    </w:p>
    <w:p>
      <w:pPr>
        <w:spacing w:after="0" w:line="19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additional term loan facility is available for borrowings until October 21, 2023. The maturity date of the Credit Agreement was extended to October 22, 2026. The interest rate and covenants remain unchanged. The Company incurred $4.3 million in debt issuance costs associated with Amendment No. 2, of which $4.2 million was capitalized and is being amortized over the remaining life of the Credit Agreement.</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there remained approximately $381 million of availability under the Credit Agreement.</w:t>
      </w:r>
    </w:p>
    <w:p>
      <w:pPr>
        <w:spacing w:after="0" w:line="191" w:lineRule="exact"/>
        <w:rPr>
          <w:sz w:val="20"/>
          <w:szCs w:val="20"/>
          <w:color w:val="auto"/>
        </w:rPr>
      </w:pPr>
    </w:p>
    <w:p>
      <w:pPr>
        <w:jc w:val="both"/>
        <w:ind w:firstLine="318"/>
        <w:spacing w:after="0" w:line="324" w:lineRule="auto"/>
        <w:rPr>
          <w:sz w:val="20"/>
          <w:szCs w:val="20"/>
          <w:color w:val="auto"/>
        </w:rPr>
      </w:pPr>
      <w:r>
        <w:rPr>
          <w:rFonts w:ascii="Times New Roman" w:cs="Times New Roman" w:eastAsia="Times New Roman" w:hAnsi="Times New Roman"/>
          <w:sz w:val="17"/>
          <w:szCs w:val="17"/>
          <w:color w:val="auto"/>
        </w:rPr>
        <w:t>The obligations under the Credit Agreement are guaranteed by the Company and its wholly-owned domestic subsidiaries (collectively, the “Guarantors”), subject to certain exceptions. The obligations under the Credit Agreement are secured by substantially all of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98"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Company’s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provisions for determining a replacement rate when LIBOR is no longer available. As of June 30, 2022, the weighted-average interest rate was approximately 3.2%.</w:t>
      </w:r>
    </w:p>
    <w:p>
      <w:pPr>
        <w:spacing w:after="0" w:line="98"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is payable quarterly in arrears for ABR loans, at the end of the applicable interest period for LIBOR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w:t>
      </w:r>
    </w:p>
    <w:p>
      <w:pPr>
        <w:spacing w:after="0" w:line="11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LIBOR (50 bps floor) plus a margin up to 2.75%, at the option of the Company.</w:t>
      </w:r>
    </w:p>
    <w:p>
      <w:pPr>
        <w:spacing w:after="0" w:line="11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term loans and, once drawn, the additional term loans will amortize at an annual rate equal to approximately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LIBOR “breakage” costs.</w:t>
      </w:r>
    </w:p>
    <w:p>
      <w:pPr>
        <w:spacing w:after="0" w:line="112"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98"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1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was in compliance with all debt covenants as of June 30, 2022 and expects to remain in compliance for the next 12 months.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caplets</w:t>
      </w:r>
    </w:p>
    <w:p>
      <w:pPr>
        <w:spacing w:after="0" w:line="206"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The Company manages its exposure to some of its interest rate risk through the use of interest rate caplets, which are derivative financial instruments. On January 12, 2022, the Company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the Company's interest payments and each caplet is expected to be highly effective at offsetting changes in interest payment cash flows. The aggregate premium for these caplets was $3.9 million, which was the initial fair value of the caplets recorded in the Company's financial statements, and was financed as additional debt. The Company recognized an unrealized gain on the change in fair value of the interest rate caplets of $1.9 million and $6.8 million, net of income taxes, for the three and six months ended June 30, 2022. For more information on how the Company determines the fair value of the caplets,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and Asset Acquisitions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Business Acquisitions</w:t>
      </w:r>
    </w:p>
    <w:p>
      <w:pPr>
        <w:spacing w:after="0" w:line="206"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On June 1, 2022, the Company completed its previously announced acquisition of all of the outstanding equity interests of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w:t>
      </w:r>
    </w:p>
    <w:p>
      <w:pPr>
        <w:spacing w:after="0" w:line="116"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w:t>
      </w:r>
    </w:p>
    <w:p>
      <w:pPr>
        <w:spacing w:after="0" w:line="124"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 xml:space="preserve">The acquisition was accounted for as a business combination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(“Topic 805”). The purchase price has been preliminarily allocated to the tangible assets and identifiable intangible assets acquired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 acquired and liabilities assumed of $53.3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spacing w:after="0" w:line="134"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following table summarizes the fair value of consideration transferred and the estimated fair values of the assets acquired and liabilities assumed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200025</wp:posOffset>
            </wp:positionV>
            <wp:extent cx="5761990" cy="168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Cash paid</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Fair value of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761990" cy="193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1990" cy="193675"/>
                    </a:xfrm>
                    <a:prstGeom prst="rect">
                      <a:avLst/>
                    </a:prstGeom>
                    <a:noFill/>
                  </pic:spPr>
                </pic:pic>
              </a:graphicData>
            </a:graphic>
          </wp:anchor>
        </w:drawing>
      </w:r>
    </w:p>
    <w:p>
      <w:pPr>
        <w:spacing w:after="0" w:line="7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1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15240</wp:posOffset>
            </wp:positionV>
            <wp:extent cx="576199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15240</wp:posOffset>
            </wp:positionV>
            <wp:extent cx="5761990"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Inventories</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15240</wp:posOffset>
            </wp:positionV>
            <wp:extent cx="5761990" cy="168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15240</wp:posOffset>
            </wp:positionV>
            <wp:extent cx="5761990" cy="168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Location contracts acquired</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15240</wp:posOffset>
            </wp:positionV>
            <wp:extent cx="5761990" cy="168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Accounts payable and other accrued expenses</w:t>
      </w:r>
    </w:p>
    <w:p>
      <w:pPr>
        <w:spacing w:after="0" w:line="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Accrued compensation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15240</wp:posOffset>
            </wp:positionV>
            <wp:extent cx="5761990"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80" w:hanging="67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158,681</w:t>
      </w:r>
    </w:p>
    <w:p>
      <w:pPr>
        <w:spacing w:after="0" w:line="5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5,584</w:t>
      </w:r>
    </w:p>
    <w:p>
      <w:pPr>
        <w:spacing w:after="0" w:line="72" w:lineRule="exact"/>
        <w:rPr>
          <w:sz w:val="20"/>
          <w:szCs w:val="20"/>
          <w:color w:val="auto"/>
        </w:rPr>
      </w:pPr>
    </w:p>
    <w:p>
      <w:pPr>
        <w:ind w:left="680" w:hanging="67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8591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91" w:lineRule="exact"/>
        <w:rPr>
          <w:sz w:val="20"/>
          <w:szCs w:val="20"/>
          <w:color w:val="auto"/>
        </w:rPr>
      </w:pPr>
    </w:p>
    <w:p>
      <w:pPr>
        <w:ind w:left="780" w:hanging="775"/>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33,229</w:t>
      </w:r>
    </w:p>
    <w:p>
      <w:pPr>
        <w:spacing w:after="0" w:line="5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1,563</w:t>
      </w:r>
    </w:p>
    <w:p>
      <w:pPr>
        <w:spacing w:after="0" w:line="5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4,394</w:t>
      </w:r>
    </w:p>
    <w:p>
      <w:pPr>
        <w:spacing w:after="0" w:line="58"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6,441</w:t>
      </w:r>
    </w:p>
    <w:p>
      <w:pPr>
        <w:spacing w:after="0" w:line="58"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w:t>
      </w:r>
    </w:p>
    <w:p>
      <w:pPr>
        <w:spacing w:after="0" w:line="58"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w:t>
      </w:r>
    </w:p>
    <w:p>
      <w:pPr>
        <w:spacing w:after="0" w:line="58"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29,302</w:t>
      </w:r>
    </w:p>
    <w:p>
      <w:pPr>
        <w:spacing w:after="0" w:line="58"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40,400</w:t>
      </w:r>
    </w:p>
    <w:p>
      <w:pPr>
        <w:spacing w:after="0" w:line="58"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8"/>
          <w:szCs w:val="18"/>
          <w:color w:val="auto"/>
        </w:rPr>
        <w:t>24,400</w:t>
      </w:r>
    </w:p>
    <w:p>
      <w:pPr>
        <w:spacing w:after="0" w:line="58"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(10,766)</w:t>
      </w:r>
    </w:p>
    <w:p>
      <w:pPr>
        <w:spacing w:after="0" w:line="58"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(1,626)</w:t>
      </w:r>
    </w:p>
    <w:p>
      <w:pPr>
        <w:spacing w:after="0" w:line="58"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(446)</w:t>
      </w:r>
    </w:p>
    <w:p>
      <w:pPr>
        <w:spacing w:after="0" w:line="58"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(16,582)</w:t>
      </w:r>
    </w:p>
    <w:p>
      <w:pPr>
        <w:spacing w:after="0" w:line="48" w:lineRule="exact"/>
        <w:rPr>
          <w:sz w:val="20"/>
          <w:szCs w:val="20"/>
          <w:color w:val="auto"/>
        </w:rPr>
      </w:pPr>
    </w:p>
    <w:p>
      <w:pPr>
        <w:sectPr>
          <w:pgSz w:w="11900" w:h="16838" w:orient="portrait"/>
          <w:cols w:equalWidth="0" w:num="2">
            <w:col w:w="8100" w:space="720"/>
            <w:col w:w="2420"/>
          </w:cols>
          <w:pgMar w:left="320" w:top="119" w:right="339" w:bottom="1440" w:gutter="0" w:footer="0" w:header="0"/>
          <w:type w:val="continuous"/>
        </w:sectPr>
      </w:pPr>
    </w:p>
    <w:tbl>
      <w:tblPr>
        <w:tblLayout w:type="fixed"/>
        <w:tblInd w:w="1100" w:type="dxa"/>
        <w:tblCellMar>
          <w:top w:w="0" w:type="dxa"/>
          <w:left w:w="0" w:type="dxa"/>
          <w:bottom w:w="0" w:type="dxa"/>
          <w:right w:w="0" w:type="dxa"/>
        </w:tblCellMar>
      </w:tblPr>
      <w:tr>
        <w:trPr>
          <w:trHeight w:val="261"/>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110,974</w:t>
            </w:r>
          </w:p>
        </w:tc>
      </w:tr>
      <w:tr>
        <w:trPr>
          <w:trHeight w:val="25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53,291</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36" w:lineRule="auto"/>
        <w:rPr>
          <w:sz w:val="20"/>
          <w:szCs w:val="20"/>
          <w:color w:val="auto"/>
        </w:rPr>
      </w:pPr>
      <w:r>
        <w:rPr>
          <w:rFonts w:ascii="Times New Roman" w:cs="Times New Roman" w:eastAsia="Times New Roman" w:hAnsi="Times New Roman"/>
          <w:sz w:val="18"/>
          <w:szCs w:val="18"/>
          <w:color w:val="auto"/>
        </w:rPr>
        <w:t>The Company incurred $0.3 million in acquisition related costs that are included in other operating expenses within the condensed consolidated statements of operations and comprehensive income for the six months ended June 30, 2022.</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results of operations for Century are included in the condensed consolidated financial statements of the Company from the date of acquisition.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Century's acquired assets generated revenues and net income of $21.1 million and $1.0 million for both the three and six months ended June 30,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Business Acquisitions</w:t>
      </w:r>
    </w:p>
    <w:p>
      <w:pPr>
        <w:spacing w:after="0" w:line="206"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The acquisition was accounted for as a business combination using the acquisition method of accounting in accordance with Topic 805. The purchase price was allocated to the tangible assets and identifiable intangible assets acquired and liabilities assumed based upon their estimated fair values.</w:t>
      </w:r>
    </w:p>
    <w:p>
      <w:pPr>
        <w:spacing w:after="0" w:line="127"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On December 30, 2021, the Company entered into an agreement with Rich and Junnie's Coin, Inc., an Iowa corporation, and JBCJ, Inc., also an Iowa corporation (collectively referred to as “Rich and Junnie's”), to acquire all of Rich and Junnie's operating assets in Iowa and Illinois. Rich and Junnie's operations in Iowa and Illinois consist of the ownership and operation of amusement devices and ATMs in certain locations. Total consideration was $4.2 million of which $3.6 million was paid in cash at closing and $0.6 million was recorded in short-term consideration payable on the consolidated balance sheets as of December 31, 2021. The $0.6 million of consideration payable was paid in the first quarter of 2022. The acquisition was accounted for as a business combination using the acquisition method of accounting in accordance with Topic 805. The purchase price was allocated to the following assets: i) video game terminals and equipment totaling $0.3 million; ii) amusement and other equipment totaling $1.3 million; iii) location contracts totaling $1.6 million; iv) cash totaling $0.6 million; and v) goodwill of $0.4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Results</w:t>
      </w:r>
    </w:p>
    <w:p>
      <w:pPr>
        <w:spacing w:after="0" w:line="206"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The following unaudited pro forma consolidated financial information reflects the results of operations of the Company for the three and six months ended June 30, 2021 as if the acquisitions of Rich and Junnie's and Island had occurred as of January 1, 2020, and as if the acquisition of Century had occurred as of January 1, 2021, after giving effect to certain purchase accounting adjustments. The following unaudited pro forma consolidated financial information also reflects the results of operations of the Company for the three and six months ended June 30, 2022 as if the acquisition of Century had occurred as of January 1, 2021, after giving effect to certain purchase accounting adjustments.These amounts are based on available financial information of the acquiree prior to the acquisition date and are not necessarily indicative of what Company’s operating results would have been had the acquisitions actually taken place at their respective dates. This unaudited pro forma information does not project revenues and net income post acquisition (in thousands).</w:t>
      </w:r>
    </w:p>
    <w:p>
      <w:pPr>
        <w:spacing w:after="0" w:line="72"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6"/>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9"/>
                <w:szCs w:val="19"/>
                <w:color w:val="auto"/>
              </w:rPr>
            </w:pP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38"/>
        </w:trPr>
        <w:tc>
          <w:tcPr>
            <w:tcW w:w="1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9"/>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272,145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486,867</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292,644</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533,389</w:t>
            </w:r>
          </w:p>
        </w:tc>
      </w:tr>
      <w:tr>
        <w:trPr>
          <w:trHeight w:val="24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21,577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23,207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38,806</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Consideration Payable</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June 30, 2022 and December 31, 2021. The contingent consideration accrued is measured at fair value on a recurring basis. The Company presents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on its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Current and long-term portions of consideration payable consist of the following at June 30, 2022 and December 31, 2021 (in thousands):</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6"/>
        </w:trPr>
        <w:tc>
          <w:tcPr>
            <w:tcW w:w="30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52"/>
        </w:trPr>
        <w:tc>
          <w:tcPr>
            <w:tcW w:w="3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TAV</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Share Gaming</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6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Family Amusement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Skyhigh</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r>
      <w:tr>
        <w:trPr>
          <w:trHeight w:val="26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G3</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Grand River</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Tom's Amusements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AVG</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 and Junnie's</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Island</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Contingent Earnout Share Liability</w:t>
      </w:r>
    </w:p>
    <w:p>
      <w:pPr>
        <w:spacing w:after="0" w:line="193" w:lineRule="exact"/>
        <w:rPr>
          <w:sz w:val="20"/>
          <w:szCs w:val="20"/>
          <w:color w:val="auto"/>
        </w:rPr>
      </w:pPr>
    </w:p>
    <w:p>
      <w:pPr>
        <w:jc w:val="both"/>
        <w:ind w:firstLine="398"/>
        <w:spacing w:after="0" w:line="299" w:lineRule="auto"/>
        <w:rPr>
          <w:sz w:val="20"/>
          <w:szCs w:val="20"/>
          <w:color w:val="auto"/>
        </w:rPr>
      </w:pPr>
      <w:r>
        <w:rPr>
          <w:rFonts w:ascii="Times New Roman" w:cs="Times New Roman" w:eastAsia="Times New Roman" w:hAnsi="Times New Roman"/>
          <w:sz w:val="18"/>
          <w:szCs w:val="18"/>
          <w:color w:val="222222"/>
        </w:rPr>
        <w:t>P</w:t>
      </w:r>
      <w:r>
        <w:rPr>
          <w:rFonts w:ascii="Times New Roman" w:cs="Times New Roman" w:eastAsia="Times New Roman" w:hAnsi="Times New Roman"/>
          <w:sz w:val="18"/>
          <w:szCs w:val="18"/>
          <w:color w:val="000000"/>
        </w:rPr>
        <w:t>ursuant to the terms of the Company’s Amended and Restated Certificate of Incorporation, the Company authorized and has available for issuance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10,000,000 shares of Class A-2 Common Stock. The holders of the Class A-2 Common Stock do not have voting rights and are not entitled to receive or participate in any dividends or distributions when and if declared from time to time. The Company's Class A-2 common stock is classified as a contingent earnout shares liability due to the fact that the conversion of the Company's Class A-2 common stock would be accelerated on a change of control regardless of the transaction value.</w:t>
      </w:r>
    </w:p>
    <w:p>
      <w:pPr>
        <w:spacing w:after="0" w:line="143" w:lineRule="exact"/>
        <w:rPr>
          <w:sz w:val="20"/>
          <w:szCs w:val="20"/>
          <w:color w:val="auto"/>
        </w:rPr>
      </w:pPr>
    </w:p>
    <w:p>
      <w:pPr>
        <w:jc w:val="both"/>
        <w:ind w:firstLine="398"/>
        <w:spacing w:after="0" w:line="299" w:lineRule="auto"/>
        <w:rPr>
          <w:sz w:val="20"/>
          <w:szCs w:val="20"/>
          <w:color w:val="auto"/>
        </w:rPr>
      </w:pPr>
      <w:r>
        <w:rPr>
          <w:rFonts w:ascii="Times New Roman" w:cs="Times New Roman" w:eastAsia="Times New Roman" w:hAnsi="Times New Roman"/>
          <w:sz w:val="18"/>
          <w:szCs w:val="18"/>
          <w:color w:val="auto"/>
        </w:rPr>
        <w:t>In November of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spacing w:after="0" w:line="143" w:lineRule="exact"/>
        <w:rPr>
          <w:sz w:val="20"/>
          <w:szCs w:val="20"/>
          <w:color w:val="auto"/>
        </w:rPr>
      </w:pPr>
    </w:p>
    <w:p>
      <w:pPr>
        <w:jc w:val="both"/>
        <w:ind w:left="640" w:hanging="316"/>
        <w:spacing w:after="0" w:line="30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I, equal to 1,666,666 shares of Class A-2 Common Stock, will be exchanged for Class A-1 Common Stock if either (i) the EBITDA for the last twelve months (“LTM EBITDA”) of the Company (as determined pursuant to the Restricted Stock Agreement) as of December 31, 2021, March 31, 2022 or June 30, 2022 equals or exceeds $132 million or (ii) the closing sale price of Class A-1 Common Stock on the New York Stock Exchange (“NYSE”) equals or exceeds $12.00 for at least twenty trading days in any consecutive thirty trading day period;</w:t>
      </w:r>
    </w:p>
    <w:p>
      <w:pPr>
        <w:spacing w:after="0" w:line="12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 equal to 1,666,667 shares of Class A-2 Common Stock, will be exchanged for Class A-1 Common Stock if either (i) the LTM EBITDA of</w:t>
      </w:r>
    </w:p>
    <w:p>
      <w:pPr>
        <w:spacing w:after="0" w:line="69" w:lineRule="exact"/>
        <w:rPr>
          <w:rFonts w:ascii="Times New Roman" w:cs="Times New Roman" w:eastAsia="Times New Roman" w:hAnsi="Times New Roman"/>
          <w:sz w:val="17"/>
          <w:szCs w:val="17"/>
          <w:color w:val="auto"/>
        </w:rPr>
      </w:pPr>
    </w:p>
    <w:p>
      <w:pPr>
        <w:jc w:val="both"/>
        <w:ind w:left="6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(as determined pursuant to the Restricted Stock Agreement) as of December 31, 2022, March 31, 2023 or June 30, 2023 equals or exceeds $152 million or (ii) the closing sale price of Class A-1 Common Stock on the NYSE equals or exceeds $14.00 for at least twenty trading days in any consecutive thirty trading day period;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40" w:hanging="316"/>
        <w:spacing w:after="0" w:line="30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III, equal to 1,666,667 shares of Class A-2 Common Stock, will be exchanged for Class A-1 Common Stock if either (i) the LTM EBITDA of the Company (as determined pursuant to the Restricted Stock Agreement) as of December 31, 2023, March 31, 2024 or June 30, 2024 equals or exceeds $172 million or (ii) the closing sale price of Class A-1 Common Stock on the NYSE equals or exceeds $16.00 for at least twenty trading days in any consecutive thirty trading day period.</w:t>
      </w:r>
    </w:p>
    <w:p>
      <w:pPr>
        <w:spacing w:after="0" w:line="125" w:lineRule="exact"/>
        <w:rPr>
          <w:sz w:val="20"/>
          <w:szCs w:val="20"/>
          <w:color w:val="auto"/>
        </w:rPr>
      </w:pPr>
    </w:p>
    <w:p>
      <w:pPr>
        <w:jc w:val="both"/>
        <w:ind w:firstLine="318"/>
        <w:spacing w:after="0" w:line="324" w:lineRule="auto"/>
        <w:rPr>
          <w:sz w:val="20"/>
          <w:szCs w:val="20"/>
          <w:color w:val="auto"/>
        </w:rPr>
      </w:pPr>
      <w:r>
        <w:rPr>
          <w:rFonts w:ascii="Times New Roman" w:cs="Times New Roman" w:eastAsia="Times New Roman" w:hAnsi="Times New Roman"/>
          <w:sz w:val="17"/>
          <w:szCs w:val="17"/>
          <w:color w:val="auto"/>
        </w:rPr>
        <w:t>The Restricted Stock Agreement provides that LTM EBITDA and the LTM EBITDA thresholds described above will be reasonably adjusted upwards or downwards, as applicable, by the Company’s independent directors from time to time to take into account the anticipated effect of any acquisitions or dispositions that are, individually or in the aggregate, in excess of $40.0 million during any applicable measurement period and otherwise materially different from the annual forecast presented to the Company’s investors at the closing of the reverse capitalization and consummated by the Company. The Company expects its independent directors will consider adjustments to LTM EBITDA and the LTM EBITDA thresholds as a result of the Century acquisition.</w:t>
      </w:r>
    </w:p>
    <w:p>
      <w:pPr>
        <w:spacing w:after="0" w:line="11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January 14, 2020, the market condition for the settlement of Tranche I was satisfied. However, no stockholder is permitted to own more than 4.99% of the issued and outstanding Class A-1 Common Stock after the settlement unless obtaining required gaming approvals from the applicable gaming authorities. In connection with the settlement, no gaming approvals were obtained. In addition, no stockholder can receive a fractional share from a conversion. As a result, only 1,666,636 shares of the 1,666,666 shares of Class A-2 Common Stock were converted into Class A-1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 Liability</w:t>
      </w:r>
    </w:p>
    <w:p>
      <w:pPr>
        <w:spacing w:after="0" w:line="193" w:lineRule="exact"/>
        <w:rPr>
          <w:sz w:val="20"/>
          <w:szCs w:val="20"/>
          <w:color w:val="auto"/>
        </w:rPr>
      </w:pPr>
    </w:p>
    <w:p>
      <w:pPr>
        <w:jc w:val="both"/>
        <w:ind w:firstLine="398"/>
        <w:spacing w:after="0" w:line="303" w:lineRule="auto"/>
        <w:rPr>
          <w:sz w:val="20"/>
          <w:szCs w:val="20"/>
          <w:color w:val="auto"/>
        </w:rPr>
      </w:pPr>
      <w:r>
        <w:rPr>
          <w:rFonts w:ascii="Times New Roman" w:cs="Times New Roman" w:eastAsia="Times New Roman" w:hAnsi="Times New Roman"/>
          <w:sz w:val="18"/>
          <w:szCs w:val="18"/>
          <w:color w:val="auto"/>
        </w:rPr>
        <w:t>In November 2019, 7,333,326 warrants to purchase shares of Class A-1 Common Stock were issued with other consideration prior to the reverse recapitalization (the “Private Placement Warrants”). As a part of the reverse recapitalization, 2,444,437 Private Placement Warrants were canceled and reissued under the same terms and conditions to Accel legacy stockholders.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26" w:lineRule="exact"/>
        <w:rPr>
          <w:sz w:val="20"/>
          <w:szCs w:val="20"/>
          <w:color w:val="auto"/>
        </w:rPr>
      </w:pPr>
    </w:p>
    <w:p>
      <w:pPr>
        <w:jc w:val="both"/>
        <w:ind w:firstLine="477"/>
        <w:spacing w:after="0" w:line="306" w:lineRule="auto"/>
        <w:rPr>
          <w:sz w:val="20"/>
          <w:szCs w:val="20"/>
          <w:color w:val="auto"/>
        </w:rPr>
      </w:pPr>
      <w:r>
        <w:rPr>
          <w:rFonts w:ascii="Times New Roman" w:cs="Times New Roman" w:eastAsia="Times New Roman" w:hAnsi="Times New Roman"/>
          <w:sz w:val="18"/>
          <w:szCs w:val="18"/>
          <w:color w:val="auto"/>
        </w:rPr>
        <w:t>In 2017, 15,000,000 warrants to purchase shares of Class A-1 Common Stock were issued in connection with the formation of TPG Pace Holdings (“Public Warrants”).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25" w:lineRule="exact"/>
        <w:rPr>
          <w:sz w:val="20"/>
          <w:szCs w:val="20"/>
          <w:color w:val="auto"/>
        </w:rPr>
      </w:pPr>
    </w:p>
    <w:p>
      <w:pPr>
        <w:jc w:val="both"/>
        <w:ind w:firstLine="477"/>
        <w:spacing w:after="0" w:line="314" w:lineRule="auto"/>
        <w:rPr>
          <w:sz w:val="20"/>
          <w:szCs w:val="20"/>
          <w:color w:val="auto"/>
        </w:rPr>
      </w:pPr>
      <w:r>
        <w:rPr>
          <w:rFonts w:ascii="Times New Roman" w:cs="Times New Roman" w:eastAsia="Times New Roman" w:hAnsi="Times New Roman"/>
          <w:sz w:val="18"/>
          <w:szCs w:val="18"/>
          <w:color w:val="auto"/>
        </w:rPr>
        <w:t>On July 14, 2020, the Company announced that it had commenced an exchange offer (the "Offer") to all holders of its outstanding warrants to receive 0.25 shares of Class A-1 Common Stock in exchange for each warrant tendered pursuant to the Offer. The Offer was open until 11:59 p.m., Eastern Standard Time, on August 11, 2020.</w:t>
      </w:r>
    </w:p>
    <w:p>
      <w:pPr>
        <w:spacing w:after="0" w:line="116" w:lineRule="exact"/>
        <w:rPr>
          <w:sz w:val="20"/>
          <w:szCs w:val="20"/>
          <w:color w:val="auto"/>
        </w:rPr>
      </w:pPr>
    </w:p>
    <w:p>
      <w:pPr>
        <w:jc w:val="both"/>
        <w:ind w:firstLine="477"/>
        <w:spacing w:after="0" w:line="299" w:lineRule="auto"/>
        <w:rPr>
          <w:sz w:val="20"/>
          <w:szCs w:val="20"/>
          <w:color w:val="auto"/>
        </w:rPr>
      </w:pPr>
      <w:r>
        <w:rPr>
          <w:rFonts w:ascii="Times New Roman" w:cs="Times New Roman" w:eastAsia="Times New Roman" w:hAnsi="Times New Roman"/>
          <w:sz w:val="18"/>
          <w:szCs w:val="18"/>
          <w:color w:val="auto"/>
        </w:rPr>
        <w:t>On July 16, 2020, the Company consummated the redemption of its Public Warrants. The Company exchanged each Public Warrant for 0.25 shares of the Company’s Class A-1 Common Stock and issued 3,784,416 shares of its Class A-1 Common Stock in exchange for the Public Warrants at settlement of the redemption. The exchange was an equitable exchange at fair value and was accounted for as a capital transaction. On July 22, 2020, the Company received written notice from the New York Stock Exchange (the “NYSE”) that the NYSE suspended trading in, and had determined to commence proceedings to delist, the Company’s Public Warrants to purchase shares of the Company’s Class A-1 Common Stock (ticker symbol ACEL.WS) from the NYSE. The delisting was a result of the failure of the Public Warrants to comply with the continued listing standard set forth in Section 802.01D of the NYSE Listed Company Manual which requires the Company to maintain at least 100 public holders of a listed security.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77"/>
        <w:spacing w:after="0" w:line="306" w:lineRule="auto"/>
        <w:rPr>
          <w:sz w:val="20"/>
          <w:szCs w:val="20"/>
          <w:color w:val="auto"/>
        </w:rPr>
      </w:pPr>
      <w:r>
        <w:rPr>
          <w:rFonts w:ascii="Times New Roman" w:cs="Times New Roman" w:eastAsia="Times New Roman" w:hAnsi="Times New Roman"/>
          <w:sz w:val="18"/>
          <w:szCs w:val="18"/>
          <w:color w:val="auto"/>
        </w:rPr>
        <w:t>On August 14, 2020, 7,189,990 of the Private Placement Warrants were validly tendered representing approximately 99.93% of the total Private Placement Warrants outstanding. The Company accepted all such warrants and issued an aggregate of 1,797,474 shares of its Class A-1 Common Stock in exchange for the warrants tendered. As of June 30, 2022, 5,144 warrants remain outstanding.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64" w:lineRule="exact"/>
        <w:rPr>
          <w:sz w:val="20"/>
          <w:szCs w:val="20"/>
          <w:color w:val="auto"/>
        </w:rPr>
      </w:pPr>
    </w:p>
    <w:p>
      <w:pPr>
        <w:jc w:val="both"/>
        <w:ind w:right="20" w:firstLine="318"/>
        <w:spacing w:after="0" w:line="32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framework for measuring fair value and the corresponding disclosure requirements around fair value measurements. This topic applies to all financial instruments that are being measured and reported on a fair value basis.</w:t>
      </w:r>
    </w:p>
    <w:p>
      <w:pPr>
        <w:spacing w:after="0" w:line="95"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highlight w:val="white"/>
        </w:rPr>
        <w:t>: Valuations for assets and liabilities traded in active exchange markets, such as the New York Stock Exchange. Level 1 also includes U.S.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Treasury and federal agency securities and federal agency mortgage-backed securities, which are traded by dealers or brokers in active markets.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Valuations are obtained from readily available pricing sources for market transactions involving identical assets or liabilities.</w:t>
      </w:r>
    </w:p>
    <w:p>
      <w:pPr>
        <w:spacing w:after="0" w:line="178" w:lineRule="exact"/>
        <w:rPr>
          <w:sz w:val="20"/>
          <w:szCs w:val="20"/>
          <w:color w:val="auto"/>
        </w:rPr>
      </w:pPr>
    </w:p>
    <w:p>
      <w:pPr>
        <w:jc w:val="both"/>
        <w:ind w:left="320"/>
        <w:spacing w:after="0" w:line="33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highlight w:val="white"/>
        </w:rPr>
        <w:t>: Valuations for assets and liabilities traded in less active dealer or broker markets. Valuations are obtained from third-party pricing services for</w:t>
      </w:r>
      <w:r>
        <w:rPr>
          <w:rFonts w:ascii="Times New Roman" w:cs="Times New Roman" w:eastAsia="Times New Roman" w:hAnsi="Times New Roman"/>
          <w:sz w:val="18"/>
          <w:szCs w:val="18"/>
          <w:color w:val="auto"/>
        </w:rPr>
        <w:t xml:space="preserve"> identical or similar assets or liabilities.</w:t>
      </w:r>
    </w:p>
    <w:p>
      <w:pPr>
        <w:spacing w:after="0" w:line="70" w:lineRule="exact"/>
        <w:rPr>
          <w:sz w:val="20"/>
          <w:szCs w:val="20"/>
          <w:color w:val="auto"/>
        </w:rPr>
      </w:pPr>
    </w:p>
    <w:p>
      <w:pPr>
        <w:jc w:val="both"/>
        <w:ind w:left="320"/>
        <w:spacing w:after="0" w:line="314"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highlight w:val="white"/>
        </w:rPr>
        <w:t>: Valuations for assets and liabilities that are derived from other valuation methodologies, including option pricing models, discounted cash flow</w:t>
      </w:r>
      <w:r>
        <w:rPr>
          <w:rFonts w:ascii="Times New Roman" w:cs="Times New Roman" w:eastAsia="Times New Roman" w:hAnsi="Times New Roman"/>
          <w:sz w:val="18"/>
          <w:szCs w:val="18"/>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w:t>
      </w:r>
    </w:p>
    <w:p>
      <w:pPr>
        <w:spacing w:after="0" w:line="2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following tables summarize the Company’s assets that are measured at fair value on a recurring basis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6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8"/>
        </w:trPr>
        <w:tc>
          <w:tcPr>
            <w:tcW w:w="12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r>
      <w:tr>
        <w:trPr>
          <w:trHeight w:val="168"/>
        </w:trPr>
        <w:tc>
          <w:tcPr>
            <w:tcW w:w="1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1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4"/>
                <w:szCs w:val="14"/>
                <w:color w:val="auto"/>
              </w:rPr>
            </w:pPr>
          </w:p>
        </w:tc>
        <w:tc>
          <w:tcPr>
            <w:tcW w:w="21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59"/>
        </w:trPr>
        <w:tc>
          <w:tcPr>
            <w:tcW w:w="12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3"/>
                <w:szCs w:val="13"/>
                <w:color w:val="auto"/>
              </w:rPr>
            </w:pPr>
          </w:p>
        </w:tc>
        <w:tc>
          <w:tcPr>
            <w:tcW w:w="2140" w:type="dxa"/>
            <w:vAlign w:val="bottom"/>
            <w:gridSpan w:val="2"/>
          </w:tcPr>
          <w:p>
            <w:pPr>
              <w:jc w:val="center"/>
              <w:ind w:right="1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r>
      <w:tr>
        <w:trPr>
          <w:trHeight w:val="199"/>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7"/>
                <w:szCs w:val="17"/>
                <w:color w:val="auto"/>
              </w:rPr>
            </w:pPr>
          </w:p>
        </w:tc>
        <w:tc>
          <w:tcPr>
            <w:tcW w:w="21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r>
      <w:tr>
        <w:trPr>
          <w:trHeight w:val="24"/>
        </w:trPr>
        <w:tc>
          <w:tcPr>
            <w:tcW w:w="122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960" w:type="dxa"/>
            <w:vAlign w:val="bottom"/>
          </w:tcPr>
          <w:p>
            <w:pPr>
              <w:spacing w:after="0"/>
              <w:rPr>
                <w:sz w:val="19"/>
                <w:szCs w:val="19"/>
                <w:color w:val="auto"/>
              </w:rPr>
            </w:pPr>
          </w:p>
        </w:tc>
      </w:tr>
      <w:tr>
        <w:trPr>
          <w:trHeight w:val="240"/>
        </w:trPr>
        <w:tc>
          <w:tcPr>
            <w:tcW w:w="12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32,065</w:t>
            </w:r>
          </w:p>
        </w:tc>
        <w:tc>
          <w:tcPr>
            <w:tcW w:w="960" w:type="dxa"/>
            <w:vAlign w:val="bottom"/>
          </w:tcPr>
          <w:p>
            <w:pPr>
              <w:spacing w:after="0"/>
              <w:rPr>
                <w:sz w:val="20"/>
                <w:szCs w:val="20"/>
                <w:color w:val="auto"/>
              </w:rPr>
            </w:pPr>
          </w:p>
        </w:tc>
      </w:tr>
      <w:tr>
        <w:trPr>
          <w:trHeight w:val="26"/>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r>
      <w:tr>
        <w:trPr>
          <w:trHeight w:val="265"/>
        </w:trPr>
        <w:tc>
          <w:tcPr>
            <w:tcW w:w="1220" w:type="dxa"/>
            <w:vAlign w:val="bottom"/>
          </w:tcPr>
          <w:p>
            <w:pPr>
              <w:spacing w:after="0"/>
              <w:rPr>
                <w:sz w:val="23"/>
                <w:szCs w:val="23"/>
                <w:color w:val="auto"/>
              </w:rPr>
            </w:pPr>
          </w:p>
        </w:tc>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caplets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3"/>
                <w:szCs w:val="23"/>
                <w:color w:val="auto"/>
              </w:rPr>
            </w:pPr>
          </w:p>
        </w:tc>
      </w:tr>
      <w:tr>
        <w:trPr>
          <w:trHeight w:val="219"/>
        </w:trPr>
        <w:tc>
          <w:tcPr>
            <w:tcW w:w="122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45,014</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12,949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32,065</w:t>
            </w:r>
          </w:p>
        </w:tc>
        <w:tc>
          <w:tcPr>
            <w:tcW w:w="9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83"/>
        </w:trPr>
        <w:tc>
          <w:tcPr>
            <w:tcW w:w="1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2"/>
        </w:trPr>
        <w:tc>
          <w:tcPr>
            <w:tcW w:w="122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gridSpan w:val="7"/>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8"/>
        </w:trPr>
        <w:tc>
          <w:tcPr>
            <w:tcW w:w="3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8"/>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4"/>
                <w:szCs w:val="14"/>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59"/>
        </w:trPr>
        <w:tc>
          <w:tcPr>
            <w:tcW w:w="3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3"/>
                <w:szCs w:val="13"/>
                <w:color w:val="auto"/>
              </w:rPr>
            </w:pPr>
          </w:p>
        </w:tc>
        <w:tc>
          <w:tcPr>
            <w:tcW w:w="1180" w:type="dxa"/>
            <w:vAlign w:val="bottom"/>
          </w:tcPr>
          <w:p>
            <w:pPr>
              <w:jc w:val="center"/>
              <w:ind w:right="85"/>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r>
      <w:tr>
        <w:trPr>
          <w:trHeight w:val="199"/>
        </w:trPr>
        <w:tc>
          <w:tcPr>
            <w:tcW w:w="338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7"/>
                <w:szCs w:val="17"/>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r>
      <w:tr>
        <w:trPr>
          <w:trHeight w:val="24"/>
        </w:trPr>
        <w:tc>
          <w:tcPr>
            <w:tcW w:w="3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66"/>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auto"/>
              </w:rPr>
              <w:t>32,065</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convertible notes</w:t>
      </w:r>
    </w:p>
    <w:p>
      <w:pPr>
        <w:spacing w:after="0" w:line="127" w:lineRule="exact"/>
        <w:rPr>
          <w:sz w:val="20"/>
          <w:szCs w:val="20"/>
          <w:color w:val="auto"/>
        </w:rPr>
      </w:pPr>
    </w:p>
    <w:p>
      <w:pPr>
        <w:jc w:val="both"/>
        <w:ind w:firstLine="318"/>
        <w:spacing w:after="0" w:line="296" w:lineRule="auto"/>
        <w:rPr>
          <w:sz w:val="20"/>
          <w:szCs w:val="20"/>
          <w:color w:val="auto"/>
        </w:rPr>
      </w:pPr>
      <w:r>
        <w:rPr>
          <w:rFonts w:ascii="Times New Roman" w:cs="Times New Roman" w:eastAsia="Times New Roman" w:hAnsi="Times New Roman"/>
          <w:sz w:val="18"/>
          <w:szCs w:val="18"/>
          <w:color w:val="auto"/>
        </w:rPr>
        <w:t xml:space="preserve">As described in Note 4, on July 30, 2021, the Company provided notice to Gold Rush that it was exercising its rights to convert the convertible notes into common stock of Gold Rush, subject to approval from the IGB to transfer the common stock to the Company. Accordingly, beginning in the third quarter of 2021, given the pending request for regulatory approval on the transfer of equity interest, the fair value of the convertible notes was estimated using a probability-weighted approach. Assuming 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the Company would request immediate redemption of the principal and accrued interest and the discount rate was estimated based on comparable public debt rates. This assumption did not consider legal claims the Company may have under the convertible notes to receive the economic value of the conversion shares, even if transfer of the actual ownership interest in Gold Rush to Accel was not approved by the IGB. After the IGB Administrator’s denial of the transfer of the equity interest on December 2, 2021, the Company concluded that the fair value of the convertible notes should be calculated as principal plus interest accrued as of December 31, 2021. The Company has considered interest as an input to the accounting fair value for all periods and periodically revaluates its impact, if any, based on developments including the pending lawsuit against Gold Rush. For the avoidance of doubt, this fair value is less than what Accel maintains Gold Rush owes Accel under the convertible notes, but is consistent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This valuation of the Company's investment in convertible notes is considered to be a Level 3 fair value measurement as the significant inputs are unobservable and the Company is pursuing its legal remedies with respect to the amounts owed by Gold Rush.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caplets</w:t>
      </w:r>
    </w:p>
    <w:p>
      <w:pPr>
        <w:spacing w:after="0" w:line="127"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Company determines the fair value of the interest rate caplets using quotes that are based on models whose inputs are observable LIBOR forward interest rate curves. The valuation of the interest rate caplets is considered to be a Level 2 fair value measurement as the significant inputs are observable. Changes in the fair value of interest rate caplets are classified within other comprehensive income on the accompanying condensed consolidated statements of operations and comprehensive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measured at fair value</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summarizes the Company’s liabilities that are measured at fair value on a recurring basis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8"/>
        </w:trPr>
        <w:tc>
          <w:tcPr>
            <w:tcW w:w="10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r>
      <w:tr>
        <w:trPr>
          <w:trHeight w:val="154"/>
        </w:trPr>
        <w:tc>
          <w:tcPr>
            <w:tcW w:w="10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10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4"/>
                <w:szCs w:val="14"/>
                <w:color w:val="auto"/>
              </w:rPr>
            </w:pPr>
          </w:p>
        </w:tc>
        <w:tc>
          <w:tcPr>
            <w:tcW w:w="21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2"/>
        </w:trPr>
        <w:tc>
          <w:tcPr>
            <w:tcW w:w="10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4"/>
                <w:szCs w:val="14"/>
                <w:color w:val="auto"/>
              </w:rPr>
            </w:pPr>
          </w:p>
        </w:tc>
        <w:tc>
          <w:tcPr>
            <w:tcW w:w="21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86"/>
        </w:trPr>
        <w:tc>
          <w:tcPr>
            <w:tcW w:w="10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Pr>
          <w:p>
            <w:pPr>
              <w:spacing w:after="0"/>
              <w:rPr>
                <w:sz w:val="16"/>
                <w:szCs w:val="16"/>
                <w:color w:val="auto"/>
              </w:rPr>
            </w:pPr>
          </w:p>
        </w:tc>
        <w:tc>
          <w:tcPr>
            <w:tcW w:w="21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38"/>
        </w:trPr>
        <w:tc>
          <w:tcPr>
            <w:tcW w:w="1020" w:type="dxa"/>
            <w:vAlign w:val="bottom"/>
          </w:tcPr>
          <w:p>
            <w:pPr>
              <w:spacing w:after="0"/>
              <w:rPr>
                <w:sz w:val="3"/>
                <w:szCs w:val="3"/>
                <w:color w:val="auto"/>
              </w:rPr>
            </w:pPr>
          </w:p>
        </w:tc>
        <w:tc>
          <w:tcPr>
            <w:tcW w:w="3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1020" w:type="dxa"/>
            <w:vAlign w:val="bottom"/>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0" w:type="dxa"/>
            <w:vAlign w:val="bottom"/>
          </w:tcPr>
          <w:p>
            <w:pPr>
              <w:spacing w:after="0"/>
              <w:rPr>
                <w:sz w:val="19"/>
                <w:szCs w:val="19"/>
                <w:color w:val="auto"/>
              </w:rPr>
            </w:pPr>
          </w:p>
        </w:tc>
      </w:tr>
      <w:tr>
        <w:trPr>
          <w:trHeight w:val="240"/>
        </w:trPr>
        <w:tc>
          <w:tcPr>
            <w:tcW w:w="102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000" w:type="dxa"/>
            <w:vAlign w:val="bottom"/>
          </w:tcPr>
          <w:p>
            <w:pPr>
              <w:spacing w:after="0"/>
              <w:rPr>
                <w:sz w:val="20"/>
                <w:szCs w:val="20"/>
                <w:color w:val="auto"/>
              </w:rPr>
            </w:pPr>
          </w:p>
        </w:tc>
      </w:tr>
      <w:tr>
        <w:trPr>
          <w:trHeight w:val="26"/>
        </w:trPr>
        <w:tc>
          <w:tcPr>
            <w:tcW w:w="10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r>
      <w:tr>
        <w:trPr>
          <w:trHeight w:val="245"/>
        </w:trPr>
        <w:tc>
          <w:tcPr>
            <w:tcW w:w="10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earnout shares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33,692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r>
      <w:tr>
        <w:trPr>
          <w:trHeight w:val="240"/>
        </w:trPr>
        <w:tc>
          <w:tcPr>
            <w:tcW w:w="102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10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279"/>
        </w:trPr>
        <w:tc>
          <w:tcPr>
            <w:tcW w:w="1020" w:type="dxa"/>
            <w:vAlign w:val="bottom"/>
          </w:tcPr>
          <w:p>
            <w:pPr>
              <w:spacing w:after="0"/>
              <w:rPr>
                <w:sz w:val="24"/>
                <w:szCs w:val="24"/>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33,705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0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50"/>
        </w:trPr>
        <w:tc>
          <w:tcPr>
            <w:tcW w:w="1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2"/>
        </w:trPr>
        <w:tc>
          <w:tcPr>
            <w:tcW w:w="10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303"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r>
      <w:tr>
        <w:trPr>
          <w:trHeight w:val="38"/>
        </w:trPr>
        <w:tc>
          <w:tcPr>
            <w:tcW w:w="3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8"/>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59"/>
        </w:trPr>
        <w:tc>
          <w:tcPr>
            <w:tcW w:w="3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3"/>
                <w:szCs w:val="13"/>
                <w:color w:val="auto"/>
              </w:rPr>
            </w:pPr>
          </w:p>
        </w:tc>
        <w:tc>
          <w:tcPr>
            <w:tcW w:w="1180" w:type="dxa"/>
            <w:vAlign w:val="bottom"/>
          </w:tcPr>
          <w:p>
            <w:pPr>
              <w:jc w:val="center"/>
              <w:ind w:right="59"/>
              <w:spacing w:after="0" w:line="159"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99"/>
        </w:trPr>
        <w:tc>
          <w:tcPr>
            <w:tcW w:w="354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4"/>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0"/>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6"/>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42,831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42,844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06"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condensed consolidated statements of operations and comprehensive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shares</w:t>
      </w:r>
    </w:p>
    <w:p>
      <w:pPr>
        <w:spacing w:after="0" w:line="206"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(gain) loss on change in fair value of contingent earnout shares on the accompanying condensed consolidated statements of operations and comprehensive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06"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The Company determined the fair value of its warrants by using a Black-Scholes option-pricing model. The Black-Scholes option-pricing model requires inputs such as the fair value of the Company's A-1 Common Stock, the risk-free interest rate, expected term, expected dividend yield and expected volatility. The Company's valuation of its warrants is considered to be a Level 2 fair value measurement. Changes in the fair value of the warrants are included within gain on change in fair value of warrants on the accompanying condensed consolidated statements of operations and comprehensive income, if applicable. There was no change in the fair value of the warrants for the three and six months ended June 30, 2022 and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222222"/>
        </w:rPr>
        <w:t>P</w:t>
      </w:r>
      <w:r>
        <w:rPr>
          <w:rFonts w:ascii="Times New Roman" w:cs="Times New Roman" w:eastAsia="Times New Roman" w:hAnsi="Times New Roman"/>
          <w:sz w:val="18"/>
          <w:szCs w:val="18"/>
          <w:color w:val="000000"/>
        </w:rPr>
        <w:t>ursuant to the terms of the Company’s Amended and Restated Certificate of Incorporation, the Company authorized and has available for issuance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following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A-1 Common Stock</w:t>
      </w:r>
    </w:p>
    <w:p>
      <w:pPr>
        <w:spacing w:after="0" w:line="20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06"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On November 22, 2021, the Company’s Board of Directors approved a share repurchase program of up to $200 million of shares of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June 30, 2022, the Company purchased a total of 4,115,708 shares under the plan at a total cost of $48.4 million, of which 3,414,403 shares at a cost of $39.4 million were purchased during the six months ended June 30,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Company grants various types of stock-based compensation awards. The Company measures its stock-based compensation expense based on the grant date fair value of the award and recognizes the expense over the requisite service period for the respective award.</w:t>
      </w:r>
    </w:p>
    <w:p>
      <w:pPr>
        <w:spacing w:after="0" w:line="111"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Under the Accel Entertainment, Inc. Long Term Incentive Plan, the Company granted 225,881 stock options to eligible officers and employees of the Company during the first quarter of 2022, which shall vest over a period of 4 years. Also in the first quarter of 2022, the Company issued 411,600 restricted stock units (“RSUs”) to the board of directors and certain employees, which shall vest over a period of 4 years for employees and a period of approximately 9 months for board of directors. The estimated grant date fair value of these options and RSUs totaled $7.0 million.</w:t>
      </w:r>
    </w:p>
    <w:p>
      <w:pPr>
        <w:spacing w:after="0" w:line="142"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Company granted 50,000 stock options to eligible officers and employees of the Company during the second quarter of 2022, which shall vest over a period of 4 years. Also in the second quarter of 2022, the Company issued 90,000 RSUs to certain employees, which shall vest over a period of 4 years. The estimated grant date fair value of these options and RSUs totaled $1.4 million.</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Stock-based compensation expense, which pertains to the Company’s stock options and RSUs, was $2.3 million and $3.9 million for the three and six months ended June 30, 2022. In comparison, stock-based compensation expense was $2.1 million and $3.7 million for the three and six months ended June 30, 2021. Stock-based compensation expense is included within general and administrative expenses in the condensed consolidated statements of operations and other comprehensive income.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Company recognized income tax expense of $6.8 million and $11.6 million for the three and six months ended June 30, 2022, respectively. In comparison, the Company recognized income tax expense of $5.9 million and $7.8 million for the three and six months ended June 30, 2021, respectively.</w:t>
      </w:r>
    </w:p>
    <w:p>
      <w:pPr>
        <w:spacing w:after="0" w:line="111"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23% for both the three and six months ended June 30, 2022. In comparison, the Company's effective tax rate was 32% and 36% for the three and six months ended June 30, 2021, respectively. The Company’s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25" w:lineRule="exact"/>
        <w:rPr>
          <w:sz w:val="20"/>
          <w:szCs w:val="20"/>
          <w:color w:val="auto"/>
        </w:rPr>
      </w:pPr>
    </w:p>
    <w:p>
      <w:pPr>
        <w:jc w:val="both"/>
        <w:ind w:firstLine="239"/>
        <w:spacing w:after="0" w:line="306" w:lineRule="auto"/>
        <w:rPr>
          <w:sz w:val="20"/>
          <w:szCs w:val="20"/>
          <w:color w:val="auto"/>
        </w:rPr>
      </w:pPr>
      <w:r>
        <w:rPr>
          <w:rFonts w:ascii="Times New Roman" w:cs="Times New Roman" w:eastAsia="Times New Roman" w:hAnsi="Times New Roman"/>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24"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On August 21, 2012, one of the Company’s operating subsidiaries entered into certain agreements with Jason Rowell (“Rowell”), a member of Action Gaming LLC (“Action Gaming”), which was an unlicensed terminal operator that had exclusive rights to place and operate video gaming terminals (“VGTs”) within a number of establishments, including the Defendant Establishments. Under agreements with Rowell, the Company agreed to pay him for each licensed establishment which decided to enter into exclusive location agreements with the Company. In late August and early September 2012, each of the Defendant Establishments signed separate location agreements with the Company, purporting to grant it the exclusive right to operate VGTs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w:t>
      </w:r>
    </w:p>
    <w:p>
      <w:pPr>
        <w:spacing w:after="0" w:line="132"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the Company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132" w:lineRule="exact"/>
        <w:rPr>
          <w:sz w:val="20"/>
          <w:szCs w:val="20"/>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3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Between May 2017 and September 2017, both the Company and J&amp;J filed petitions with the IGB seeking adjudication of the rights of the parties and the validity of the use agreements. Those petitions were recently adjudicated by the IGB, largely in Accel’s favor, and J&amp;J has filed a new lawsuit to challenge the IGB’s rulings. The Company does not have a present estimate regarding the potential damages, if any, that could potentially be awarded in this litigation and, accordingly, have established no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relating to such matters. There are also petitions pending with the IGB which could lead to the Company obtaining new locations.</w:t>
      </w:r>
    </w:p>
    <w:p>
      <w:pPr>
        <w:spacing w:after="0" w:line="204"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October 7, 2019, the Company filed a lawsuit in the Circuit Court of Cook County, Illinois against Jason Rowell and other parties related to Mr. Rowell’s breaches of his non-compete agreement with the Company.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Mr. Rowell's claims and the Company's claims are both being litigated in this lawsuit, while the original lawsuit remains pending against the other defendants.</w:t>
      </w:r>
    </w:p>
    <w:p>
      <w:pPr>
        <w:spacing w:after="0" w:line="127"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On July 2, 2019, Illinois Gaming Investors, LLC filed a lawsuit against the Company. The lawsuit alleges that a current employee of the Company violated his non-competition agreement with Illinois Gaming Investors, LLC, and together with the Company, wrongfully solicited prohibited licensed video gaming locations. The parties settled this dispute in April 2022.</w:t>
      </w:r>
    </w:p>
    <w:p>
      <w:pPr>
        <w:spacing w:after="0" w:line="11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On July 22, 2022, both parties filed motions for summary judgement.</w:t>
      </w:r>
    </w:p>
    <w:p>
      <w:pPr>
        <w:spacing w:after="0" w:line="124"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The Company intends to vigorously defend itself against the allegations in the complaint and denies any allegations of wrongdoing. For more information on the Gold Rush convertible notes, see Note 4.</w:t>
      </w:r>
    </w:p>
    <w:p>
      <w:pPr>
        <w:spacing w:after="0" w:line="140" w:lineRule="exact"/>
        <w:rPr>
          <w:sz w:val="20"/>
          <w:szCs w:val="20"/>
          <w:color w:val="auto"/>
        </w:rPr>
      </w:pPr>
    </w:p>
    <w:p>
      <w:pPr>
        <w:jc w:val="both"/>
        <w:ind w:firstLine="318"/>
        <w:spacing w:after="0" w:line="331"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w:t>
      </w:r>
    </w:p>
    <w:p>
      <w:pPr>
        <w:spacing w:after="0" w:line="106"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On April 22, 2022, we filed a petition in the Circuit Court of Cook County, Illinois to judicially review the IGB's decision to deny the requested transfer of Gold Rush common stock in respect of our conversion of the convertible notes.</w:t>
      </w:r>
    </w:p>
    <w:p>
      <w:pPr>
        <w:spacing w:after="0" w:line="125"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Given the status of the legal proceedings discussed above, the Company has determined that a legal liability was probable and recorded a loss of $1.0 million for the six months ended June 30, 2022, which is included within other expenses, net in the condensed consolidated statement of operations and other comprehensive income. The Company paid legal settlements totaling $1.6 million during the six months ended June 30, 2022 related to these legal proceedings, which includes the previously mentioned $1.0 million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Related-Party Transactions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Subsequent to the Company's acquisition of certain assets of Fair Share Gaming, LLC (“Fair Share”), G3 Gaming, LLC (“G3”), Tom’s Amusement Company, Inc., (“Tom's Amusements”), and American Video Gaming, LLC, and Erickson Amusements, Inc. (collectively referred to as “AVG”), the sellers became employees of the Company.</w:t>
      </w:r>
    </w:p>
    <w:p>
      <w:pPr>
        <w:spacing w:after="0" w:line="137"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Consideration payable to the Fair Share seller was $1.6 million and $2.4 million as of June 30, 2022 and December 31, 2021, respectively. Payments to the Fair Share seller under the acquisition agreement were $1.0 million and $0.3 million during the six months ended June 30, 2022 and 2021, respectively.</w:t>
      </w:r>
    </w:p>
    <w:p>
      <w:pPr>
        <w:spacing w:after="0" w:line="111"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Consideration payable to the G3 sellers was $0.4 million as of June 30, 2022 and December 31, 2021. There were no payments to the G3 sellers under the acquisition agreement during the six months ended June 30, 2022 and 2021.</w:t>
      </w:r>
    </w:p>
    <w:p>
      <w:pPr>
        <w:spacing w:after="0" w:line="111"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Consideration payable to the Tom's Amusements seller was $0.8 million and $1.5 million as of June 30, 2022 and December 31, 2021, respectively. Payments to the Tom's Amusements seller under the acquisition agreement were $0.8 million during the six months ended June 30, 2022. There were no payments to the Tom's Amusements seller during the six months ended June 30, 2021.</w:t>
      </w:r>
    </w:p>
    <w:p>
      <w:pPr>
        <w:spacing w:after="0" w:line="116"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Consideration payable to the AVG seller was $0.4 million as of June 30, 2022 and December 31, 2021. There were no payments to the AVG seller during the six months ended June 30, 2022 and 2021.</w:t>
      </w:r>
    </w:p>
    <w:p>
      <w:pPr>
        <w:spacing w:after="0" w:line="111"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The Company engaged Much Shelist, P.C. (“Much Shelist”), as its legal counsel for general legal and business matters. An attorney at Much Shelist is a related party to management of the Company. Accel paid Much Shelist $0.1 million for both the six months ended June 30, 2022 and 2021. These payments were included in general and administrative expenses within the condensed consolidated statements of operations and comprehensive income.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Earnings Per Share</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components of basic and diluted earnings per share (“EPS”) were as follows for the three and six months ended June 30 (in thousands, except per share amounts):</w:t>
      </w:r>
    </w:p>
    <w:p>
      <w:pPr>
        <w:spacing w:after="0" w:line="70"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040" w:type="dxa"/>
            <w:vAlign w:val="bottom"/>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0"/>
                <w:szCs w:val="20"/>
                <w:color w:val="auto"/>
              </w:rPr>
            </w:pPr>
          </w:p>
        </w:tc>
      </w:tr>
      <w:tr>
        <w:trPr>
          <w:trHeight w:val="26"/>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5"/>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13,946</w:t>
            </w:r>
          </w:p>
        </w:tc>
      </w:tr>
      <w:tr>
        <w:trPr>
          <w:trHeight w:val="265"/>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outstanding shares of common stock</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92,328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92,484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93,452</w:t>
            </w:r>
          </w:p>
        </w:tc>
      </w:tr>
      <w:tr>
        <w:trPr>
          <w:trHeight w:val="265"/>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 for common stock</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930</w:t>
            </w: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outstanding shares of common stock</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93,001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93,195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94,382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65"/>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23"/>
                <w:szCs w:val="23"/>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23"/>
                <w:szCs w:val="23"/>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r>
      <w:tr>
        <w:trPr>
          <w:trHeight w:val="265"/>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60" w:lineRule="exact"/>
        <w:rPr>
          <w:sz w:val="20"/>
          <w:szCs w:val="20"/>
          <w:color w:val="auto"/>
        </w:rPr>
      </w:pPr>
    </w:p>
    <w:p>
      <w:pPr>
        <w:ind w:firstLine="318"/>
        <w:spacing w:after="0" w:line="320" w:lineRule="auto"/>
        <w:rPr>
          <w:sz w:val="20"/>
          <w:szCs w:val="20"/>
          <w:color w:val="auto"/>
        </w:rPr>
      </w:pPr>
      <w:r>
        <w:rPr>
          <w:rFonts w:ascii="Times New Roman" w:cs="Times New Roman" w:eastAsia="Times New Roman" w:hAnsi="Times New Roman"/>
          <w:sz w:val="18"/>
          <w:szCs w:val="18"/>
          <w:color w:val="auto"/>
        </w:rPr>
        <w:t>Anti-dilutive stock-based awards, contingent earnout shares and warrants excluded from the calculations of diluted EPS were 5,302,040 and 5,078,745 as of June 30, 2022 and 2021,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 Entertainment, Inc. and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August 1, 2022, the Company acquired from VVS, Inc. (“VVS”), a licensed distributor of MADs in Nebraska, substantially all of its MAD and ATM assets. The acquisition of VVS adds approximately 250 MAD locations in the greater Lincoln area. The total purchase price was approximately $12 million, of which the Company paid approximately $9.5 million in cash at closing. The remaining $2.5 million of contingent consideration is to be paid in cash if a net revenue target is achieved as of the first anniversary of the consummation of the transaction.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and those discussed in the section titled “Risk Factors” included in our Annual Report on Form 10-K for the year ended December 31, 2021. This discussion and analysis should also be read in conjunction with “Management’s Discussion and Analysis of Financial Condition and Results of Operations”, set forth in our Annual Report on Form 10-K for the year ended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93"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We believe we are a leading distributed gaming operator in the United States on an Adjusted EBITDA basis, and a preferred partner for local business owners in the Illinois market. Our business consists of the installation, maintenance and operation of gaming terminals , redemption devices that disburse winnings and contain automated teller machine (“ATM”) functionality, and other amusement devices in authorized non-casino locations such as restaurants, bars, taverns, convenience stores, liquor stores, truck stops, and grocery stores. We also operate stand-alone ATMs in gaming and non-gaming locations. We have been licensed by the Illinois Gaming Board (“IGB”) since 2012, received approval from the Georgia Lottery Corporation as a Master Licensee in July 2020, and holds a license from the Pennsylvania Gaming Control Board since November 2020. On December 30, 2021, one of the our consolidated subsidiaries acquired amusement and ATM operations in Iowa and registered with the Iowa Department of Inspections and Appeals to conduct operations in Iowa. On June 1, 2022, we acquired Century Gaming, Inc. (“Century”), which is a leading distributed gaming operator in the Montana and Nevada gaming markets. Century is also a manufacturer of gaming terminals in the Montana, Nevada, South Dakota, Louisiana and West Virginia markets. In connection with the acquisition, Accel was granted a two-year terminal operator license by the Nevada Gaming Commission and a manufacturer, distributor and route operator license by the Gambling Control Division of the Montana Department of Justice through June 2023. The Montana license is renewable annually. In June 2022, we became a licensed distributor of mechanical amusement devices (“MADs”) in Nebraska and commenced operations in this market. We are also subject to various other federal, state and local laws and regulations in addition to gaming regulations.</w:t>
      </w:r>
    </w:p>
    <w:p>
      <w:pPr>
        <w:spacing w:after="0" w:line="119" w:lineRule="exact"/>
        <w:rPr>
          <w:sz w:val="20"/>
          <w:szCs w:val="20"/>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Our gaming-as-a-service platform provides local businesses with a turnkey, capital efficient gaming solution. We own all of our gaming equipment and manage the entire operating process for our location partners. We also offer our location partners gaming solutions that appeal to players who patronize those businesses. We devote significant resources to location partner retention, and seek to provide prompt, personalized player service and support, which we believe is unparalleled among other distributed gaming operators. Dedicated relationship managers assist location partners with regulatory applications and compliance onboarding, train location partners on how to engage with players and potential players, monitor individual gaming areas for compliance, cleanliness and comfort and recommend potential changes to improve both player gaming experience and overall revenue for each location. We also provide weekly gaming revenue reports to our location partners and analyze and compare gaming results within individual location partners. This information is used to determine an optimal selection of games, layouts and other ideas to generate foot traffic for our location partners with the goal of generating increased gaming revenue. Further, our in-house collections and security personnel provide highly secure cash transportation and vault management services. Our best-in-class technicians ensure minimal downtime through proactive service and routine maintenance. As a result, Accel’s voluntary contract renewal rate was approximately 99% for the three-year period ended December 31, 2021.</w:t>
      </w:r>
    </w:p>
    <w:p>
      <w:pPr>
        <w:spacing w:after="0" w:line="118"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In addition to our gaming business, we also install, operate and service redemption devices that have ATM functionality, stand-alone ATMs and amusement devices, including jukeboxes, dartboards, pool tables, pinball machines and other related entertainment equipment. These operations provide a complementary source of lead generation for our gaming business by offering a “one-stop” source of additional equipment for its location partners. If we are presented with appropriate opportunities, we may acquire other additional businesses, services, resources, or assets, including hospitality operations, that are accretive to our core gaming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COVID-19 outbreak and its related variants are having a significant impact on global markets as a result of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29" w:lineRule="exact"/>
        <w:rPr>
          <w:sz w:val="20"/>
          <w:szCs w:val="20"/>
          <w:color w:val="auto"/>
        </w:rPr>
      </w:pPr>
    </w:p>
    <w:p>
      <w:pPr>
        <w:jc w:val="both"/>
        <w:ind w:firstLine="318"/>
        <w:spacing w:after="0" w:line="300" w:lineRule="auto"/>
        <w:rPr>
          <w:sz w:val="20"/>
          <w:szCs w:val="20"/>
          <w:color w:val="auto"/>
        </w:rPr>
      </w:pPr>
      <w:r>
        <w:rPr>
          <w:rFonts w:ascii="Times New Roman" w:cs="Times New Roman" w:eastAsia="Times New Roman" w:hAnsi="Times New Roman"/>
          <w:sz w:val="18"/>
          <w:szCs w:val="18"/>
          <w:color w:val="auto"/>
        </w:rPr>
        <w:t>A surge of COVID-19 infections occurred in the fall of 2020, as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location. Given the staggered reopening by region in January of 2021, the temporary shutdown impacted, on average, 18 of the 181 gaming days (or 10% of gaming days) during the six months ended June 30, 2021. In light of these events and their effect on the Company’s employees and location partners, the Company took action to help mitigate the potential effects caused by the temporary cessation of operations by furloughing idle staff as appropriate and deferring certain payments to major vendors.</w:t>
      </w:r>
    </w:p>
    <w:p>
      <w:pPr>
        <w:spacing w:after="0" w:line="132"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As a result of these developments, the Company's revenues, results of operations and cash flows were materially affected for the six months ended June 30, 2021.</w:t>
      </w:r>
    </w:p>
    <w:p>
      <w:pPr>
        <w:spacing w:after="0" w:line="111"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While variants of COVID-19 continue to impact infection rates and the healthcare system, it is possible that the regulating bodies or the states in which we operate may order future shutdowns, or a complete suspension of video gaming in the state, or institute stay-at-home, closure or other similar orders or measures in the future in response to COVID-19 and its related variants. For example, under the guidelines provided by the Illinois Department of Health and Governor’s office, the IGB has been closely monitoring Illinois' COVID-19 related statistics including the positivity rate, hospital admissions, and hospital bed availability in each region of the state. As such, there may be additional operational and financial impacts on the business from future resurgences of COVID-19 and its variant strains, which we cannot reasonably anticipate.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Acquisition</w:t>
      </w:r>
    </w:p>
    <w:p>
      <w:pPr>
        <w:spacing w:after="0" w:line="206"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June 1, 2022, we completed our previously announced acquisition of all of the outstanding equity interests of Century Gaming, Inc., a Montana corporation.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 financial results for the three and six months ended June 30, 2022 includes the results of Century from the date of acquisition.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0" w:lineRule="exact"/>
        <w:rPr>
          <w:sz w:val="20"/>
          <w:szCs w:val="20"/>
          <w:color w:val="auto"/>
        </w:rPr>
      </w:pPr>
    </w:p>
    <w:p>
      <w:pPr>
        <w:ind w:left="320"/>
        <w:spacing w:after="0" w:line="323" w:lineRule="auto"/>
        <w:rPr>
          <w:sz w:val="20"/>
          <w:szCs w:val="20"/>
          <w:color w:val="auto"/>
        </w:rPr>
      </w:pPr>
      <w:r>
        <w:rPr>
          <w:rFonts w:ascii="Times New Roman" w:cs="Times New Roman" w:eastAsia="Times New Roman" w:hAnsi="Times New Roman"/>
          <w:sz w:val="18"/>
          <w:szCs w:val="18"/>
          <w:i w:val="1"/>
          <w:iCs w:val="1"/>
          <w:color w:val="auto"/>
        </w:rPr>
        <w:t xml:space="preserve">Net gaming. </w:t>
      </w:r>
      <w:r>
        <w:rPr>
          <w:rFonts w:ascii="Times New Roman" w:cs="Times New Roman" w:eastAsia="Times New Roman" w:hAnsi="Times New Roman"/>
          <w:sz w:val="18"/>
          <w:szCs w:val="18"/>
          <w:color w:val="auto"/>
        </w:rPr>
        <w:t>Net gaming revenue represents net cash received from gaming activities, which is the difference between gaming wins and losses.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revenue includes the amounts earned by our location partners and is recognized at the time of gaming play.</w:t>
      </w:r>
    </w:p>
    <w:p>
      <w:pPr>
        <w:spacing w:after="0" w:line="93" w:lineRule="exact"/>
        <w:rPr>
          <w:sz w:val="20"/>
          <w:szCs w:val="20"/>
          <w:color w:val="auto"/>
        </w:rPr>
      </w:pPr>
    </w:p>
    <w:p>
      <w:pPr>
        <w:ind w:left="320"/>
        <w:spacing w:after="0" w:line="323" w:lineRule="auto"/>
        <w:rPr>
          <w:sz w:val="20"/>
          <w:szCs w:val="20"/>
          <w:color w:val="auto"/>
        </w:rPr>
      </w:pPr>
      <w:r>
        <w:rPr>
          <w:rFonts w:ascii="Times New Roman" w:cs="Times New Roman" w:eastAsia="Times New Roman" w:hAnsi="Times New Roman"/>
          <w:sz w:val="18"/>
          <w:szCs w:val="18"/>
          <w:i w:val="1"/>
          <w:iCs w:val="1"/>
          <w:color w:val="auto"/>
        </w:rPr>
        <w:t xml:space="preserve">Amusement. </w:t>
      </w:r>
      <w:r>
        <w:rPr>
          <w:rFonts w:ascii="Times New Roman" w:cs="Times New Roman" w:eastAsia="Times New Roman" w:hAnsi="Times New Roman"/>
          <w:sz w:val="18"/>
          <w:szCs w:val="18"/>
          <w:color w:val="auto"/>
        </w:rPr>
        <w:t>Amusement revenue represents amounts collected from amusement devices operated at our various location partners and is recognized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the amusement device is used.</w:t>
      </w:r>
    </w:p>
    <w:p>
      <w:pPr>
        <w:spacing w:after="0" w:line="93" w:lineRule="exact"/>
        <w:rPr>
          <w:sz w:val="20"/>
          <w:szCs w:val="20"/>
          <w:color w:val="auto"/>
        </w:rPr>
      </w:pPr>
    </w:p>
    <w:p>
      <w:pPr>
        <w:ind w:left="320"/>
        <w:spacing w:after="0" w:line="323"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Manufacturing revenue represents sales of gaming terminals by Grand Vision Gaming, a wholly-owned subsidiary of Century,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designer and manufacturer of Class III gaming terminals.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320"/>
        <w:spacing w:after="0" w:line="323" w:lineRule="auto"/>
        <w:rPr>
          <w:sz w:val="20"/>
          <w:szCs w:val="20"/>
          <w:color w:val="auto"/>
        </w:rPr>
      </w:pPr>
      <w:r>
        <w:rPr>
          <w:rFonts w:ascii="Times New Roman" w:cs="Times New Roman" w:eastAsia="Times New Roman" w:hAnsi="Times New Roman"/>
          <w:sz w:val="18"/>
          <w:szCs w:val="18"/>
          <w:i w:val="1"/>
          <w:iCs w:val="1"/>
          <w:color w:val="auto"/>
        </w:rPr>
        <w:t xml:space="preserve">ATM fees and other revenue. </w:t>
      </w:r>
      <w:r>
        <w:rPr>
          <w:rFonts w:ascii="Times New Roman" w:cs="Times New Roman" w:eastAsia="Times New Roman" w:hAnsi="Times New Roman"/>
          <w:sz w:val="18"/>
          <w:szCs w:val="18"/>
          <w:color w:val="auto"/>
        </w:rPr>
        <w:t>ATM fees and other revenue represents fees charged for the withdrawal of funds from Accel’s redemption devices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ATMs and is recognized at the time of the ATM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0" w:lineRule="exact"/>
        <w:rPr>
          <w:sz w:val="20"/>
          <w:szCs w:val="20"/>
          <w:color w:val="auto"/>
        </w:rPr>
      </w:pPr>
    </w:p>
    <w:p>
      <w:pPr>
        <w:jc w:val="both"/>
        <w:ind w:left="320"/>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(i) taxes on net video gaming revenue that is payable to the local jurisdiction, (ii) licenses, permits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required for the operation of gaming terminals and other equipment, (iii) location revenue share, which is governed by local governing bodies and location contracts, (iv) ATM and amusement commissions payable to locations, (v) ATM and amusement fees, and (vi) costs associated with the sale of gaming terminals.</w:t>
      </w:r>
    </w:p>
    <w:p>
      <w:pPr>
        <w:spacing w:after="0" w:line="112" w:lineRule="exact"/>
        <w:rPr>
          <w:sz w:val="20"/>
          <w:szCs w:val="20"/>
          <w:color w:val="auto"/>
        </w:rPr>
      </w:pPr>
    </w:p>
    <w:p>
      <w:pPr>
        <w:jc w:val="both"/>
        <w:ind w:left="320"/>
        <w:spacing w:after="0" w:line="325"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of operating expense and general and administrative (“</w:t>
      </w:r>
      <w:r>
        <w:rPr>
          <w:rFonts w:ascii="Times New Roman" w:cs="Times New Roman" w:eastAsia="Times New Roman" w:hAnsi="Times New Roman"/>
          <w:sz w:val="17"/>
          <w:szCs w:val="17"/>
          <w:i w:val="1"/>
          <w:iCs w:val="1"/>
          <w:color w:val="auto"/>
        </w:rPr>
        <w:t>G&amp;A</w:t>
      </w:r>
      <w:r>
        <w:rPr>
          <w:rFonts w:ascii="Times New Roman" w:cs="Times New Roman" w:eastAsia="Times New Roman" w:hAnsi="Times New Roman"/>
          <w:sz w:val="17"/>
          <w:szCs w:val="17"/>
          <w:color w:val="auto"/>
        </w:rPr>
        <w:t>”)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G&amp;A expense includes payroll and related expense for account managers, business development managers, marketing, and other corporate personnel. In addition, G&amp;A includes marketing, information technology, insurance, rent and professional fees.</w:t>
      </w:r>
    </w:p>
    <w:p>
      <w:pPr>
        <w:spacing w:after="0" w:line="96" w:lineRule="exact"/>
        <w:rPr>
          <w:sz w:val="20"/>
          <w:szCs w:val="20"/>
          <w:color w:val="auto"/>
        </w:rPr>
      </w:pPr>
    </w:p>
    <w:p>
      <w:pPr>
        <w:jc w:val="both"/>
        <w:ind w:left="320"/>
        <w:spacing w:after="0" w:line="323"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of property and equipment. </w:t>
      </w:r>
      <w:r>
        <w:rPr>
          <w:rFonts w:ascii="Times New Roman" w:cs="Times New Roman" w:eastAsia="Times New Roman" w:hAnsi="Times New Roman"/>
          <w:sz w:val="18"/>
          <w:szCs w:val="18"/>
          <w:color w:val="auto"/>
        </w:rPr>
        <w:t>Depreciation is computed using the straight-line method over the estimated useful lives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assets. Leasehold improvements are amortized over the shorter of the useful life or the lease.</w:t>
      </w:r>
    </w:p>
    <w:p>
      <w:pPr>
        <w:spacing w:after="0" w:line="93" w:lineRule="exact"/>
        <w:rPr>
          <w:sz w:val="20"/>
          <w:szCs w:val="20"/>
          <w:color w:val="auto"/>
        </w:rPr>
      </w:pPr>
    </w:p>
    <w:p>
      <w:pPr>
        <w:jc w:val="both"/>
        <w:ind w:left="320"/>
        <w:spacing w:after="0" w:line="299" w:lineRule="auto"/>
        <w:rPr>
          <w:sz w:val="20"/>
          <w:szCs w:val="20"/>
          <w:color w:val="auto"/>
        </w:rPr>
      </w:pPr>
      <w:r>
        <w:rPr>
          <w:rFonts w:ascii="Times New Roman" w:cs="Times New Roman" w:eastAsia="Times New Roman" w:hAnsi="Times New Roman"/>
          <w:sz w:val="18"/>
          <w:szCs w:val="18"/>
          <w:i w:val="1"/>
          <w:iCs w:val="1"/>
          <w:color w:val="auto"/>
        </w:rPr>
        <w:t xml:space="preserve">Amortization of route and customer acquisition costs and location contracts acquired. </w:t>
      </w:r>
      <w:r>
        <w:rPr>
          <w:rFonts w:ascii="Times New Roman" w:cs="Times New Roman" w:eastAsia="Times New Roman" w:hAnsi="Times New Roman"/>
          <w:sz w:val="18"/>
          <w:szCs w:val="18"/>
          <w:color w:val="auto"/>
        </w:rPr>
        <w:t>Route and customer acquisition costs consist of fees paid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of contracts entered into with third parties and the locations in the states we serve, which allow us to install and operate gaming terminals. The route and customer acquisition costs and route and customer acquisition costs payable are recorded at the net present value of the future payments using a discount rate equal to Accel’s incremental borrowing rate associated with its long-term debt. Route and customer acquisition costs are amortized on a straight-line basis over 18 years, which is the expected estimated life of the contract, including expected renewals.</w:t>
      </w:r>
    </w:p>
    <w:p>
      <w:pPr>
        <w:spacing w:after="0" w:line="119" w:lineRule="exact"/>
        <w:rPr>
          <w:sz w:val="20"/>
          <w:szCs w:val="20"/>
          <w:color w:val="auto"/>
        </w:rPr>
      </w:pPr>
    </w:p>
    <w:p>
      <w:pPr>
        <w:jc w:val="both"/>
        <w:ind w:left="320"/>
        <w:spacing w:after="0" w:line="336" w:lineRule="auto"/>
        <w:rPr>
          <w:sz w:val="20"/>
          <w:szCs w:val="20"/>
          <w:color w:val="auto"/>
        </w:rPr>
      </w:pPr>
      <w:r>
        <w:rPr>
          <w:rFonts w:ascii="Times New Roman" w:cs="Times New Roman" w:eastAsia="Times New Roman" w:hAnsi="Times New Roman"/>
          <w:sz w:val="18"/>
          <w:szCs w:val="18"/>
          <w:color w:val="auto"/>
        </w:rPr>
        <w:t>Location contracts acquired in a business combination are recorded at fair value and then amortized as an intangible asset on a straight-line basis over the expected useful life of 15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8" w:lineRule="exact"/>
        <w:rPr>
          <w:sz w:val="20"/>
          <w:szCs w:val="20"/>
          <w:color w:val="auto"/>
        </w:rPr>
      </w:pPr>
    </w:p>
    <w:p>
      <w:pPr>
        <w:jc w:val="both"/>
        <w:ind w:left="320"/>
        <w:spacing w:after="0" w:line="303" w:lineRule="auto"/>
        <w:rPr>
          <w:sz w:val="20"/>
          <w:szCs w:val="20"/>
          <w:color w:val="auto"/>
        </w:rPr>
      </w:pPr>
      <w:r>
        <w:rPr>
          <w:rFonts w:ascii="Times New Roman" w:cs="Times New Roman" w:eastAsia="Times New Roman" w:hAnsi="Times New Roman"/>
          <w:sz w:val="18"/>
          <w:szCs w:val="18"/>
          <w:color w:val="auto"/>
        </w:rPr>
        <w:t>Interest expense, net consists of interest on Accel’s current and prior credit facilities, amortization of financing fees, and accretion of interest on route and customer acquisition costs payable. Interest on the current credit facility is payable monthly on unpaid balances at the variable per annum LIBOR rate plus an applicable margin, as defined under the terms of the credit facility, ranging from 1.75% to 2.75% depending on the first lien net leverage ratio. Interest expense, net also consists of interest income on the convertible notes from Gold Rush that bore interest at the greater of 3% per annum or Accel's borrowing rate on its credit facility through December 31, 2021, as well as interest expense on the interest rate caplets.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2" w:lineRule="exact"/>
        <w:rPr>
          <w:sz w:val="20"/>
          <w:szCs w:val="20"/>
          <w:color w:val="auto"/>
        </w:rPr>
      </w:pPr>
    </w:p>
    <w:p>
      <w:pPr>
        <w:jc w:val="both"/>
        <w:ind w:left="320"/>
        <w:spacing w:after="0" w:line="320" w:lineRule="auto"/>
        <w:rPr>
          <w:sz w:val="20"/>
          <w:szCs w:val="20"/>
          <w:color w:val="auto"/>
        </w:rPr>
      </w:pPr>
      <w:r>
        <w:rPr>
          <w:rFonts w:ascii="Times New Roman" w:cs="Times New Roman" w:eastAsia="Times New Roman" w:hAnsi="Times New Roman"/>
          <w:sz w:val="18"/>
          <w:szCs w:val="18"/>
          <w:color w:val="auto"/>
        </w:rPr>
        <w:t>Income tax expense consists mainly of taxes payable to federal,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Accel’s results of operations on a consolidated basis for the three months ended June 30,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w:t>
            </w:r>
          </w:p>
        </w:tc>
        <w:tc>
          <w:tcPr>
            <w:tcW w:w="200" w:type="dxa"/>
            <w:vAlign w:val="bottom"/>
          </w:tcPr>
          <w:p>
            <w:pPr>
              <w:spacing w:after="0"/>
              <w:rPr>
                <w:sz w:val="16"/>
                <w:szCs w:val="16"/>
                <w:color w:val="auto"/>
              </w:rPr>
            </w:pPr>
          </w:p>
        </w:tc>
        <w:tc>
          <w:tcPr>
            <w:tcW w:w="13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38"/>
        </w:trPr>
        <w:tc>
          <w:tcPr>
            <w:tcW w:w="10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 w:type="dxa"/>
            <w:vAlign w:val="bottom"/>
          </w:tcPr>
          <w:p>
            <w:pPr>
              <w:spacing w:after="0"/>
              <w:rPr>
                <w:sz w:val="15"/>
                <w:szCs w:val="15"/>
                <w:color w:val="auto"/>
              </w:rPr>
            </w:pP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38"/>
        </w:trPr>
        <w:tc>
          <w:tcPr>
            <w:tcW w:w="1060" w:type="dxa"/>
            <w:vAlign w:val="bottom"/>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060" w:type="dxa"/>
            <w:vAlign w:val="bottom"/>
          </w:tcPr>
          <w:p>
            <w:pPr>
              <w:spacing w:after="0"/>
              <w:rPr>
                <w:sz w:val="20"/>
                <w:szCs w:val="20"/>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gaming</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218,423</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194,434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06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Amusement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60" w:type="dxa"/>
            <w:vAlign w:val="bottom"/>
          </w:tcPr>
          <w:p>
            <w:pPr>
              <w:spacing w:after="0"/>
              <w:rPr>
                <w:sz w:val="20"/>
                <w:szCs w:val="20"/>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Manufacturing</w:t>
            </w: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tcPr>
          <w:p>
            <w:pPr>
              <w:spacing w:after="0"/>
              <w:rPr>
                <w:sz w:val="20"/>
                <w:szCs w:val="20"/>
                <w:color w:val="auto"/>
              </w:rPr>
            </w:pPr>
          </w:p>
        </w:tc>
        <w:tc>
          <w:tcPr>
            <w:tcW w:w="2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060" w:type="dxa"/>
            <w:vAlign w:val="bottom"/>
          </w:tcPr>
          <w:p>
            <w:pPr>
              <w:spacing w:after="0"/>
              <w:rPr>
                <w:sz w:val="23"/>
                <w:szCs w:val="23"/>
                <w:color w:val="auto"/>
              </w:rPr>
            </w:pPr>
          </w:p>
        </w:tc>
        <w:tc>
          <w:tcPr>
            <w:tcW w:w="4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ATM fees and 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227,869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201,974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expense shown below)</w:t>
            </w:r>
          </w:p>
        </w:tc>
        <w:tc>
          <w:tcPr>
            <w:tcW w:w="20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155,431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135,772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060" w:type="dxa"/>
            <w:vAlign w:val="bottom"/>
          </w:tcPr>
          <w:p>
            <w:pPr>
              <w:spacing w:after="0"/>
              <w:rPr>
                <w:sz w:val="23"/>
                <w:szCs w:val="23"/>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32,719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and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route and customer acquisition costs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location contracts acquired</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060" w:type="dxa"/>
            <w:vAlign w:val="bottom"/>
          </w:tcPr>
          <w:p>
            <w:pPr>
              <w:spacing w:after="0"/>
              <w:rPr>
                <w:sz w:val="23"/>
                <w:szCs w:val="23"/>
                <w:color w:val="auto"/>
              </w:rPr>
            </w:pPr>
          </w:p>
        </w:tc>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06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200,554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177,047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60" w:type="dxa"/>
            <w:vAlign w:val="bottom"/>
          </w:tcPr>
          <w:p>
            <w:pPr>
              <w:spacing w:after="0"/>
              <w:rPr>
                <w:sz w:val="22"/>
                <w:szCs w:val="22"/>
                <w:color w:val="auto"/>
              </w:rPr>
            </w:pPr>
          </w:p>
        </w:tc>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27,315</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24,927</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060" w:type="dxa"/>
            <w:vAlign w:val="bottom"/>
          </w:tcPr>
          <w:p>
            <w:pPr>
              <w:spacing w:after="0"/>
              <w:rPr>
                <w:sz w:val="23"/>
                <w:szCs w:val="23"/>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41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(Gain) loss on change in fair value of contingent earnout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060" w:type="dxa"/>
            <w:vAlign w:val="bottom"/>
          </w:tcPr>
          <w:p>
            <w:pPr>
              <w:spacing w:after="0"/>
              <w:rPr>
                <w:sz w:val="22"/>
                <w:szCs w:val="22"/>
                <w:color w:val="auto"/>
              </w:rPr>
            </w:pPr>
          </w:p>
        </w:tc>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060" w:type="dxa"/>
            <w:vAlign w:val="bottom"/>
          </w:tcPr>
          <w:p>
            <w:pPr>
              <w:spacing w:after="0"/>
              <w:rPr>
                <w:sz w:val="23"/>
                <w:szCs w:val="23"/>
                <w:color w:val="auto"/>
              </w:rPr>
            </w:pPr>
          </w:p>
        </w:tc>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6,782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4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22,464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12,445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10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Total revenues for the three months ended June 30, 2022 were $227.9 million, an increase of $25.9 million, compared to the prior-year period. This increase was driven by an increase in net gaming revenue of $24.0 million, manufacturing revenue of $0.9 million, an increase in amusement revenue of $0.4 million, and an increase in ATM fees and other revenue of $0.6 million. Net gaming revenues for the three months ended June 30, 2022 reflected an increase in gaming terminals and locations. Net revenues by state are presented below (in thousands):</w:t>
      </w:r>
    </w:p>
    <w:p>
      <w:pPr>
        <w:spacing w:after="0" w:line="136" w:lineRule="exact"/>
        <w:rPr>
          <w:sz w:val="20"/>
          <w:szCs w:val="20"/>
          <w:color w:val="auto"/>
        </w:rPr>
      </w:pPr>
    </w:p>
    <w:tbl>
      <w:tblPr>
        <w:tblLayout w:type="fixed"/>
        <w:tblInd w:w="236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6"/>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3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38"/>
        </w:trPr>
        <w:tc>
          <w:tcPr>
            <w:tcW w:w="4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5"/>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 by state: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40"/>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Illinois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205,962</w:t>
            </w:r>
          </w:p>
        </w:tc>
        <w:tc>
          <w:tcPr>
            <w:tcW w:w="14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200,878</w:t>
            </w:r>
          </w:p>
        </w:tc>
      </w:tr>
      <w:tr>
        <w:trPr>
          <w:trHeight w:val="26"/>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Nevada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Montana</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5"/>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3"/>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227,869</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201,974</w:t>
            </w:r>
          </w:p>
        </w:tc>
      </w:tr>
      <w:tr>
        <w:trPr>
          <w:trHeight w:val="26"/>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0" w:lineRule="exact"/>
        <w:rPr>
          <w:sz w:val="20"/>
          <w:szCs w:val="20"/>
          <w:color w:val="auto"/>
        </w:rPr>
      </w:pPr>
    </w:p>
    <w:p>
      <w:pPr>
        <w:jc w:val="both"/>
        <w:ind w:firstLine="318"/>
        <w:spacing w:after="0" w:line="336" w:lineRule="auto"/>
        <w:rPr>
          <w:sz w:val="20"/>
          <w:szCs w:val="20"/>
          <w:color w:val="auto"/>
        </w:rPr>
      </w:pPr>
      <w:r>
        <w:rPr>
          <w:rFonts w:ascii="Times New Roman" w:cs="Times New Roman" w:eastAsia="Times New Roman" w:hAnsi="Times New Roman"/>
          <w:sz w:val="18"/>
          <w:szCs w:val="18"/>
          <w:color w:val="auto"/>
        </w:rPr>
        <w:t>Cost of revenue for the three months ended June 30, 2022 was $155.4 million, an increase of $19.7 million, compared to the prior-year period, driven by higher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93"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2022 were $32.7 million, an increase of $6.6 million, or 25.3%, compared to the prior-year period. General and administrative expenses for the three months ended June 30, 2022 reflected higher payroll-related costs as we continue to grow our operations, as well as higher fuel expense and professional fees.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of property and equipment</w:t>
      </w:r>
    </w:p>
    <w:p>
      <w:pPr>
        <w:spacing w:after="0" w:line="180"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Depreciation and amortization of property and equipment for the three months ended June 30, 2022 was $6.6 million, an increase of $0.3 million, or 4.5%, compared to the prior-year period due to an increased number of locations and gaming terminals, partially offset by us extending the useful lives of our gaming terminals and equipment from 10 years to 13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route and customer acquisition costs and location contracts acquired</w:t>
      </w:r>
    </w:p>
    <w:p>
      <w:pPr>
        <w:spacing w:after="0" w:line="180" w:lineRule="exact"/>
        <w:rPr>
          <w:sz w:val="20"/>
          <w:szCs w:val="20"/>
          <w:color w:val="auto"/>
        </w:rPr>
      </w:pPr>
    </w:p>
    <w:p>
      <w:pPr>
        <w:jc w:val="both"/>
        <w:ind w:firstLine="239"/>
        <w:spacing w:after="0" w:line="306" w:lineRule="auto"/>
        <w:rPr>
          <w:sz w:val="20"/>
          <w:szCs w:val="20"/>
          <w:color w:val="auto"/>
        </w:rPr>
      </w:pPr>
      <w:r>
        <w:rPr>
          <w:rFonts w:ascii="Times New Roman" w:cs="Times New Roman" w:eastAsia="Times New Roman" w:hAnsi="Times New Roman"/>
          <w:sz w:val="18"/>
          <w:szCs w:val="18"/>
          <w:color w:val="auto"/>
        </w:rPr>
        <w:t>Amortization of route and customer acquisition costs and location contracts acquired for the three months ended June 30, 2022 was $3.6 million, a decrease of $2.6 million, or 42.0%, compared to the prior-year period due to us extending the useful lives of our route and customer acquisition costs from 12.4 years to 18 years and location contracts acquired from 10 to 15 years. The impact of these changes in estimate was a decrease in amortization expense of $2.7 million for the three months ended June 30, 2022. This decrease was partially offset by an increase in location contracts acquired.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Other expenses, net for the three months ended June 30, 2022 were $2.2 million, a decrease of $0.5 million, or 16.9%, compared to the prior-year period. The decrease was primarily attributable to lower fair value adjustments associated with the revaluation of contingent consideration liabilities, partially offset by higher non-recurring expenses relating to lobbying efforts and new market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expense, net for the three months ended June 30, 2022 was $3.8 million, an increase of $0.4 million, or 12.3%, compared to the prior-year period primarily due to an increase in average outstanding debt, partially offset by lower interest rates. For the three months ended June 30, 2022, the weighted average interest rate was approximately 2.9% compared to a rate of approximately 3.3% for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contingent earnout shares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Gain on the change in fair value of contingent earnout shares for the three months ended June 30, 2022 was $5.7 million, an increase of $8.9 million, or 279.8%, compared to the prior year, which had a loss of $3.2 million. The increase was primarily due to the change in the market value of our Class A-1 common stock, which is the primary input to the valuation of the contingent earnout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Income tax expense for the three months ended June 30, 2022 was $6.8 million, an increase of $0.9 million, or 14.5%, compared to the prior-year period. The effective tax rate for the three months ended June 30, 2022 was 23.2% compared to 32.2% in the prior-year period. Our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Accel’s results of operations on a consolidated basis for the six months ended June 30, 2022 and 2021:</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%'s)</w:t>
            </w: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2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24130</wp:posOffset>
            </wp:positionV>
            <wp:extent cx="5652135" cy="168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2135" cy="1682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60"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gaming</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406,885</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334,898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Amusement</w:t>
            </w:r>
          </w:p>
        </w:tc>
        <w:tc>
          <w:tcPr>
            <w:tcW w:w="28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8,328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Manufacturing</w:t>
            </w:r>
          </w:p>
        </w:tc>
        <w:tc>
          <w:tcPr>
            <w:tcW w:w="28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ATM fees and other revenue</w:t>
            </w:r>
          </w:p>
        </w:tc>
        <w:tc>
          <w:tcPr>
            <w:tcW w:w="28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5,817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1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424,760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349,043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 shown below)</w:t>
            </w:r>
          </w:p>
        </w:tc>
        <w:tc>
          <w:tcPr>
            <w:tcW w:w="28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288,051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234,663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63,838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50,588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property and</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route and customer acquisition costs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location contracts acquired</w:t>
            </w:r>
          </w:p>
        </w:tc>
        <w:tc>
          <w:tcPr>
            <w:tcW w:w="28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12,268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4,788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4,740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376,238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314,561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34,482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(Gain) loss on change in fair value of contingent earnout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5,979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28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49,869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21,783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7,837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38,252</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-3435985</wp:posOffset>
            </wp:positionV>
            <wp:extent cx="5652135"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2135" cy="16827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-3099435</wp:posOffset>
            </wp:positionV>
            <wp:extent cx="5652135"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2135" cy="16827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-2282190</wp:posOffset>
            </wp:positionV>
            <wp:extent cx="5652135" cy="168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2135" cy="16827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-1810385</wp:posOffset>
            </wp:positionV>
            <wp:extent cx="5652135" cy="303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2135" cy="3035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-984885</wp:posOffset>
            </wp:positionV>
            <wp:extent cx="5652135" cy="168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2135" cy="16827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-210185</wp:posOffset>
            </wp:positionV>
            <wp:extent cx="5652135" cy="193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2135" cy="19367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-555625</wp:posOffset>
            </wp:positionV>
            <wp:extent cx="5652135" cy="177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2135" cy="17716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-1338580</wp:posOffset>
            </wp:positionV>
            <wp:extent cx="5652135" cy="177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2135" cy="17716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-2753995</wp:posOffset>
            </wp:positionV>
            <wp:extent cx="5652135" cy="168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213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71,987</w:t>
      </w:r>
      <w:r>
        <w:rPr>
          <w:sz w:val="20"/>
          <w:szCs w:val="20"/>
          <w:color w:val="auto"/>
        </w:rPr>
        <w:tab/>
      </w:r>
      <w:r>
        <w:rPr>
          <w:rFonts w:ascii="Times New Roman" w:cs="Times New Roman" w:eastAsia="Times New Roman" w:hAnsi="Times New Roman"/>
          <w:sz w:val="18"/>
          <w:szCs w:val="18"/>
          <w:color w:val="auto"/>
        </w:rPr>
        <w:t>21.5 %</w:t>
      </w:r>
    </w:p>
    <w:p>
      <w:pPr>
        <w:spacing w:after="0" w:line="58" w:lineRule="exact"/>
        <w:rPr>
          <w:sz w:val="20"/>
          <w:szCs w:val="20"/>
          <w:color w:val="auto"/>
        </w:rPr>
      </w:pPr>
    </w:p>
    <w:p>
      <w:pPr>
        <w:ind w:left="160"/>
        <w:spacing w:after="0"/>
        <w:tabs>
          <w:tab w:leader="none" w:pos="1260" w:val="left"/>
        </w:tabs>
        <w:rPr>
          <w:sz w:val="20"/>
          <w:szCs w:val="20"/>
          <w:color w:val="auto"/>
        </w:rPr>
      </w:pPr>
      <w:r>
        <w:rPr>
          <w:rFonts w:ascii="Times New Roman" w:cs="Times New Roman" w:eastAsia="Times New Roman" w:hAnsi="Times New Roman"/>
          <w:sz w:val="18"/>
          <w:szCs w:val="18"/>
          <w:color w:val="auto"/>
        </w:rPr>
        <w:t>1,355</w:t>
      </w:r>
      <w:r>
        <w:rPr>
          <w:sz w:val="20"/>
          <w:szCs w:val="20"/>
          <w:color w:val="auto"/>
        </w:rPr>
        <w:tab/>
      </w:r>
      <w:r>
        <w:rPr>
          <w:rFonts w:ascii="Times New Roman" w:cs="Times New Roman" w:eastAsia="Times New Roman" w:hAnsi="Times New Roman"/>
          <w:sz w:val="18"/>
          <w:szCs w:val="18"/>
          <w:color w:val="auto"/>
        </w:rPr>
        <w:t>16.3 %</w:t>
      </w:r>
    </w:p>
    <w:p>
      <w:pPr>
        <w:spacing w:after="0" w:line="58" w:lineRule="exact"/>
        <w:rPr>
          <w:sz w:val="20"/>
          <w:szCs w:val="20"/>
          <w:color w:val="auto"/>
        </w:rPr>
      </w:pPr>
    </w:p>
    <w:p>
      <w:pPr>
        <w:ind w:left="1480" w:hanging="1191"/>
        <w:spacing w:after="0"/>
        <w:tabs>
          <w:tab w:leader="none" w:pos="1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58"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1,456</w:t>
      </w:r>
      <w:r>
        <w:rPr>
          <w:rFonts w:ascii="Times New Roman" w:cs="Times New Roman" w:eastAsia="Times New Roman" w:hAnsi="Times New Roman"/>
          <w:sz w:val="17"/>
          <w:szCs w:val="17"/>
          <w:color w:val="auto"/>
        </w:rPr>
        <w:t>25.0 %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31750</wp:posOffset>
            </wp:positionV>
            <wp:extent cx="7073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52"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75,717</w:t>
      </w:r>
      <w:r>
        <w:rPr>
          <w:sz w:val="20"/>
          <w:szCs w:val="20"/>
          <w:color w:val="auto"/>
        </w:rPr>
        <w:tab/>
      </w:r>
      <w:r>
        <w:rPr>
          <w:rFonts w:ascii="Times New Roman" w:cs="Times New Roman" w:eastAsia="Times New Roman" w:hAnsi="Times New Roman"/>
          <w:sz w:val="18"/>
          <w:szCs w:val="18"/>
          <w:color w:val="auto"/>
        </w:rPr>
        <w:t>21.7 %</w:t>
      </w: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53,388</w:t>
      </w:r>
      <w:r>
        <w:rPr>
          <w:sz w:val="20"/>
          <w:szCs w:val="20"/>
          <w:color w:val="auto"/>
        </w:rPr>
        <w:tab/>
      </w:r>
      <w:r>
        <w:rPr>
          <w:rFonts w:ascii="Times New Roman" w:cs="Times New Roman" w:eastAsia="Times New Roman" w:hAnsi="Times New Roman"/>
          <w:sz w:val="18"/>
          <w:szCs w:val="18"/>
          <w:color w:val="auto"/>
        </w:rPr>
        <w:t>22.8 %</w:t>
      </w:r>
    </w:p>
    <w:p>
      <w:pPr>
        <w:spacing w:after="0" w:line="58"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13,250</w:t>
      </w:r>
      <w:r>
        <w:rPr>
          <w:sz w:val="20"/>
          <w:szCs w:val="20"/>
          <w:color w:val="auto"/>
        </w:rPr>
        <w:tab/>
      </w:r>
      <w:r>
        <w:rPr>
          <w:rFonts w:ascii="Times New Roman" w:cs="Times New Roman" w:eastAsia="Times New Roman" w:hAnsi="Times New Roman"/>
          <w:sz w:val="18"/>
          <w:szCs w:val="18"/>
          <w:color w:val="auto"/>
        </w:rPr>
        <w:t>26.2 %</w:t>
      </w:r>
    </w:p>
    <w:p>
      <w:pPr>
        <w:spacing w:after="0" w:line="271" w:lineRule="exact"/>
        <w:rPr>
          <w:sz w:val="20"/>
          <w:szCs w:val="20"/>
          <w:color w:val="auto"/>
        </w:rPr>
      </w:pPr>
    </w:p>
    <w:p>
      <w:pPr>
        <w:ind w:left="280"/>
        <w:spacing w:after="0"/>
        <w:tabs>
          <w:tab w:leader="none" w:pos="13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1.1 %</w:t>
      </w:r>
    </w:p>
    <w:p>
      <w:pPr>
        <w:spacing w:after="0" w:line="271" w:lineRule="exact"/>
        <w:rPr>
          <w:sz w:val="20"/>
          <w:szCs w:val="20"/>
          <w:color w:val="auto"/>
        </w:rPr>
      </w:pPr>
    </w:p>
    <w:p>
      <w:pPr>
        <w:ind w:left="80"/>
        <w:spacing w:after="0"/>
        <w:tabs>
          <w:tab w:leader="none" w:pos="1180" w:val="left"/>
        </w:tabs>
        <w:rPr>
          <w:sz w:val="20"/>
          <w:szCs w:val="20"/>
          <w:color w:val="auto"/>
        </w:rPr>
      </w:pPr>
      <w:r>
        <w:rPr>
          <w:rFonts w:ascii="Times New Roman" w:cs="Times New Roman" w:eastAsia="Times New Roman" w:hAnsi="Times New Roman"/>
          <w:sz w:val="18"/>
          <w:szCs w:val="18"/>
          <w:color w:val="auto"/>
        </w:rPr>
        <w:t>(5,146)</w:t>
      </w:r>
      <w:r>
        <w:rPr>
          <w:sz w:val="20"/>
          <w:szCs w:val="20"/>
          <w:color w:val="auto"/>
        </w:rPr>
        <w:tab/>
      </w:r>
      <w:r>
        <w:rPr>
          <w:rFonts w:ascii="Times New Roman" w:cs="Times New Roman" w:eastAsia="Times New Roman" w:hAnsi="Times New Roman"/>
          <w:sz w:val="18"/>
          <w:szCs w:val="18"/>
          <w:color w:val="auto"/>
        </w:rPr>
        <w:t>(41.9)%</w:t>
      </w:r>
    </w:p>
    <w:p>
      <w:pPr>
        <w:spacing w:after="0" w:line="58" w:lineRule="exact"/>
        <w:rPr>
          <w:sz w:val="20"/>
          <w:szCs w:val="20"/>
          <w:color w:val="auto"/>
        </w:rPr>
      </w:pPr>
    </w:p>
    <w:p>
      <w:pPr>
        <w:ind w:left="1360" w:hanging="983"/>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7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61,677</w:t>
      </w:r>
      <w:r>
        <w:rPr>
          <w:rFonts w:ascii="Times New Roman" w:cs="Times New Roman" w:eastAsia="Times New Roman" w:hAnsi="Times New Roman"/>
          <w:sz w:val="17"/>
          <w:szCs w:val="17"/>
          <w:color w:val="auto"/>
        </w:rPr>
        <w:t>19.6 %</w:t>
      </w:r>
    </w:p>
    <w:p>
      <w:pPr>
        <w:spacing w:after="0" w:line="7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14,040</w:t>
      </w:r>
      <w:r>
        <w:rPr>
          <w:rFonts w:ascii="Times New Roman" w:cs="Times New Roman" w:eastAsia="Times New Roman" w:hAnsi="Times New Roman"/>
          <w:sz w:val="17"/>
          <w:szCs w:val="17"/>
          <w:color w:val="auto"/>
        </w:rPr>
        <w:t>40.7 %</w:t>
      </w:r>
    </w:p>
    <w:p>
      <w:pPr>
        <w:spacing w:after="0" w:line="58"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1,072</w:t>
      </w:r>
      <w:r>
        <w:rPr>
          <w:rFonts w:ascii="Times New Roman" w:cs="Times New Roman" w:eastAsia="Times New Roman" w:hAnsi="Times New Roman"/>
          <w:sz w:val="17"/>
          <w:szCs w:val="17"/>
          <w:color w:val="auto"/>
        </w:rPr>
        <w:t>16.0 %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-313055</wp:posOffset>
            </wp:positionV>
            <wp:extent cx="7073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18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(15,118)</w:t>
      </w:r>
      <w:r>
        <w:rPr>
          <w:sz w:val="20"/>
          <w:szCs w:val="20"/>
          <w:color w:val="auto"/>
        </w:rPr>
        <w:tab/>
      </w:r>
      <w:r>
        <w:rPr>
          <w:rFonts w:ascii="Times New Roman" w:cs="Times New Roman" w:eastAsia="Times New Roman" w:hAnsi="Times New Roman"/>
          <w:sz w:val="18"/>
          <w:szCs w:val="18"/>
          <w:color w:val="auto"/>
        </w:rPr>
        <w:t>(252.9)%</w:t>
      </w:r>
    </w:p>
    <w:p>
      <w:pPr>
        <w:spacing w:after="0" w:line="72"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7"/>
          <w:szCs w:val="17"/>
          <w:color w:val="auto"/>
        </w:rPr>
        <w:t>28,086</w:t>
      </w:r>
      <w:r>
        <w:rPr>
          <w:sz w:val="20"/>
          <w:szCs w:val="20"/>
          <w:color w:val="auto"/>
        </w:rPr>
        <w:tab/>
      </w:r>
      <w:r>
        <w:rPr>
          <w:rFonts w:ascii="Times New Roman" w:cs="Times New Roman" w:eastAsia="Times New Roman" w:hAnsi="Times New Roman"/>
          <w:sz w:val="17"/>
          <w:szCs w:val="17"/>
          <w:color w:val="auto"/>
        </w:rPr>
        <w:t>128.9 %</w:t>
      </w:r>
    </w:p>
    <w:p>
      <w:pPr>
        <w:spacing w:after="0" w:line="70" w:lineRule="exact"/>
        <w:rPr>
          <w:sz w:val="20"/>
          <w:szCs w:val="20"/>
          <w:color w:val="auto"/>
        </w:rPr>
      </w:pPr>
    </w:p>
    <w:p>
      <w:pPr>
        <w:ind w:left="160"/>
        <w:spacing w:after="0"/>
        <w:tabs>
          <w:tab w:leader="none" w:pos="1260" w:val="left"/>
        </w:tabs>
        <w:rPr>
          <w:sz w:val="20"/>
          <w:szCs w:val="20"/>
          <w:color w:val="auto"/>
        </w:rPr>
      </w:pPr>
      <w:r>
        <w:rPr>
          <w:rFonts w:ascii="Times New Roman" w:cs="Times New Roman" w:eastAsia="Times New Roman" w:hAnsi="Times New Roman"/>
          <w:sz w:val="18"/>
          <w:szCs w:val="18"/>
          <w:color w:val="auto"/>
        </w:rPr>
        <w:t>3,780</w:t>
      </w:r>
      <w:r>
        <w:rPr>
          <w:sz w:val="20"/>
          <w:szCs w:val="20"/>
          <w:color w:val="auto"/>
        </w:rPr>
        <w:tab/>
      </w:r>
      <w:r>
        <w:rPr>
          <w:rFonts w:ascii="Times New Roman" w:cs="Times New Roman" w:eastAsia="Times New Roman" w:hAnsi="Times New Roman"/>
          <w:sz w:val="18"/>
          <w:szCs w:val="18"/>
          <w:color w:val="auto"/>
        </w:rPr>
        <w:t>48.2 %</w:t>
      </w:r>
    </w:p>
    <w:p>
      <w:pPr>
        <w:spacing w:after="0" w:line="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7"/>
          <w:szCs w:val="17"/>
          <w:color w:val="auto"/>
        </w:rPr>
        <w:t>24,306</w:t>
      </w:r>
      <w:r>
        <w:rPr>
          <w:sz w:val="20"/>
          <w:szCs w:val="20"/>
          <w:color w:val="auto"/>
        </w:rPr>
        <w:tab/>
      </w:r>
      <w:r>
        <w:rPr>
          <w:rFonts w:ascii="Times New Roman" w:cs="Times New Roman" w:eastAsia="Times New Roman" w:hAnsi="Times New Roman"/>
          <w:sz w:val="17"/>
          <w:szCs w:val="17"/>
          <w:color w:val="auto"/>
        </w:rPr>
        <w:t>174.3 %</w:t>
      </w:r>
      <w:r>
        <w:rPr>
          <w:rFonts w:ascii="Times New Roman" w:cs="Times New Roman" w:eastAsia="Times New Roman" w:hAnsi="Times New Roman"/>
          <w:sz w:val="34"/>
          <w:szCs w:val="3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-29210</wp:posOffset>
            </wp:positionV>
            <wp:extent cx="707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380"/>
            <w:col w:w="1899"/>
          </w:cols>
          <w:pgMar w:left="320" w:top="121" w:right="1440"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93"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Total revenues for the six months ended June 30, 2022 were $424.8 million, an increase of $75.7 million, or 21.7%, compared to the prior-year period. This increase was driven by an increase in net gaming revenue of $72.0 million, or 21.5%, an increase in amusement revenue of $1.4 million, or 16.3%, and an increase in ATM fees and other revenue of $1.5 million, or 25.0%, and manufacturing revenue of $0.9 million. Increase in net gaming revenue was attributable to the prior year IGB-mandated shutdown of Illinois video gaming due to the ongoing COVID-19 outbreak, which impacted 18 of the 181 gaming days (or 10% of gaming days) during the six months ended June 30, 2021. The increase in net gaming revenues for the six months ended June 30, 2022, also reflected an increase in gaming terminals and locations, as well as an increase in location hold-per-day. Net revenues by state are presented below (in thousands):</w:t>
      </w:r>
    </w:p>
    <w:p>
      <w:pPr>
        <w:spacing w:after="0" w:line="139"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2360" w:type="dxa"/>
        <w:tblCellMar>
          <w:top w:w="0" w:type="dxa"/>
          <w:left w:w="0" w:type="dxa"/>
          <w:bottom w:w="0" w:type="dxa"/>
          <w:right w:w="0" w:type="dxa"/>
        </w:tblCellMar>
      </w:tblPr>
      <w:tr>
        <w:trPr>
          <w:trHeight w:val="201"/>
        </w:trPr>
        <w:tc>
          <w:tcPr>
            <w:tcW w:w="4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5"/>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 by state: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40"/>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Illinois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400,821</w:t>
            </w:r>
          </w:p>
        </w:tc>
        <w:tc>
          <w:tcPr>
            <w:tcW w:w="14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347,006</w:t>
            </w:r>
          </w:p>
        </w:tc>
      </w:tr>
      <w:tr>
        <w:trPr>
          <w:trHeight w:val="26"/>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Nevada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Montana</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3"/>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424,760</w:t>
            </w:r>
          </w:p>
        </w:tc>
        <w:tc>
          <w:tcPr>
            <w:tcW w:w="14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349,043</w:t>
            </w:r>
          </w:p>
        </w:tc>
      </w:tr>
      <w:tr>
        <w:trPr>
          <w:trHeight w:val="26"/>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Cost of revenue for the six months ended June 30, 2022 was $288.1 million, an increase of $53.4 million, or 22.8%, compared to the prior-year period due primarily to higher revenues.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2022 were $63.8 million, an increase of $13.3 million, or 26.2%, compared to the prior-year period. The increase was attributable to a reduction in our prior year monthly expenses during the previously mentioned IGB-mandated shutdown. General and administrative expenses for the six months ended June 30, 2022 also reflected higher payroll-related costs as we continued to grow our operations, as well as higher fuel expense and professional fees.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of property and equipment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Depreciation and amortization of property and equipment for the six months ended June 30, 2022 was $12.4 million, an increase of $0.1 million, or 1.1%, compared to the prior-year period due to an increased number of locations and gaming terminals, partially offset by us extending the useful lives of our gaming terminals and equipment from 10 years to 13 years. The impact of this change in estimate was a decrease in depreciation expense of $2.5 million for the six months ended June 30,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route and customer acquisition costs and location contracts acquired</w:t>
      </w:r>
    </w:p>
    <w:p>
      <w:pPr>
        <w:spacing w:after="0" w:line="180" w:lineRule="exact"/>
        <w:rPr>
          <w:sz w:val="20"/>
          <w:szCs w:val="20"/>
          <w:color w:val="auto"/>
        </w:rPr>
      </w:pPr>
    </w:p>
    <w:p>
      <w:pPr>
        <w:jc w:val="both"/>
        <w:ind w:firstLine="239"/>
        <w:spacing w:after="0" w:line="306" w:lineRule="auto"/>
        <w:rPr>
          <w:sz w:val="20"/>
          <w:szCs w:val="20"/>
          <w:color w:val="auto"/>
        </w:rPr>
      </w:pPr>
      <w:r>
        <w:rPr>
          <w:rFonts w:ascii="Times New Roman" w:cs="Times New Roman" w:eastAsia="Times New Roman" w:hAnsi="Times New Roman"/>
          <w:sz w:val="18"/>
          <w:szCs w:val="18"/>
          <w:color w:val="auto"/>
        </w:rPr>
        <w:t>Amortization of route and customer acquisition costs and location contracts acquired for the six months ended June 30, 2022 was $7.1 million, a decrease of $5.1 million, or 41.9%, compared to the prior-year period due to us extending the useful lives of our route and customer acquisition costs from 12.4 years to 18 years and location contracts acquired from 10 to 15 years. The impact of these changes in estimate was a decrease in amortization expense of $5.4 million for the six months ended June 30, 2022. This decrease was partially offset by an increase in location contracts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Other expenses, net for the six months ended June 30, 2022 were $4.8 million, and were flat compared to the prior-year period due to a $1.0 million loss associated with a legal settlement and higher non-recurring expenses relating to lobbying efforts and new market development, offset by lower fair value adjustments associated with the revaluation of contingent consideration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expense, net for the six months ended June 30, 2022 was $7.8 million, an increase of $1.1 million, or 16.0%, compared to the prior-year period primarily due to an increase in average outstanding debt, partially offset by lower interest rates. The weighted average interest rate was approximately 3.2% for the six months ended June 30, 2022 compared to 3.3% in the prior-year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contingent earnout shares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Gain on the change in fair value of contingent earnout shares for the six months ended June 30, 2022 was $9.1 million, compared to the prior-year period, which had a loss of $6.0 million. The changes in fair value are primarily due to the change in the market value of our Class A-1 common stock, which was the primary input to the valuation of the contingent earnout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Income tax expense for the six months ended June 30, 2022 was $11.6 million, an increase of $3.8 million, or 48.2%, compared to the prior-year period. The effective tax rate for the six months ended June 30, 2022 was 23.3% compared to 36.0% in the prior year period. Our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8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We use statistical data and comparative information commonly used in the gaming industry to monitor the performance of the business, none of which are prepared in accordance with GAAP, and therefore should not be viewed as indicators of operational performance. Our management uses this information for financial planning, strategic planning and employee compensation decisions. The key indicators include:</w:t>
      </w:r>
    </w:p>
    <w:p>
      <w:pPr>
        <w:spacing w:after="0" w:line="110"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locations;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Number of gaming terminals</w:t>
      </w:r>
    </w:p>
    <w:p>
      <w:pPr>
        <w:spacing w:after="0" w:line="19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We also periodically review and revise our business metrics to reflect changes in our business. As result of the Century acquisition, our operations have expanded significantly and we have entered into new markets that are subject to different regulatory regimes, competitive dynamics and other regional factors and conditions. As a result, we have determined to no longer report average remaining contract term (years) and location hold-per-day.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locations</w:t>
      </w:r>
    </w:p>
    <w:p>
      <w:pPr>
        <w:spacing w:after="0" w:line="166"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The number of locations is based on a combination of third-party portal data and data from our internal systems. We utilize this metric to continually monitor growth from organic openings, purchased locations, and competitor conversions. Competitor conversions occur when a location chooses to change terminal operators.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In January 2022, the IGB began enforcing the 72-hour rule. The 72-hour rule requires terminal operators to disconnect and remove their equipment from a location if there is no activity for 72 hours. In the past, we could leave our equipment if a location was temporarily closed for repairs, remodeling or an ownership change. In addition, if a location went out of business, we could remove our equipment at our convenience. The 72-hour rule accelerated all planned removals for the next several months. As a result, 30 Illinois locations were impacted by the 72-hour rule during the first quarter of 2022. This did not materially impact gaming revenue but reduced our reported number of locations in Illinois.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primary locations:</w:t>
      </w:r>
    </w:p>
    <w:p>
      <w:pPr>
        <w:spacing w:after="0" w:line="278" w:lineRule="exact"/>
        <w:rPr>
          <w:sz w:val="20"/>
          <w:szCs w:val="20"/>
          <w:color w:val="auto"/>
        </w:rPr>
      </w:pPr>
    </w:p>
    <w:tbl>
      <w:tblPr>
        <w:tblLayout w:type="fixed"/>
        <w:tblInd w:w="186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8"/>
        </w:trPr>
        <w:tc>
          <w:tcPr>
            <w:tcW w:w="28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2820" w:type="dxa"/>
            <w:vAlign w:val="bottom"/>
          </w:tcPr>
          <w:p>
            <w:pPr>
              <w:spacing w:after="0"/>
              <w:rPr>
                <w:sz w:val="15"/>
                <w:szCs w:val="15"/>
                <w:color w:val="auto"/>
              </w:rPr>
            </w:pP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8"/>
        </w:trPr>
        <w:tc>
          <w:tcPr>
            <w:tcW w:w="28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9"/>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200" w:type="dxa"/>
            <w:vAlign w:val="bottom"/>
            <w:tcBorders>
              <w:bottom w:val="single" w:sz="8" w:color="CCEEFF"/>
            </w:tcBorders>
            <w:gridSpan w:val="2"/>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88"/>
              </w:rPr>
              <w:t>45</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center"/>
              <w:ind w:left="48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
        </w:trPr>
        <w:tc>
          <w:tcPr>
            <w:tcW w:w="2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center"/>
              <w:ind w:left="48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3"/>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locations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
        </w:trPr>
        <w:tc>
          <w:tcPr>
            <w:tcW w:w="2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gaming terminals</w:t>
      </w:r>
    </w:p>
    <w:p>
      <w:pPr>
        <w:spacing w:after="0" w:line="18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98" w:lineRule="exact"/>
        <w:rPr>
          <w:sz w:val="20"/>
          <w:szCs w:val="20"/>
          <w:color w:val="auto"/>
        </w:rPr>
      </w:pPr>
    </w:p>
    <w:p>
      <w:pPr>
        <w:jc w:val="both"/>
        <w:ind w:right="20" w:firstLine="318"/>
        <w:spacing w:after="0" w:line="320" w:lineRule="auto"/>
        <w:rPr>
          <w:sz w:val="20"/>
          <w:szCs w:val="20"/>
          <w:color w:val="auto"/>
        </w:rPr>
      </w:pPr>
      <w:r>
        <w:rPr>
          <w:rFonts w:ascii="Times New Roman" w:cs="Times New Roman" w:eastAsia="Times New Roman" w:hAnsi="Times New Roman"/>
          <w:sz w:val="18"/>
          <w:szCs w:val="18"/>
          <w:color w:val="auto"/>
        </w:rPr>
        <w:t>As a result of the previously mentioned 72-hour rule, we removed approximately 150 gaming terminals in Illinois during the first quarter of 2022. The removals did not materially impact gaming revenue but reduced our reported number of gaming terminals.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number of gaming terminals in our primary locations:</w:t>
      </w:r>
    </w:p>
    <w:p>
      <w:pPr>
        <w:spacing w:after="0" w:line="211" w:lineRule="exact"/>
        <w:rPr>
          <w:sz w:val="20"/>
          <w:szCs w:val="20"/>
          <w:color w:val="auto"/>
        </w:rPr>
      </w:pPr>
    </w:p>
    <w:tbl>
      <w:tblPr>
        <w:tblLayout w:type="fixed"/>
        <w:tblInd w:w="202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8"/>
        </w:trPr>
        <w:tc>
          <w:tcPr>
            <w:tcW w:w="2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2800" w:type="dxa"/>
            <w:vAlign w:val="bottom"/>
          </w:tcPr>
          <w:p>
            <w:pPr>
              <w:spacing w:after="0"/>
              <w:rPr>
                <w:sz w:val="15"/>
                <w:szCs w:val="15"/>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8"/>
        </w:trPr>
        <w:tc>
          <w:tcPr>
            <w:tcW w:w="28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13,177</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
        </w:trPr>
        <w:tc>
          <w:tcPr>
            <w:tcW w:w="2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gaming terminals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13,177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2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Adjusted EBITDA and Adjusted net income are non-GAAP financial measures and are key metrics used to monitor ongoing core operations. Management of Accel believes Adjusted EBITDA and Adjusted net income enhance the understanding of Accel’s underlying drivers of profitability and trends in Accel’s business and facilitate company-to-company and period-to-period comparisons, because these non-GAAP financial measures exclude the effects of certain non-cash items or represent certain nonrecurring items that are unrelated to core performance. Management of Accel also believe that these non-GAAP financial measures are used by investors, analysts and other interested parties as measures of financial performance and to evaluate Accel’s ability to fund capital expenditures, service debt obligations and meet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EBITDA</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7"/>
        </w:trPr>
        <w:tc>
          <w:tcPr>
            <w:tcW w:w="5540" w:type="dxa"/>
            <w:vAlign w:val="bottom"/>
          </w:tcPr>
          <w:p>
            <w:pPr>
              <w:spacing w:after="0"/>
              <w:rPr>
                <w:sz w:val="24"/>
                <w:szCs w:val="24"/>
                <w:color w:val="auto"/>
              </w:rPr>
            </w:pPr>
          </w:p>
        </w:tc>
        <w:tc>
          <w:tcPr>
            <w:tcW w:w="24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4"/>
        </w:trPr>
        <w:tc>
          <w:tcPr>
            <w:tcW w:w="6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(in thousands)</w:t>
            </w: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0"/>
                <w:szCs w:val="20"/>
                <w:color w:val="auto"/>
              </w:rPr>
            </w:pPr>
          </w:p>
        </w:tc>
        <w:tc>
          <w:tcPr>
            <w:tcW w:w="1540" w:type="dxa"/>
            <w:vAlign w:val="bottom"/>
            <w:gridSpan w:val="3"/>
          </w:tcPr>
          <w:p>
            <w:pPr>
              <w:jc w:val="center"/>
              <w:ind w:right="712"/>
              <w:spacing w:after="0"/>
              <w:rPr>
                <w:sz w:val="20"/>
                <w:szCs w:val="20"/>
                <w:color w:val="auto"/>
              </w:rPr>
            </w:pPr>
            <w:r>
              <w:rPr>
                <w:rFonts w:ascii="Times New Roman" w:cs="Times New Roman" w:eastAsia="Times New Roman" w:hAnsi="Times New Roman"/>
                <w:sz w:val="18"/>
                <w:szCs w:val="18"/>
                <w:b w:val="1"/>
                <w:bCs w:val="1"/>
                <w:color w:val="auto"/>
                <w:w w:val="96"/>
              </w:rPr>
              <w:t>June 30,</w:t>
            </w:r>
          </w:p>
        </w:tc>
      </w:tr>
      <w:tr>
        <w:trPr>
          <w:trHeight w:val="26"/>
        </w:trPr>
        <w:tc>
          <w:tcPr>
            <w:tcW w:w="5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2"/>
        </w:trPr>
        <w:tc>
          <w:tcPr>
            <w:tcW w:w="5540" w:type="dxa"/>
            <w:vAlign w:val="bottom"/>
          </w:tcPr>
          <w:p>
            <w:pPr>
              <w:spacing w:after="0"/>
              <w:rPr>
                <w:sz w:val="20"/>
                <w:szCs w:val="20"/>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59055</wp:posOffset>
            </wp:positionV>
            <wp:extent cx="5896610" cy="168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96610" cy="168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1" w:lineRule="exact"/>
        <w:rPr>
          <w:sz w:val="20"/>
          <w:szCs w:val="20"/>
          <w:color w:val="auto"/>
        </w:rPr>
      </w:pPr>
    </w:p>
    <w:p>
      <w:pPr>
        <w:ind w:left="1000"/>
        <w:spacing w:after="0"/>
        <w:tabs>
          <w:tab w:leader="none" w:pos="552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31750</wp:posOffset>
            </wp:positionV>
            <wp:extent cx="5896610" cy="303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96610" cy="303530"/>
                    </a:xfrm>
                    <a:prstGeom prst="rect">
                      <a:avLst/>
                    </a:prstGeom>
                    <a:noFill/>
                  </pic:spPr>
                </pic:pic>
              </a:graphicData>
            </a:graphic>
          </wp:anchor>
        </w:drawing>
      </w:r>
    </w:p>
    <w:p>
      <w:pPr>
        <w:spacing w:after="0" w:line="38" w:lineRule="exact"/>
        <w:rPr>
          <w:sz w:val="20"/>
          <w:szCs w:val="20"/>
          <w:color w:val="auto"/>
        </w:rPr>
      </w:pPr>
    </w:p>
    <w:p>
      <w:pPr>
        <w:ind w:left="1000" w:right="600"/>
        <w:spacing w:after="0" w:line="274" w:lineRule="auto"/>
        <w:rPr>
          <w:sz w:val="20"/>
          <w:szCs w:val="20"/>
          <w:color w:val="auto"/>
        </w:rPr>
      </w:pPr>
      <w:r>
        <w:rPr>
          <w:rFonts w:ascii="Times New Roman" w:cs="Times New Roman" w:eastAsia="Times New Roman" w:hAnsi="Times New Roman"/>
          <w:sz w:val="18"/>
          <w:szCs w:val="18"/>
          <w:color w:val="auto"/>
        </w:rPr>
        <w:t xml:space="preserve">Amortization of route and customer acquisition costs and location contracts acquired </w:t>
      </w:r>
      <w:r>
        <w:rPr>
          <w:rFonts w:ascii="Times New Roman" w:cs="Times New Roman" w:eastAsia="Times New Roman" w:hAnsi="Times New Roman"/>
          <w:sz w:val="9"/>
          <w:szCs w:val="9"/>
          <w:color w:val="auto"/>
        </w:rPr>
        <w:t>(1)</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31750</wp:posOffset>
            </wp:positionV>
            <wp:extent cx="5896610" cy="2355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96610" cy="23558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(Gain) loss on change in fair value of contingent earnout shares</w:t>
      </w:r>
    </w:p>
    <w:p>
      <w:pPr>
        <w:ind w:left="1000"/>
        <w:spacing w:after="0"/>
        <w:rPr>
          <w:sz w:val="20"/>
          <w:szCs w:val="20"/>
          <w:color w:val="auto"/>
        </w:rPr>
      </w:pPr>
      <w:r>
        <w:rPr>
          <w:rFonts w:ascii="Times New Roman" w:cs="Times New Roman" w:eastAsia="Times New Roman" w:hAnsi="Times New Roman"/>
          <w:sz w:val="9"/>
          <w:szCs w:val="9"/>
          <w:color w:val="auto"/>
        </w:rPr>
        <w:t>(3)</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Other expenses, net </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31750</wp:posOffset>
            </wp:positionV>
            <wp:extent cx="5896610" cy="168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96610" cy="168275"/>
                    </a:xfrm>
                    <a:prstGeom prst="rect">
                      <a:avLst/>
                    </a:prstGeom>
                    <a:noFill/>
                  </pic:spPr>
                </pic:pic>
              </a:graphicData>
            </a:graphic>
          </wp:anchor>
        </w:drawing>
      </w:r>
    </w:p>
    <w:p>
      <w:pPr>
        <w:spacing w:after="0" w:line="3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Tax effect of adjustments </w:t>
      </w: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2"/>
              </w:rPr>
              <w:t>22,464</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12,445</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38,252</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r>
      <w:tr>
        <w:trPr>
          <w:trHeight w:val="743"/>
        </w:trPr>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3,574</w:t>
            </w:r>
          </w:p>
        </w:tc>
        <w:tc>
          <w:tcPr>
            <w:tcW w:w="40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6,162</w:t>
            </w:r>
          </w:p>
        </w:tc>
        <w:tc>
          <w:tcPr>
            <w:tcW w:w="40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7,122</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r>
      <w:tr>
        <w:trPr>
          <w:trHeight w:val="239"/>
        </w:trPr>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2,281</w:t>
            </w:r>
          </w:p>
        </w:tc>
        <w:tc>
          <w:tcPr>
            <w:tcW w:w="4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2,148</w:t>
            </w:r>
          </w:p>
        </w:tc>
        <w:tc>
          <w:tcPr>
            <w:tcW w:w="40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3,886</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371"/>
        </w:trPr>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5"/>
              </w:rPr>
              <w:t>(5,722)</w:t>
            </w:r>
          </w:p>
        </w:tc>
        <w:tc>
          <w:tcPr>
            <w:tcW w:w="40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3,182</w:t>
            </w:r>
          </w:p>
        </w:tc>
        <w:tc>
          <w:tcPr>
            <w:tcW w:w="4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(9,139)</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r>
      <w:tr>
        <w:trPr>
          <w:trHeight w:val="265"/>
        </w:trPr>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2,232</w:t>
            </w:r>
          </w:p>
        </w:tc>
        <w:tc>
          <w:tcPr>
            <w:tcW w:w="400" w:type="dxa"/>
            <w:vAlign w:val="bottom"/>
          </w:tcPr>
          <w:p>
            <w:pPr>
              <w:spacing w:after="0"/>
              <w:rPr>
                <w:sz w:val="23"/>
                <w:szCs w:val="23"/>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2,687</w:t>
            </w:r>
          </w:p>
        </w:tc>
        <w:tc>
          <w:tcPr>
            <w:tcW w:w="400" w:type="dxa"/>
            <w:vAlign w:val="bottom"/>
          </w:tcPr>
          <w:p>
            <w:pPr>
              <w:spacing w:after="0"/>
              <w:rPr>
                <w:sz w:val="23"/>
                <w:szCs w:val="23"/>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4,788</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65"/>
        </w:trPr>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5"/>
              </w:rPr>
              <w:t>(2,313)</w:t>
            </w:r>
          </w:p>
        </w:tc>
        <w:tc>
          <w:tcPr>
            <w:tcW w:w="4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(892)</w:t>
            </w:r>
          </w:p>
        </w:tc>
        <w:tc>
          <w:tcPr>
            <w:tcW w:w="4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(4,788)</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r>
    </w:tbl>
    <w:p>
      <w:pPr>
        <w:spacing w:after="0" w:line="6" w:lineRule="exact"/>
        <w:rPr>
          <w:sz w:val="20"/>
          <w:szCs w:val="20"/>
          <w:color w:val="auto"/>
        </w:rPr>
      </w:pPr>
    </w:p>
    <w:p>
      <w:pPr>
        <w:sectPr>
          <w:pgSz w:w="11900" w:h="16838" w:orient="portrait"/>
          <w:cols w:equalWidth="0" w:num="2">
            <w:col w:w="5640" w:space="400"/>
            <w:col w:w="5200"/>
          </w:cols>
          <w:pgMar w:left="320" w:top="121" w:right="339" w:bottom="1440" w:gutter="0" w:footer="0" w:header="0"/>
          <w:type w:val="continuous"/>
        </w:sectPr>
      </w:pPr>
    </w:p>
    <w:tbl>
      <w:tblPr>
        <w:tblLayout w:type="fixed"/>
        <w:tblInd w:w="980" w:type="dxa"/>
        <w:tblCellMar>
          <w:top w:w="0" w:type="dxa"/>
          <w:left w:w="0" w:type="dxa"/>
          <w:bottom w:w="0" w:type="dxa"/>
          <w:right w:w="0" w:type="dxa"/>
        </w:tblCellMar>
      </w:tblPr>
      <w:tr>
        <w:trPr>
          <w:trHeight w:val="25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22,516</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25,732</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40,121</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36,789</w:t>
            </w:r>
          </w:p>
        </w:tc>
      </w:tr>
      <w:tr>
        <w:trPr>
          <w:trHeight w:val="26"/>
        </w:trPr>
        <w:tc>
          <w:tcPr>
            <w:tcW w:w="4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12,302</w:t>
            </w: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6,720</w:t>
            </w:r>
          </w:p>
        </w:tc>
      </w:tr>
      <w:tr>
        <w:trPr>
          <w:trHeight w:val="26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Emerging markets </w:t>
            </w:r>
            <w:r>
              <w:rPr>
                <w:rFonts w:ascii="Times New Roman" w:cs="Times New Roman" w:eastAsia="Times New Roman" w:hAnsi="Times New Roman"/>
                <w:sz w:val="9"/>
                <w:szCs w:val="9"/>
                <w:color w:val="auto"/>
              </w:rPr>
              <w:t>(6)</w:t>
            </w: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1,263</w:t>
            </w:r>
          </w:p>
        </w:tc>
      </w:tr>
      <w:tr>
        <w:trPr>
          <w:trHeight w:val="265"/>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9,095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16,405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11,722</w:t>
            </w:r>
          </w:p>
        </w:tc>
      </w:tr>
      <w:tr>
        <w:trPr>
          <w:trHeight w:val="28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42,716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42,983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77,958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68,796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320" w:right="40" w:hanging="314"/>
        <w:spacing w:after="0" w:line="256" w:lineRule="auto"/>
        <w:tabs>
          <w:tab w:leader="none" w:pos="20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route and customer acquisition costs and location contracts acquired consist of upfront cash payments and future cash payments to third-party sales agents to acquire the location partners that are not connected with a business combination. Accel amortizes the upfront cash payment over the life of the contract, including expected renewals, beginning on the date the location goes live, and recognizes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Accel does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route and customer acquisition costs and location contracts acquired” aggregates the non-cash amortization charges relating to upfront route and customer acquisition cost payments and location contracts acquired.</w:t>
      </w:r>
    </w:p>
    <w:p>
      <w:pPr>
        <w:spacing w:after="0" w:line="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ab/>
        <w:t>Stock-based compensation consists of options, restricted stock units and warrants.</w:t>
      </w:r>
    </w:p>
    <w:p>
      <w:pPr>
        <w:spacing w:after="0" w:line="21" w:lineRule="exact"/>
        <w:rPr>
          <w:sz w:val="20"/>
          <w:szCs w:val="20"/>
          <w:color w:val="auto"/>
        </w:rPr>
      </w:pPr>
    </w:p>
    <w:p>
      <w:pPr>
        <w:ind w:left="320" w:hanging="314"/>
        <w:spacing w:after="0" w:line="243" w:lineRule="auto"/>
        <w:tabs>
          <w:tab w:leader="none" w:pos="33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loss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spacing w:after="0" w:line="1" w:lineRule="exact"/>
        <w:rPr>
          <w:rFonts w:ascii="Times New Roman" w:cs="Times New Roman" w:eastAsia="Times New Roman" w:hAnsi="Times New Roman"/>
          <w:sz w:val="14"/>
          <w:szCs w:val="14"/>
          <w:color w:val="auto"/>
        </w:rPr>
      </w:pPr>
    </w:p>
    <w:p>
      <w:pPr>
        <w:ind w:left="320" w:hanging="314"/>
        <w:spacing w:after="0" w:line="257" w:lineRule="auto"/>
        <w:tabs>
          <w:tab w:leader="none" w:pos="36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net consists of (i) non-cash expenses including the remeasurement of contingent consideration liabilities, (ii) non-recurring expenses relating to lobbying efforts and legal expenses in Pennsylvania and lobbying efforts in Missouri, (iii) non-recurring costs associated with COVID-19 and (iv) other non-recurring expenses.</w:t>
      </w:r>
    </w:p>
    <w:p>
      <w:pPr>
        <w:ind w:left="320" w:hanging="314"/>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excluding the impact of the non-GAAP adjustments from the current period tax provision calculations.</w:t>
      </w:r>
    </w:p>
    <w:p>
      <w:pPr>
        <w:spacing w:after="0" w:line="11" w:lineRule="exact"/>
        <w:rPr>
          <w:rFonts w:ascii="Times New Roman" w:cs="Times New Roman" w:eastAsia="Times New Roman" w:hAnsi="Times New Roman"/>
          <w:sz w:val="14"/>
          <w:szCs w:val="14"/>
          <w:color w:val="auto"/>
        </w:rPr>
      </w:pPr>
    </w:p>
    <w:p>
      <w:pPr>
        <w:ind w:left="320" w:right="100" w:hanging="314"/>
        <w:spacing w:after="0" w:line="245" w:lineRule="auto"/>
        <w:tabs>
          <w:tab w:leader="none" w:pos="3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Emerging markets consist of the results, on an adjusted EBITDA basis, for non-core jurisdictions where our operations are developing. Markets are no longer considered emerging when Accel has installed or acquired at least 500 gaming terminals in the jurisdiction, or when 24 months have elapsed from the date Accel first installs or acquires gaming terminals in the jurisdiction, whichever occurs first.</w:t>
      </w:r>
    </w:p>
    <w:p>
      <w:pPr>
        <w:spacing w:after="0" w:line="163"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Adjusted EBITDA for the three months ended June 30, 2022 was $42.7 million, which was essentially flat compared to the prior-year period. Adjusted EBITDA for the six months ended June 30, 2022 was $78.0 million, an increase of $9.2 million, or 13.3%, compared to the prior-year period. The increase in performance for the six months ended was attributable to an increase in the number of locations, gaming terminals, and location hold-per-day, and the absence of the previously mentioned IGB-mandated shutdown of Illinois video gaming due to the ongoing COVID-19 outbreak that had a significant impact on our performance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27"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servicing outstanding indebtedness, and funding our Board of Directors approved share repurchase program and near term acquisitions. As of June 30, 2022, Accel had $220.2 million in 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November 13, 2019, we entered into a credit agreement (the “Credit Agreement”) as borrower, with Accel and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16" w:lineRule="exact"/>
        <w:rPr>
          <w:sz w:val="20"/>
          <w:szCs w:val="20"/>
          <w:color w:val="auto"/>
        </w:rPr>
      </w:pPr>
    </w:p>
    <w:p>
      <w:pPr>
        <w:ind w:left="640" w:hanging="316"/>
        <w:spacing w:after="0" w:line="320"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revolving credit facility, including a letter of credit facility with a $10.0 million sublimit and a swing line facility with a $10.0 million sublimit,</w:t>
      </w:r>
    </w:p>
    <w:p>
      <w:pPr>
        <w:spacing w:after="0" w:line="9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 million initial term loan facility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million additional term loan facility.</w:t>
      </w:r>
    </w:p>
    <w:p>
      <w:pPr>
        <w:spacing w:after="0" w:line="191"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additional term loan facility was available for borrowings until November 13, 2020. Each of the revolving loans and the term loans were scheduled to mature on November 13, 2024.</w:t>
      </w:r>
    </w:p>
    <w:p>
      <w:pPr>
        <w:spacing w:after="0" w:line="98" w:lineRule="exact"/>
        <w:rPr>
          <w:sz w:val="20"/>
          <w:szCs w:val="20"/>
          <w:color w:val="auto"/>
        </w:rPr>
      </w:pPr>
    </w:p>
    <w:p>
      <w:pPr>
        <w:jc w:val="both"/>
        <w:ind w:firstLine="318"/>
        <w:spacing w:after="0" w:line="321" w:lineRule="auto"/>
        <w:rPr>
          <w:sz w:val="20"/>
          <w:szCs w:val="20"/>
          <w:color w:val="auto"/>
        </w:rPr>
      </w:pPr>
      <w:r>
        <w:rPr>
          <w:rFonts w:ascii="Times New Roman" w:cs="Times New Roman" w:eastAsia="Times New Roman" w:hAnsi="Times New Roman"/>
          <w:sz w:val="17"/>
          <w:szCs w:val="17"/>
          <w:color w:val="auto"/>
        </w:rPr>
        <w:t>Given the uncertainty of COVID-19 and the resulting potential impact to the gaming industry and our future assumptions, as well as to provide additional financial flexibility, we and the other parties thereto amended the Credit Agreement on August 4, 2020 to provide a waiver of financial covenant breach for the periods ended September 30, 2020 through March 31, 2021 of the First Lien Net Leverage Ratio and Fixed Charge Coverage Ratio (each as defined under the Credit Agreement). The amendment 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318"/>
        <w:spacing w:after="0" w:line="320" w:lineRule="auto"/>
        <w:rPr>
          <w:sz w:val="20"/>
          <w:szCs w:val="20"/>
          <w:color w:val="auto"/>
        </w:rPr>
      </w:pPr>
      <w:r>
        <w:rPr>
          <w:rFonts w:ascii="Times New Roman" w:cs="Times New Roman" w:eastAsia="Times New Roman" w:hAnsi="Times New Roman"/>
          <w:sz w:val="18"/>
          <w:szCs w:val="18"/>
          <w:color w:val="auto"/>
        </w:rPr>
        <w:t>On October 22, 2021, in order to increase the borrowing capacity under the Credit Agreement, we and the other parties thereto entered into Amendment No. 2 to the Credit Agreement (“Amendment No. 2”). Amendment No. 2, among other things, provides for:</w:t>
      </w:r>
    </w:p>
    <w:p>
      <w:pPr>
        <w:spacing w:after="0" w:line="125" w:lineRule="exact"/>
        <w:rPr>
          <w:sz w:val="20"/>
          <w:szCs w:val="20"/>
          <w:color w:val="auto"/>
        </w:rPr>
      </w:pPr>
    </w:p>
    <w:p>
      <w:pPr>
        <w:ind w:left="680" w:hanging="356"/>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the revolving credit facility from $100.0 million to $150.0 million,</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$350.0 million initial term loan facility, the proceeds of which were applied to refinancing existing indebtedness and</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$400.0 million delayed draw term loan facility.</w:t>
      </w:r>
    </w:p>
    <w:p>
      <w:pPr>
        <w:spacing w:after="0" w:line="191"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additional term loan facility is available for borrowings until October 21, 2023. The maturity date of the Credit Agreement was extended to October 22, 2026. The interest rate and covenants remain unchanged.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there remained approximately $381 million of availability under the Credit Agreement.</w:t>
      </w:r>
    </w:p>
    <w:p>
      <w:pPr>
        <w:spacing w:after="0" w:line="191"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Accel and our wholly-owned domestic subsidiaries, subject to certain exceptions (collectively, the “Guarantors”). The obligations under the Credit Agreement are secured by substantially all of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spacing w:after="0" w:line="112"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Borrowings under the Credit Agreement bear interest, at Accel’s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June 30, 2022, the weighted-average interest rate was approximately 3.2%.</w:t>
      </w:r>
    </w:p>
    <w:p>
      <w:pPr>
        <w:spacing w:after="0" w:line="118"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Interest is payable quarterly in arrears for ABR loans, at the end of the applicable interest period for LIBOR loans (but not less frequently than quarterly) and upon the prepayment or maturity of the underlying loans. Accel is required to pay a commitment fee quarterly in arrears in respect of unused commitments under the revolving credit facility and the additional term loan facility.</w:t>
      </w:r>
    </w:p>
    <w:p>
      <w:pPr>
        <w:spacing w:after="0" w:line="11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applicable LIBOR and ABR margins and the commitment fee rate are calculated based upon the first lien net leverage ratio of Accel and its restricted subsidiaries on a consolidated basis, as defined in the Credit Agreement. The revolving loans and term loans bear interest at either (a) ABR (150 bps floor) plus a margin of 1.75% or (b) LIBOR (50bps floor) plus a margin up to 2.75%, at our option.</w:t>
      </w:r>
    </w:p>
    <w:p>
      <w:pPr>
        <w:spacing w:after="0" w:line="11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 term loans and, once drawn, the additional term loans will amortize at an annual rate equal to approximately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LIBOR “breakage” costs.</w:t>
      </w:r>
    </w:p>
    <w:p>
      <w:pPr>
        <w:spacing w:after="0" w:line="11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and events of default, and requires Accel and certain of its affiliates obligated under the Credit Agreement to make customary representations and warranties in connection with credit extensions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In addition, the Credit Agreement requires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Accel for which financial statements have been delivered pursuant to the Credit Agreement, subject to customary “equity cure” rights.</w:t>
      </w:r>
    </w:p>
    <w:p>
      <w:pPr>
        <w:spacing w:after="0" w:line="116"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25"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We were in compliance with all debt covenants as of June 30, 2022. Given our assumptions about the future impact of COVID-19 and its variant strains on the gaming industry, which could be materially different due to the inherent uncertainties of future restrictions on the industry, we expect to meet our cash obligations as well as remain in compliance with the debt covenants in our credit facility for the next 12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caplets</w:t>
      </w:r>
    </w:p>
    <w:p>
      <w:pPr>
        <w:spacing w:after="0" w:line="193"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The Company manages its exposure to some of its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our interest payments and each caplet is expected to be highly effective at offsetting changes in interest payment cash flows. The aggregate premium for these caplets was $3.9 million, which was the initial fair value of the caplets recorded in our financial statements, and was financed as additional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3" w:lineRule="exact"/>
        <w:rPr>
          <w:sz w:val="20"/>
          <w:szCs w:val="20"/>
          <w:color w:val="auto"/>
        </w:rPr>
      </w:pPr>
    </w:p>
    <w:p>
      <w:pPr>
        <w:jc w:val="both"/>
        <w:ind w:firstLine="318"/>
        <w:spacing w:after="0" w:line="336" w:lineRule="auto"/>
        <w:rPr>
          <w:sz w:val="20"/>
          <w:szCs w:val="20"/>
          <w:color w:val="auto"/>
        </w:rPr>
      </w:pPr>
      <w:r>
        <w:rPr>
          <w:rFonts w:ascii="Times New Roman" w:cs="Times New Roman" w:eastAsia="Times New Roman" w:hAnsi="Times New Roman"/>
          <w:sz w:val="18"/>
          <w:szCs w:val="18"/>
          <w:color w:val="auto"/>
        </w:rPr>
        <w:t>The following table summarizes Accel’s net cash provided by or used in operating activities, investing activities and financing activities for the periods indicated and should be read in conjunction with our condensed consolidated financial statements and the notes thereto included in this filing:</w:t>
      </w:r>
    </w:p>
    <w:p>
      <w:pPr>
        <w:sectPr>
          <w:pgSz w:w="11900" w:h="16838" w:orient="portrait"/>
          <w:cols w:equalWidth="0" w:num="1">
            <w:col w:w="11240"/>
          </w:cols>
          <w:pgMar w:left="320" w:top="121" w:right="339" w:bottom="1440" w:gutter="0" w:footer="0" w:header="0"/>
        </w:sectPr>
      </w:pPr>
    </w:p>
    <w:p>
      <w:pPr>
        <w:spacing w:after="0" w:line="30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358775</wp:posOffset>
            </wp:positionV>
            <wp:extent cx="4422140" cy="168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22140" cy="16827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Net cash provided by operating activities</w:t>
      </w:r>
    </w:p>
    <w:p>
      <w:pPr>
        <w:spacing w:after="0" w:line="7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31750</wp:posOffset>
            </wp:positionV>
            <wp:extent cx="4422140" cy="168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22140" cy="168275"/>
                    </a:xfrm>
                    <a:prstGeom prst="rect">
                      <a:avLst/>
                    </a:prstGeom>
                    <a:noFill/>
                  </pic:spPr>
                </pic:pic>
              </a:graphicData>
            </a:graphic>
          </wp:anchor>
        </w:drawing>
      </w:r>
    </w:p>
    <w:p>
      <w:pPr>
        <w:spacing w:after="0" w:line="3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7"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558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7"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558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79" w:lineRule="exact"/>
        <w:rPr>
          <w:sz w:val="20"/>
          <w:szCs w:val="20"/>
          <w:color w:val="auto"/>
        </w:rPr>
      </w:pPr>
    </w:p>
    <w:p>
      <w:pPr>
        <w:spacing w:after="0"/>
        <w:tabs>
          <w:tab w:leader="none" w:pos="580" w:val="left"/>
          <w:tab w:leader="none" w:pos="1280" w:val="left"/>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41,211</w:t>
        <w:tab/>
        <w:t>$</w:t>
      </w:r>
      <w:r>
        <w:rPr>
          <w:sz w:val="20"/>
          <w:szCs w:val="20"/>
          <w:color w:val="auto"/>
        </w:rPr>
        <w:tab/>
      </w:r>
      <w:r>
        <w:rPr>
          <w:rFonts w:ascii="Times New Roman" w:cs="Times New Roman" w:eastAsia="Times New Roman" w:hAnsi="Times New Roman"/>
          <w:sz w:val="17"/>
          <w:szCs w:val="17"/>
          <w:color w:val="auto"/>
        </w:rPr>
        <w:t>54,158</w:t>
      </w:r>
    </w:p>
    <w:p>
      <w:pPr>
        <w:spacing w:after="0" w:line="85" w:lineRule="exact"/>
        <w:rPr>
          <w:sz w:val="20"/>
          <w:szCs w:val="20"/>
          <w:color w:val="auto"/>
        </w:rPr>
      </w:pPr>
    </w:p>
    <w:p>
      <w:pPr>
        <w:jc w:val="both"/>
        <w:ind w:left="420"/>
        <w:spacing w:after="0"/>
        <w:tabs>
          <w:tab w:leader="none" w:pos="1780" w:val="left"/>
        </w:tabs>
        <w:rPr>
          <w:sz w:val="20"/>
          <w:szCs w:val="20"/>
          <w:color w:val="auto"/>
        </w:rPr>
      </w:pPr>
      <w:r>
        <w:rPr>
          <w:rFonts w:ascii="Times New Roman" w:cs="Times New Roman" w:eastAsia="Times New Roman" w:hAnsi="Times New Roman"/>
          <w:sz w:val="18"/>
          <w:szCs w:val="18"/>
          <w:color w:val="auto"/>
        </w:rPr>
        <w:t>(137,267)</w:t>
      </w:r>
      <w:r>
        <w:rPr>
          <w:sz w:val="20"/>
          <w:szCs w:val="20"/>
          <w:color w:val="auto"/>
        </w:rPr>
        <w:tab/>
      </w:r>
      <w:r>
        <w:rPr>
          <w:rFonts w:ascii="Times New Roman" w:cs="Times New Roman" w:eastAsia="Times New Roman" w:hAnsi="Times New Roman"/>
          <w:sz w:val="18"/>
          <w:szCs w:val="18"/>
          <w:color w:val="auto"/>
        </w:rPr>
        <w:t>(13,758)</w:t>
      </w:r>
    </w:p>
    <w:p>
      <w:pPr>
        <w:spacing w:after="0" w:line="58" w:lineRule="exact"/>
        <w:rPr>
          <w:sz w:val="20"/>
          <w:szCs w:val="20"/>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18"/>
          <w:szCs w:val="18"/>
          <w:color w:val="auto"/>
        </w:rPr>
        <w:t>117,438</w:t>
      </w:r>
      <w:r>
        <w:rPr>
          <w:sz w:val="20"/>
          <w:szCs w:val="20"/>
          <w:color w:val="auto"/>
        </w:rPr>
        <w:tab/>
      </w:r>
      <w:r>
        <w:rPr>
          <w:rFonts w:ascii="Times New Roman" w:cs="Times New Roman" w:eastAsia="Times New Roman" w:hAnsi="Times New Roman"/>
          <w:sz w:val="18"/>
          <w:szCs w:val="18"/>
          <w:color w:val="auto"/>
        </w:rPr>
        <w:t>3,657</w:t>
      </w:r>
    </w:p>
    <w:p>
      <w:pPr>
        <w:spacing w:after="0" w:line="200" w:lineRule="exact"/>
        <w:rPr>
          <w:sz w:val="20"/>
          <w:szCs w:val="20"/>
          <w:color w:val="auto"/>
        </w:rPr>
      </w:pPr>
    </w:p>
    <w:p>
      <w:pPr>
        <w:sectPr>
          <w:pgSz w:w="11900" w:h="16838" w:orient="portrait"/>
          <w:cols w:equalWidth="0" w:num="2">
            <w:col w:w="5940" w:space="720"/>
            <w:col w:w="4580"/>
          </w:cols>
          <w:pgMar w:left="320" w:top="121" w:right="3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93" w:lineRule="exact"/>
        <w:rPr>
          <w:sz w:val="20"/>
          <w:szCs w:val="20"/>
          <w:color w:val="auto"/>
        </w:rPr>
      </w:pPr>
    </w:p>
    <w:p>
      <w:pPr>
        <w:ind w:firstLine="318"/>
        <w:spacing w:after="0" w:line="320"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operating activities was $41.2 million, a decrease of $12.9 million over the comparable period primarily due to lower working 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06" w:lineRule="exact"/>
        <w:rPr>
          <w:sz w:val="20"/>
          <w:szCs w:val="20"/>
          <w:color w:val="auto"/>
        </w:rPr>
      </w:pPr>
    </w:p>
    <w:p>
      <w:pPr>
        <w:jc w:val="both"/>
        <w:ind w:right="20" w:firstLine="318"/>
        <w:spacing w:after="0" w:line="320"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$137.3 million, an increase of $123.5 million over the comparable period and was primarily attributable to higher business and asset acquisitions and purchases of property and equipment.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$117.4 million, an increase of $113.8 million over the comparable period due to an increase in borrowings to finance our business and asset acquisitions, partially offset by repurchases of our Class A-1 common stock of $36.9 million under our share repurchase program.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93" w:lineRule="exact"/>
        <w:rPr>
          <w:sz w:val="20"/>
          <w:szCs w:val="20"/>
          <w:color w:val="auto"/>
        </w:rPr>
      </w:pPr>
    </w:p>
    <w:p>
      <w:pPr>
        <w:jc w:val="both"/>
        <w:ind w:firstLine="318"/>
        <w:spacing w:after="0" w:line="314" w:lineRule="auto"/>
        <w:rPr>
          <w:sz w:val="20"/>
          <w:szCs w:val="20"/>
          <w:color w:val="auto"/>
        </w:rPr>
      </w:pPr>
      <w:r>
        <w:rPr>
          <w:rFonts w:ascii="Times New Roman" w:cs="Times New Roman" w:eastAsia="Times New Roman" w:hAnsi="Times New Roman"/>
          <w:sz w:val="18"/>
          <w:szCs w:val="18"/>
          <w:color w:val="auto"/>
        </w:rPr>
        <w:t>In preparing our condensed consolidated financial statements, we applied the same critical accounting policies as described in our Annual Report on Form 10-K for the year ended December 31, 2021 that affect judgments and estimates of amounts recorded for certain assets, liabilities, revenues, and expenses. In connection with the Century acquisition in this current quarter we note the following: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goodwill</w:t>
      </w:r>
    </w:p>
    <w:p>
      <w:pPr>
        <w:spacing w:after="0" w:line="195" w:lineRule="exact"/>
        <w:rPr>
          <w:sz w:val="20"/>
          <w:szCs w:val="20"/>
          <w:color w:val="auto"/>
        </w:rPr>
      </w:pPr>
    </w:p>
    <w:p>
      <w:pPr>
        <w:jc w:val="both"/>
        <w:ind w:firstLine="318"/>
        <w:spacing w:after="0" w:line="315" w:lineRule="auto"/>
        <w:rPr>
          <w:sz w:val="20"/>
          <w:szCs w:val="20"/>
          <w:color w:val="auto"/>
        </w:rPr>
      </w:pPr>
      <w:r>
        <w:rPr>
          <w:rFonts w:ascii="Times New Roman" w:cs="Times New Roman" w:eastAsia="Times New Roman" w:hAnsi="Times New Roman"/>
          <w:sz w:val="17"/>
          <w:szCs w:val="17"/>
          <w:color w:val="auto"/>
        </w:rPr>
        <w:t>For acquisitions meeting the definition of a business combination, the acquisition method of accounting is used. The acquisition date is the date on which Accel obtains operating control over the acquired business. The consideration paid is determined on the acquisition date and is the sum of the fair values of the assets acquired by Accel and the liabilities assumed by Accel,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Accel’s consolidated statements of operations and comprehensive income (loss) as other expenses, net. Location contract intangibles are generally measured at fair value using an income approach which measures the fair value based on the estimated future cash flows using certain projected financial information such as revenue and costs projections and other assumptions such as estimated attrition rates and discount rates. Acquired tangible personal property such as gaming equipment is generally measured at fair value using a cost approach which measures the fair value based on the cost to reproduce or replace the asset. Goodwill is measured as the excess of the consideration transferred over the fair value of the net identifiable assets acquired and liabilities assumed. The relevance of this policy and the described methods and assumptions vary from period to period depending on the volume of applicable acquisitions occurring.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93" w:lineRule="exact"/>
        <w:rPr>
          <w:sz w:val="20"/>
          <w:szCs w:val="20"/>
          <w:color w:val="auto"/>
        </w:rPr>
      </w:pPr>
    </w:p>
    <w:p>
      <w:pPr>
        <w:jc w:val="both"/>
        <w:ind w:firstLine="318"/>
        <w:spacing w:after="0" w:line="331"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Illinois gross revenue per machine per day is typically lower in the summer when players will typically spend less time indoors at our location partners, and higher in cold weather between February and April, when players will typically spend more time indoors at our location partners. Holidays, vacation seasons, and sporting events may also cause our results to fluctuate.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Market risk represents the risk of loss that may impact Accel’s financial position due to adverse changes in financial market prices and rates. Market risk exposure is primarily the result of fluctuations in interest rates.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0"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Accel is exposed to interest rate risk in the ordinary course of its business. Accel’s borrowings under its senior secured credit facility were $505.9 million as of June 30, 2022. If the underlying interest rates were to increase by 1.0%, or 100 basis points, the increase in interest expense on Accel’s floating rate debt would negatively impact Accel’s future earnings and cash flows by approximately $5.1 million annually, assuming the balance outstanding under Accel’s credit facility remained at $505.9 million. In order to protect against higher interest rates in the future on its credit facility, the Company hedged the variability of the cash flows attributable to the changes in the 1-month LIBOR interest rate on the first $300 million of the term loan by entering into a 4-year series of 48 deferred premium caplets (“caplets”) on January 12, 2022. The caplets mature at the end of each month and protect the Company if interest rates exceed 2% of 1-month LIBOR.</w:t>
      </w:r>
    </w:p>
    <w:p>
      <w:pPr>
        <w:spacing w:after="0" w:line="118"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33"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In connection with the filing of this Form 10-Q for the quarter ended June 30, 2022,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those material weaknesses previously identified in Item 9A. “Controls and Procedures” of our Annual Report on Form 10-K for the year ended December 31, 2021 were still present as of June 30, 2022 (the “Evaluation Date”). Based on those material weaknesses, and the evaluation of our disclosure controls and procedures, our CEO and CFO concluded that our disclosure controls and procedures were not effective as of the Evaluation Date.</w:t>
      </w:r>
    </w:p>
    <w:p>
      <w:pPr>
        <w:spacing w:after="0" w:line="145"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believes that the condensed consolidated financial statements included in this Form 10-Q fairly present in all material respects our financial condition, results of operations, and cash flows as of June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There were no changes during the quarter ended June 30, 2022 in our internal control over financial reporting that have materially affected, or are reasonably likely to materially affect, our internal control over financial reporting other than the material weaknesses previously identified and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93"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Lawsuits and claims are filed against Accel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our financial position or results of operations.</w:t>
      </w:r>
    </w:p>
    <w:p>
      <w:pPr>
        <w:spacing w:after="0" w:line="125"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37" w:lineRule="exact"/>
        <w:rPr>
          <w:sz w:val="20"/>
          <w:szCs w:val="20"/>
          <w:color w:val="auto"/>
        </w:rPr>
      </w:pPr>
    </w:p>
    <w:p>
      <w:pPr>
        <w:jc w:val="both"/>
        <w:ind w:firstLine="318"/>
        <w:spacing w:after="0" w:line="319" w:lineRule="auto"/>
        <w:rPr>
          <w:sz w:val="20"/>
          <w:szCs w:val="20"/>
          <w:color w:val="auto"/>
        </w:rPr>
      </w:pPr>
      <w:r>
        <w:rPr>
          <w:rFonts w:ascii="Times New Roman" w:cs="Times New Roman" w:eastAsia="Times New Roman" w:hAnsi="Times New Roman"/>
          <w:sz w:val="17"/>
          <w:szCs w:val="17"/>
          <w:color w:val="auto"/>
        </w:rPr>
        <w:t>On August 21, 2012, one of Accel’s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Accel agreed to pay him for each licensed establishment which decided to enter into exclusive location agreements with Accel. In late August and early September 2012, each of the Defendant Establishments signed separate location agreements with Accel,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18"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Action Gaming, J&amp;J, and other parties, collectively, the Plaintiffs, filed a complaint against Accel,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Accel filed a motion to dismiss for lack of subject matter jurisdiction, as further described below. On May 14, 2018, the Circuit Court denied Accel’s motion to dismiss and granted a stay to the case, pending a ruling from the IGB on the validity of the J&amp;J Assigned Agreements.</w:t>
      </w:r>
    </w:p>
    <w:p>
      <w:pPr>
        <w:spacing w:after="0" w:line="127" w:lineRule="exact"/>
        <w:rPr>
          <w:sz w:val="20"/>
          <w:szCs w:val="20"/>
          <w:color w:val="auto"/>
        </w:rPr>
      </w:pPr>
    </w:p>
    <w:p>
      <w:pPr>
        <w:jc w:val="both"/>
        <w:ind w:firstLine="318"/>
        <w:spacing w:after="0" w:line="317" w:lineRule="auto"/>
        <w:rPr>
          <w:sz w:val="20"/>
          <w:szCs w:val="20"/>
          <w:color w:val="auto"/>
        </w:rPr>
      </w:pPr>
      <w:r>
        <w:rPr>
          <w:rFonts w:ascii="Times New Roman" w:cs="Times New Roman" w:eastAsia="Times New Roman" w:hAnsi="Times New Roman"/>
          <w:sz w:val="17"/>
          <w:szCs w:val="17"/>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Accel was granted leave to intervene in all of the declaratory judgements.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Accel’s appeal, the Illinois Appellate Court, Fifth District (the “District Court”), vacated the circuit courts’ judgements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Between May 2017 and September 2017, both Accel and J&amp;J filed petitions with the IGB seeking adjudication of the rights of the parties and the validity of the use agreements. Those petitions were recently adjudicated by the IGB, largely in Accel’s favor, and J&amp;J has filed a new lawsuit to challenge the IGB’s rulings. Accel does not have a present estimate regarding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potential damages, if any, that could potentially be awarded in this litigation and, accordingly, have established no reserves relating to such matters. There are also petitions pending with the IGB which could lead to Accel obtaining new locations.</w:t>
      </w:r>
    </w:p>
    <w:p>
      <w:pPr>
        <w:spacing w:after="0" w:line="111"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October 7, 2019, Accel filed a lawsuit in the Circuit Court of Cook County, Illinois against Jason Rowell and other parties related to Mr. Rowell’s breaches of his non-compete agreement with Accel. Accel alleged that Mr. Rowell and a competitor were working together to interfere with Accel’s customer relationships. On November 7, 2019, Mr. Rowell filed a lawsuit in the Circuit Court of Cook County, Illinois against Accel alleging that he had not received certain equity interests in Accel to which he was allegedly entitled under his agreement. Accel has answered the complaint and asserted a counterclaim, and intends to defend itself against the allegations. Mr. Rowell's claims and Accel's claims are both being litigated in this lawsuit, while the original lawsuit remains pending against the other defendants.</w:t>
      </w:r>
    </w:p>
    <w:p>
      <w:pPr>
        <w:spacing w:after="0" w:line="140"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July 2, 2019, Illinois Gaming Investors, LLC filed a lawsuit against Accel. The lawsuit alleges that a current employee violated his non-competition agreement with Illinois Gaming Investors, LLC, and together with Accel, wrongfully solicited prohibited licensed video gaming locations. The parties settled this dispute in April 2022.</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8"/>
          <w:szCs w:val="18"/>
          <w:color w:val="auto"/>
        </w:rPr>
        <w:t>On December 18, 2020, we received a disciplinary complaint from the IGB alleging violations of the Video Gaming Act and the IGB’s Adopted Rules for Video Gaming. The disciplinary complaint seeks to fine us in the amount of $5 million. We filed our initial answer to the IGB’s complaint on January 11, 2021. On July 22, 2022, both parties filed motions for summary judgement.</w:t>
      </w:r>
    </w:p>
    <w:p>
      <w:pPr>
        <w:spacing w:after="0" w:line="137"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On March 9, 2022, we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June 22, 2022, Gold Rush filed a lawsuit in the Circuit Court of Cook County, Illinois against us. The lawsuit alleges that we tortiously interfered with Gold Rush’s business activities and engaged in misconduct with respect to the Gold Rush convertible notes. The complaint seeks declaratory judgment and damages related to the allegations. The Company intends to vigorously defend itself against the allegations in the complaint and denies any allegations of wrongdoing. For more information on the Gold Rush convertible notes, see Note 4 to the accompanying unaudited condensed consolidated financial statements included in this Quarterly Report on Form 10-Q.</w:t>
      </w:r>
    </w:p>
    <w:p>
      <w:pPr>
        <w:spacing w:after="0" w:line="132" w:lineRule="exact"/>
        <w:rPr>
          <w:sz w:val="20"/>
          <w:szCs w:val="20"/>
          <w:color w:val="auto"/>
        </w:rPr>
      </w:pPr>
    </w:p>
    <w:p>
      <w:pPr>
        <w:jc w:val="both"/>
        <w:ind w:firstLine="318"/>
        <w:spacing w:after="0" w:line="331"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Illinois Gaming Board, Accel and J&amp;J in the Circuit Court of Cook County, Illinois seeking administrative review of decisions of the IGB ruling in favor of Accel and J&amp;J and against Midwest regarding the validity of certain use agreements covering locations currently serviced by Midwest. No monetary damages are sought against Accel.</w:t>
      </w:r>
    </w:p>
    <w:p>
      <w:pPr>
        <w:spacing w:after="0" w:line="12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On April 22, 2022, we filed a petition in the Circuit Court of Cook County, Illinois to judicially review the IGB's decision to deny the requested transfer of Gold Rush common stock in respect of our conversion of the convertible notes.</w:t>
      </w:r>
    </w:p>
    <w:p>
      <w:pPr>
        <w:spacing w:after="0" w:line="111"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Given the status of the legal proceedings discussed above, the Company determined that a legal liability was probable and recorded a loss of $1.0 million for the six months ended June 30, 2022, and is included within other expenses, net in the condensed consolidated statements of operations and other comprehensive income. The Company paid legal settlements totaling $1.6 million during the six months ended June 30, 2022 related to these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Except for as set forth below, there have been no material changes in the risk factors described in Item 1A. “Risk Factors” in our Annual Report on Form 10-K for the year ended December 31,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8"/>
          <w:szCs w:val="18"/>
          <w:b w:val="1"/>
          <w:bCs w:val="1"/>
          <w:i w:val="1"/>
          <w:iCs w:val="1"/>
          <w:color w:val="auto"/>
        </w:rPr>
        <w:t>Accel’s ability to operate in existing markets or expand into new jurisdictions could be adversely affected by difficulties, delays, or failures by Accel or its stakeholders in obtaining or maintaining required licenses or approvals.</w:t>
      </w:r>
    </w:p>
    <w:p>
      <w:pPr>
        <w:spacing w:after="0" w:line="120"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Accel operates only in jurisdictions where gaming is legal. The gaming industry is subject to extensive governmental regulation by federal, state, and local governments, which customarily includes some form of licensing or regulatory screening of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operators, suppliers, manufacturers and distributors and their applicable affiliates, their major stockholders, officers, directors and key employees. In addition, certain gaming products and technologies must be certified or approved in certain jurisdictions in which Accel operates, and these regulatory requirements vary from jurisdiction to jurisdiction. The scope of the approvals required can be extensive. Regulators review many facets of an applicant or holder of a license, including its financial stability, integrity and business experience. While the regulatory requirements vary by jurisdiction, most require:</w:t>
      </w:r>
    </w:p>
    <w:p>
      <w:pPr>
        <w:spacing w:after="0" w:line="125"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and/or permits;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qualifications, including evidence of financial stability;</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required approvals for companies who design, assemble, supply or distribute gaming equipment and services; and</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suitability of officers, directors, major equity holders, lenders, key employees and business partners.</w:t>
      </w:r>
    </w:p>
    <w:p>
      <w:pPr>
        <w:spacing w:after="0" w:line="218"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Accel may not be able to obtain or maintain all necessary registrations, licenses, permits or approvals, or could experience delays related to the licensing process which could adversely affect its operations and ability to retain key employees. If Accel fails to obtain a license required in a particular jurisdiction for games and gaming terminals, hardware or software or have such license revoked, it will not be able to expand into, or continue doing business in, such jurisdiction. Any delay, difficulty or failure by Accel to obtain or retain a required license or approval in one jurisdiction could negatively impact the ability to obtain or retain required licenses and approvals in other jurisdictions, or affect eligibility for a license in other jurisdictions, which can negatively affect opportunities for growth. For example, if Accel’s license to operate in Illinois is not renewed as a result of a failure to satisfy suitability requirements or otherwise, its ability to obtain or maintain a license in Montana, Nevada, Nebraska, Pennsylvania, Georgia may be harmed. Unexpected changes or concessions required by local, state or federal regulatory authorities could involve significant additional costs and delay. The necessary permits, licenses and approvals may not be obtained within the anticipated time frames, or at all. Additionally, licenses, approvals or findings of suitability may be revoked, suspended or conditioned at any time. If a license, approval or finding of suitability is required by a regulatory authority and Accel fails to seek or does not receive the necessary approval, license or finding of suitability, or if it is granted and subsequently revoked, it could have an adverse effect on Accel’s results of operations, cash flows and financial condition.</w:t>
      </w:r>
    </w:p>
    <w:p>
      <w:pPr>
        <w:spacing w:after="0" w:line="137"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For example, Accel has received a terminal operator license from the Pennsylvania Gaming Control Board (the “PA Board”). While Accel does not expect that the composition of the PA Board will change prior to the next Pennsylvania gubernatorial election in 2022, there can be no assurances with respect thereto, and any changes in composition to the PA Board could alter existing interpretations or enforcement of the Pennsylvania Gaming Act. In Illinois, Accel was granted its original license to conduct business as a terminal operator by the Illinois Gaming Board (the “IGB”) in 2012, and has most recently had its license renewed in June 2020, retroactive to March 2020 for a period of one year. The Company was also granted a manufacturer, distributor and route operator license by the Gambling Control Division of the Montana Department of Justice through June 2023. The Montana license is renewable annually. Additionally, in Nevada, Accel was granted a two-year terminal operator license from the Nevada Gaming Commission (the “NGC”) in June 2022. This license will be up for renewal in June 2024. Renewal of each of the Illinois license and the Nevada license is subject to, among other things, continued satisfaction of suitability requirements.</w:t>
      </w:r>
    </w:p>
    <w:p>
      <w:pPr>
        <w:spacing w:after="0" w:line="136"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In addition to any licensing requirements, all of Accel’s location partners are required to be licensed, and delays in or failure to obtain approvals of these licenses may adversely affect results of operations, cash flows and financial condition. Accel and certain of its affiliates, major stockholders (generally persons and entities beneficially owning a specified percentage (typically 5% or more) of equity securities), directors, officers and key employees are subject to extensive background investigations, personal and financial disclosure obligations and suitability standards in its businesses. Certain jurisdictions may require the same from Accel’s lenders or key business partners. The failure of these individuals and business entities to submit to such background checks and provide required disclosure, or delayed review or denial of application resulting from such submissions, could jeopardize Accel’s ability to obtain or maintain licensure in such jurisdictions. Any delay, difficulty, or failure by any of Accel’s major stockholders, directors, officers, key employees, products or technology, to obtain or retain a required license or approval in one jurisdiction could negatively impact its licensure in other jurisdictions, which can ultimately negatively affect opportunities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for growth. In addition, the failure of Accel’s officers, directors, key employees or business partners, equity holders, or lenders to obtain or maintain licenses in one or more jurisdictions may require Accel to modify or terminate its relationship with such officers, directors, key employees or business partners, equity holders, or lenders, or forego doing business in such jurisdiction. The licensing procedures and background investigations of the authorities that regulate Accel’s businesses may inhibit potential investors from becoming significant stockholders, inhibit existing stockholders from retaining or increasing their ownership, or inhibit existing stockholders from selling their shares to potential investors who are found unsuitable to hold Accel stock by gaming authorities or whose stock ownership may adversely affect Accel’s ability to obtain, maintain, renew or qualify for a license, contract, franchise or other regulatory approval from a gaming authority.</w:t>
      </w:r>
    </w:p>
    <w:p>
      <w:pPr>
        <w:spacing w:after="0" w:line="12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spacing w:after="0" w:line="115" w:lineRule="exact"/>
        <w:rPr>
          <w:sz w:val="20"/>
          <w:szCs w:val="20"/>
          <w:color w:val="auto"/>
        </w:rPr>
      </w:pPr>
    </w:p>
    <w:p>
      <w:pPr>
        <w:jc w:val="both"/>
        <w:ind w:firstLine="318"/>
        <w:spacing w:after="0" w:line="298" w:lineRule="auto"/>
        <w:rPr>
          <w:sz w:val="20"/>
          <w:szCs w:val="20"/>
          <w:color w:val="auto"/>
        </w:rPr>
      </w:pPr>
      <w:r>
        <w:rPr>
          <w:rFonts w:ascii="Times New Roman" w:cs="Times New Roman" w:eastAsia="Times New Roman" w:hAnsi="Times New Roman"/>
          <w:sz w:val="18"/>
          <w:szCs w:val="18"/>
          <w:color w:val="auto"/>
        </w:rPr>
        <w:t>Unfavorable economic conditions, including recession, economic slowdown, decreased liquidity in the financial markets, decreased availability of credit, rising interest rates and labor shortages, or inflation or stagflation, could have a negative effect on Accel’s business. Unfavorable economic conditions could cause location partners to shut down or ultimately declare bankruptcy, which could adversely affect Accel’s business. Unfavorable economic conditions may also result in volatility in the credit and equity markets. For example, the capital and credit markets may be adversely affected by the recent conflict between Russia and Ukraine, and the possibility of a wider European or global conflict, and global sanctions imposed in response thereto. The difficulty or inability of location partners to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spacing w:after="0" w:line="133" w:lineRule="exact"/>
        <w:rPr>
          <w:sz w:val="20"/>
          <w:szCs w:val="20"/>
          <w:color w:val="auto"/>
        </w:rPr>
      </w:pPr>
    </w:p>
    <w:p>
      <w:pPr>
        <w:jc w:val="both"/>
        <w:ind w:firstLine="318"/>
        <w:spacing w:after="0" w:line="302" w:lineRule="auto"/>
        <w:rPr>
          <w:sz w:val="20"/>
          <w:szCs w:val="20"/>
          <w:color w:val="auto"/>
        </w:rPr>
      </w:pPr>
      <w:r>
        <w:rPr>
          <w:rFonts w:ascii="Times New Roman" w:cs="Times New Roman" w:eastAsia="Times New Roman" w:hAnsi="Times New Roman"/>
          <w:sz w:val="18"/>
          <w:szCs w:val="18"/>
          <w:color w:val="auto"/>
        </w:rPr>
        <w:t>Accel’s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Accel’s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such as the COVID-19 outbreak and its variants,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 revenue growth and future success depends on its ability to expand into new markets, which may not occur as anticipated or at all.</w:t>
      </w:r>
    </w:p>
    <w:p>
      <w:pPr>
        <w:spacing w:after="0" w:line="208"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Accel’s future success and growth depend in large part on the successful addition of new locations as partners (whether through organic growth, conversion from competitors or partner relationships) and on the entry into new markets, including other licensed jurisdictions such as Pennsylvania, where Accel was granted a license as a terminal operator in November 2020 but has not commenced gaming operations as of December 31, 2021; Georgia, where Accel acquired Tom’s Amusement Company, Inc., a Southeastern U.S. amusement operator and Master Licensee, in July 2020, and Island Games, Inc., a southern Georgia amusement operator in May 2021; Iowa, where Accel recently acquired the amusement and ATM assets of the affiliated companies, Rich and Junnie's Inc. and JBCJ, Inc.; Montana and Nevada, where Accel acquired all of the outstanding equity interests of Century Gaming Inc. (“Century”) in June 2022; and Nebraska, where Accel acquired substantially all of the mechanical amusement device and ATM asses of VVS, Inc. in August 2022. These markets are newer to Accel and its success depends in part on displacing entrenched competitors who are familiar with these markets and are known to players. In many cases, Accel is attempting to enter into or expand its presence in these newer markets and where the appeal and success of gaming terminals and other forms of entertainment has not yet been proven. In some cases, Accel may need to develop or expand its sales channels and leverage the relationships with its location partners in order to execute this strategy. There can be no assurance that video gaming will have success with new location partners or in new markets, or that it will succeed in capturing a significant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even acceptable market share in any new markets, including Pennsylvania, Georgia, Nebraska and Iowa. In addition, it is possible that Accel will not be able to commence operations in the Pennsylvania market due to regulatory or other concerns. See “Accel is subject to strict government regulations that are constantly evolving and may be amended, repealed, or subject to new interpretations, which may limit existing operations, have an adverse impact on the ability to grow or may expose Accel to fines or other penalties.” If Accel fails to successfully expand into these markets, it may have difficulty growing its business and may lose business to its competitors.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 business is geographically concentrated, which subjects it to greater risks from changes in local or regional conditions.</w:t>
      </w:r>
    </w:p>
    <w:p>
      <w:pPr>
        <w:spacing w:after="0" w:line="208"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Accel currently installs gaming terminals and amusement devices in location primarily in Illinois. Due to this geographic concentration, Accel’s results of operations, cash flows and financial condition are subject to greater risks from changes in local and regional conditions, such as:</w:t>
      </w:r>
    </w:p>
    <w:p>
      <w:pPr>
        <w:spacing w:after="0" w:line="125"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or regional economic conditions and unemployment rates;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laws and regulations, including gaming laws and regulations;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residents in or near, or visitors to, location partners;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local or regional competitive environment; and</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 natural disasters (including weather or road conditions that limit access to locations).</w:t>
      </w:r>
    </w:p>
    <w:p>
      <w:pPr>
        <w:spacing w:after="0" w:line="204"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Accel largely depends on local markets of each location for players. Local competitive risks and the failure of location partners to attract a sufficient number of guests, players and other visitors in these locations could adversely affect Accel’s business. As a result of the geographic concentration of Accel’s businesses, it faces a greater risk of a negative impact on its results of operations, cash flows and financial condition in the event that Illinois is more severely impacted by any such adverse condition, as compared to other areas in the United States. Accel is subject to similar concentration risks in Georgia, Iowa, Montana and Nevada, and if Accel is successful in expanding its operations into Pennsylvania, Nebraska or other gaming jurisdictions, it may also face similar concentration risk there.</w:t>
      </w:r>
    </w:p>
    <w:p>
      <w:pPr>
        <w:spacing w:after="0" w:line="13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8"/>
          <w:szCs w:val="18"/>
          <w:b w:val="1"/>
          <w:bCs w:val="1"/>
          <w:i w:val="1"/>
          <w:iCs w:val="1"/>
          <w:color w:val="auto"/>
        </w:rPr>
        <w:t>Accel’s failure to successfully integrate its business with Century could materially adversely affect its business, and Accel may not realize the full benefits of the Century Acquisition.</w:t>
      </w:r>
    </w:p>
    <w:p>
      <w:pPr>
        <w:spacing w:after="0" w:line="107"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Accel’s ability to realize the anticipated benefits of its June 2022 acquisition of Century Gaming, Inc. (the “Century Acquisition”), will depend, to a large extent, on its ability to successfully integrate our business with the business we acquired. Integrating and coordinating the operations and personnel of multiple businesses and managing the expansion in the scope of our operations and financial systems involves complex operational, technological and personnel-related challenges. The potential difficulties, and resulting costs and delays, relating to the integration of our business with Century’s business include:</w:t>
      </w:r>
    </w:p>
    <w:p>
      <w:pPr>
        <w:spacing w:after="0" w:line="126"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integrating Century’s business and operations in an efficient and effective manner;</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achieving strategic objectives and other benefits expected from the Century Acquisition;</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day-to-day operations;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demands on management related to the increased size and scope of our company following the Century Acquisition;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assimilation of employees and the integration of different business cultures;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and retaining key personnel;</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information, accounting, finance, sales, billing, payroll and regulatory compliance systems;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keeping existing customers and obtaining new customers; and</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combining sales and marketing activities.</w:t>
      </w:r>
    </w:p>
    <w:p>
      <w:pPr>
        <w:spacing w:after="0" w:line="204"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There is no assurance that Accel will successfully or cost-effectively integrate with Century, and the costs of achieving systems integration may substantially exceed Accel’s current estimates. Issues that arise during this process may divert management’s attention away from Accel’s day-to-day operations, and any difficulties encountered in the integration process could cause internal disruption in general, which could adversely impact Accel’s relationships with customers, suppliers, employees and other constituencies. Combining Accel and Century’s different systems, technology, networks and business practices could be more difficult and time consuming than Accel anticipated, and could result in additional unanticipated expenses. Accel and Century’s combined results of operations could also be adversely affected by any issues Accel discovers that were attributable to operations of the Century entities that arose before the acquisition. Moreover, as a non-public company at the time of the acquisition, Century did not have to comply with the requirements of the Sarbanes-Oxley Act of 2002 for internal control over financial reporting and other procedures. Bringing the legacy systems for Century into compliance with those requirements may cause Accel to incur substantial additional expense. In addition, the integration process may cause an interruption of, or loss of momentum in, the activities of the combined business. If management is not able to effectively manage the integration process, or if any significant business activities are interrupted as a result of the integration process, Accel’s business could suffer and its results of operations and financial condition may be harmed.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Compliance and Regulatory Matters</w:t>
      </w:r>
    </w:p>
    <w:p>
      <w:pPr>
        <w:spacing w:after="0" w:line="202"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8"/>
          <w:szCs w:val="18"/>
          <w:b w:val="1"/>
          <w:bCs w:val="1"/>
          <w:i w:val="1"/>
          <w:iCs w:val="1"/>
          <w:color w:val="auto"/>
        </w:rPr>
        <w:t>Accel is subject to strict government regulations that are constantly evolving and may be amended, repealed, or subject to new interpretations, which may limit existing operations, have an adverse impact on the ability to grow or may expose Accel to fines or other penalties.</w:t>
      </w:r>
    </w:p>
    <w:p>
      <w:pPr>
        <w:spacing w:after="0" w:line="107" w:lineRule="exact"/>
        <w:rPr>
          <w:sz w:val="20"/>
          <w:szCs w:val="20"/>
          <w:color w:val="auto"/>
        </w:rPr>
      </w:pPr>
    </w:p>
    <w:p>
      <w:pPr>
        <w:jc w:val="both"/>
        <w:ind w:firstLine="318"/>
        <w:spacing w:after="0" w:line="303" w:lineRule="auto"/>
        <w:rPr>
          <w:sz w:val="20"/>
          <w:szCs w:val="20"/>
          <w:color w:val="auto"/>
        </w:rPr>
      </w:pPr>
      <w:r>
        <w:rPr>
          <w:rFonts w:ascii="Times New Roman" w:cs="Times New Roman" w:eastAsia="Times New Roman" w:hAnsi="Times New Roman"/>
          <w:sz w:val="18"/>
          <w:szCs w:val="18"/>
          <w:color w:val="auto"/>
        </w:rPr>
        <w:t>Accel is subject to the rules, regulations, and laws applicable to gaming, including, but not limited to, the Illinois Video Gaming Act, the Pennsylvania Gaming Act, the Georgia Lottery for Education Act, the Montana Video Gaming Control Act, and the Nevada Gaming Control Act. These gaming laws and related regulations are administered by the IGB, PA Board, the Georgia Lottery Corporation (the “GLC”), the Montana Department of Justice, Gambling Control Division and the NGC, respectively, which are regulatory boards with broad authority to create and interpret gaming regulations and to regulate gaming activities. These gaming authorities are authorized to:</w:t>
      </w:r>
    </w:p>
    <w:p>
      <w:pPr>
        <w:spacing w:after="0" w:line="126"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additional rules and regulations under the implementing statutes;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 violations of gaming regulations;</w:t>
      </w:r>
    </w:p>
    <w:p>
      <w:pPr>
        <w:spacing w:after="0" w:line="217" w:lineRule="exact"/>
        <w:rPr>
          <w:rFonts w:ascii="Times New Roman" w:cs="Times New Roman" w:eastAsia="Times New Roman" w:hAnsi="Times New Roman"/>
          <w:sz w:val="18"/>
          <w:szCs w:val="18"/>
          <w:color w:val="auto"/>
        </w:rPr>
      </w:pPr>
    </w:p>
    <w:p>
      <w:pPr>
        <w:ind w:left="320" w:firstLine="4"/>
        <w:spacing w:after="0" w:line="320" w:lineRule="auto"/>
        <w:tabs>
          <w:tab w:leader="none" w:pos="6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gaming regulations and impose disciplinary sanctions for violations of such laws, including fines, penalties and revocation of gaming licenses;</w:t>
      </w:r>
    </w:p>
    <w:p>
      <w:pPr>
        <w:spacing w:after="0" w:line="111" w:lineRule="exact"/>
        <w:rPr>
          <w:rFonts w:ascii="Times New Roman" w:cs="Times New Roman" w:eastAsia="Times New Roman" w:hAnsi="Times New Roman"/>
          <w:sz w:val="18"/>
          <w:szCs w:val="18"/>
          <w:color w:val="auto"/>
        </w:rPr>
      </w:pPr>
    </w:p>
    <w:p>
      <w:pPr>
        <w:ind w:left="320" w:firstLine="4"/>
        <w:spacing w:after="0" w:line="320" w:lineRule="auto"/>
        <w:tabs>
          <w:tab w:leader="none" w:pos="6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character and fitness of manufacturers, distributors and operators of gaming services and equipment and make determinations regarding their suitability or qualification for licensure;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transactions (such as acquisitions, material commercial transactions, securities offerings and debt transactions); and</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collect related fees and/or taxes.</w:t>
      </w:r>
    </w:p>
    <w:p>
      <w:pPr>
        <w:spacing w:after="0" w:line="218"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7"/>
          <w:szCs w:val="17"/>
          <w:color w:val="auto"/>
        </w:rPr>
        <w:t>Although Accel plans to maintain compliance with applicable laws as they evolve and to generally maintain good relations with regulators, there can be no assurance that Accel will do so, and that law enforcement or gaming regulatory authorities will not seek to restrict Accel’s business in their jurisdictions or institute enforcement proceedings if Accel is not compliant. For example, Accel is currently involved in an administrative hearing process with the IGB related to certain alleged violations of the Video Gaming Act and related rules. See “Legal Proceedings” for more information. There can be no assurance that any instituted enforcement proceedings will be favorably resolved, or that such proceedings will not have an adverse effect on its ability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retain and renew existing licenses or to obtain new licenses in other jurisdictions. Gaming authorities may levy fines against Accel or seize certain assets if Accel violates gaming regulations. Accel’s reputation may also be damaged by any legal or regulatory investigation, regardless of whether Accel is ultimately accused of, or found to have committed, any violation. A negative regulatory finding or ruling in one jurisdiction could have adverse consequences in other jurisdictions, including with gaming regulators.</w:t>
      </w:r>
    </w:p>
    <w:p>
      <w:pPr>
        <w:spacing w:after="0" w:line="125" w:lineRule="exact"/>
        <w:rPr>
          <w:sz w:val="20"/>
          <w:szCs w:val="20"/>
          <w:color w:val="auto"/>
        </w:rPr>
      </w:pPr>
    </w:p>
    <w:p>
      <w:pPr>
        <w:jc w:val="both"/>
        <w:ind w:firstLine="318"/>
        <w:spacing w:after="0" w:line="297" w:lineRule="auto"/>
        <w:rPr>
          <w:sz w:val="20"/>
          <w:szCs w:val="20"/>
          <w:color w:val="auto"/>
        </w:rPr>
      </w:pPr>
      <w:r>
        <w:rPr>
          <w:rFonts w:ascii="Times New Roman" w:cs="Times New Roman" w:eastAsia="Times New Roman" w:hAnsi="Times New Roman"/>
          <w:sz w:val="18"/>
          <w:szCs w:val="18"/>
          <w:color w:val="auto"/>
        </w:rPr>
        <w:t>In addition to regulatory compliance risk, Illinois, Pennsylvania, Georgia, Montana, Nevada or any other states or other jurisdiction in which Accel operates or may operate (including jurisdictions at the county, district, municipal, town or borough level), may amend or repeal gaming enabling legislation or regulations. Changes to gaming enabling legislation or new interpretations of existing gaming laws may hinder or prevent Accel from continuing to operate in the jurisdictions where it currently conducts business, which could increase operating expenses and compliance costs or decrease the profitability of operations. Repeal of gaming enabling legislation could result in losses of capital investments and revenue, limit future growth opportunities and have an adverse effect on Accel’s results of operations, cash flows and financial condition. If any jurisdiction in which Accel operates were to repeal gaming enabling legislation, there could be no assurance that Accel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would likely have a negative impact on operations. For example, in June 2019, the Illinois legislature approved a gaming expansion bill that, in addition to providing for an increased number of possible gaming venues, also increases Illinois state tax on gaming revenue. Additionally, membership changes within regulatory agencies could impact operations. The IGB in particular has experienced significant personnel changes since the commencement of Accel’s gaming terminal operations in 2012. Changes in the composition of the IGB can impact current rules, regulations, policies, enforcement trends and overall agendas of the IGB.</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02"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b w:val="1"/>
          <w:bCs w:val="1"/>
          <w:i w:val="1"/>
          <w:iCs w:val="1"/>
          <w:color w:val="auto"/>
        </w:rPr>
        <w:t>Holders of common stock are subject to certain gaming regulations, and if a holder is found unsuitable by a gaming authority, that holder would not be able to, directly or indirectly, beneficially own common stock.</w:t>
      </w:r>
    </w:p>
    <w:p>
      <w:pPr>
        <w:spacing w:after="0" w:line="94"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Holders of common stock are subject to certain gaming regulations. In Illinois, Georgia, Pennsylvania, Nevada and other regulated gaming jurisdictions, gaming laws can require any holder of common stock to be disclosed, file an application, be investigated, and qualify or have his, her or its suitability determined by gaming authorities. Gaming laws in Illinois, Georgia, Pennsylvania, Montana, Nevada and other regulated gaming jurisdictions also require any person who acquires beneficial ownership of more than 5% of voting securities of a gaming company to notify the gaming authorities, and gaming authorities may require such holders to apply for qualification or a finding of suitability, subject to limited exceptions for “institutional investors” that hold a company’s voting securities for investment purposes only. If a holder is found unsuitable by a gaming authority, that holder would not be able to, directly or indirectly, beneficially own common stock.</w:t>
      </w:r>
    </w:p>
    <w:p>
      <w:pPr>
        <w:spacing w:after="0" w:line="132" w:lineRule="exact"/>
        <w:rPr>
          <w:sz w:val="20"/>
          <w:szCs w:val="20"/>
          <w:color w:val="auto"/>
        </w:rPr>
      </w:pPr>
    </w:p>
    <w:p>
      <w:pPr>
        <w:jc w:val="both"/>
        <w:ind w:firstLine="318"/>
        <w:spacing w:after="0" w:line="299" w:lineRule="auto"/>
        <w:rPr>
          <w:sz w:val="20"/>
          <w:szCs w:val="20"/>
          <w:color w:val="auto"/>
        </w:rPr>
      </w:pPr>
      <w:r>
        <w:rPr>
          <w:rFonts w:ascii="Times New Roman" w:cs="Times New Roman" w:eastAsia="Times New Roman" w:hAnsi="Times New Roman"/>
          <w:sz w:val="18"/>
          <w:szCs w:val="18"/>
          <w:color w:val="auto"/>
        </w:rPr>
        <w:t>Gaming authorities have very broad discretion in determining whether an applicant should be deemed suitable. For any cause deemed reasonable by the gaming authorities, subject to certain administrative proceeding requirements, gaming regulators in Illinois, Pennsylvania, Montana, Nevada or elsewhere would have the authority to (i) deny any application; (ii) limit, condition, restrict, revoke, or suspend any license, registration, finding of suitability or approval, including revoking any licenses held by Accel to conduct business in the state or (iii) fine any person licensed, registered, or found suitable or approved. Any person required by a gaming authority to be found suitable, who is found unsuitable by the gaming authority, may not hold, directly or indirectly, the beneficial ownership of any voting security or beneficial or record ownership of any non-voting security or any debt security of any public corporation that is registered with the gaming authority beyond the time prescribed by the gaming authority. A finding of unsuitability by a particular gaming authority in Illinois, Pennsylvania, Montana, Nevada or elsewhere will impact that person’s ability to associate or affiliate with gaming licensees in that particular jurisdiction and could impact the person’s ability to associate or affiliate with gaming licensees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06" w:lineRule="exact"/>
        <w:rPr>
          <w:sz w:val="20"/>
          <w:szCs w:val="20"/>
          <w:color w:val="auto"/>
        </w:rPr>
      </w:pPr>
    </w:p>
    <w:p>
      <w:pPr>
        <w:jc w:val="both"/>
        <w:ind w:firstLine="318"/>
        <w:spacing w:after="0" w:line="301" w:lineRule="auto"/>
        <w:rPr>
          <w:sz w:val="20"/>
          <w:szCs w:val="20"/>
          <w:color w:val="auto"/>
        </w:rPr>
      </w:pPr>
      <w:r>
        <w:rPr>
          <w:rFonts w:ascii="Times New Roman" w:cs="Times New Roman" w:eastAsia="Times New Roman" w:hAnsi="Times New Roman"/>
          <w:sz w:val="18"/>
          <w:szCs w:val="18"/>
          <w:color w:val="auto"/>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the shares purchased under the share repurchase program in the second quarter of 2022:</w:t>
      </w:r>
    </w:p>
    <w:p>
      <w:pPr>
        <w:spacing w:after="0" w:line="18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Cumulative shares</w:t>
            </w: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approximate dollar</w:t>
            </w: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value of shares that</w:t>
            </w: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60" w:type="dxa"/>
            <w:vAlign w:val="bottom"/>
          </w:tcPr>
          <w:p>
            <w:pPr>
              <w:spacing w:after="0"/>
              <w:rPr>
                <w:sz w:val="16"/>
                <w:szCs w:val="16"/>
                <w:color w:val="auto"/>
              </w:rPr>
            </w:pPr>
          </w:p>
        </w:tc>
        <w:tc>
          <w:tcPr>
            <w:tcW w:w="1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Average price paid</w:t>
            </w:r>
          </w:p>
        </w:tc>
        <w:tc>
          <w:tcPr>
            <w:tcW w:w="1880" w:type="dxa"/>
            <w:vAlign w:val="bottom"/>
            <w:gridSpan w:val="2"/>
          </w:tcPr>
          <w:p>
            <w:pPr>
              <w:jc w:val="center"/>
              <w:ind w:right="140"/>
              <w:spacing w:after="0" w:line="186"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17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may yet be purchased</w:t>
            </w:r>
          </w:p>
        </w:tc>
        <w:tc>
          <w:tcPr>
            <w:tcW w:w="0" w:type="dxa"/>
            <w:vAlign w:val="bottom"/>
          </w:tcPr>
          <w:p>
            <w:pPr>
              <w:spacing w:after="0"/>
              <w:rPr>
                <w:sz w:val="1"/>
                <w:szCs w:val="1"/>
                <w:color w:val="auto"/>
              </w:rPr>
            </w:pPr>
          </w:p>
        </w:tc>
      </w:tr>
      <w:tr>
        <w:trPr>
          <w:trHeight w:val="172"/>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under the program (in</w:t>
            </w:r>
          </w:p>
        </w:tc>
        <w:tc>
          <w:tcPr>
            <w:tcW w:w="0" w:type="dxa"/>
            <w:vAlign w:val="bottom"/>
          </w:tcPr>
          <w:p>
            <w:pPr>
              <w:spacing w:after="0"/>
              <w:rPr>
                <w:sz w:val="1"/>
                <w:szCs w:val="1"/>
                <w:color w:val="auto"/>
              </w:rPr>
            </w:pPr>
          </w:p>
        </w:tc>
      </w:tr>
      <w:tr>
        <w:trPr>
          <w:trHeight w:val="226"/>
        </w:trPr>
        <w:tc>
          <w:tcPr>
            <w:tcW w:w="1820" w:type="dxa"/>
            <w:vAlign w:val="bottom"/>
            <w:gridSpan w:val="2"/>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purchased</w:t>
            </w:r>
          </w:p>
        </w:tc>
        <w:tc>
          <w:tcPr>
            <w:tcW w:w="16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program</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0" w:type="dxa"/>
            <w:vAlign w:val="bottom"/>
          </w:tcPr>
          <w:p>
            <w:pPr>
              <w:spacing w:after="0"/>
              <w:rPr>
                <w:sz w:val="1"/>
                <w:szCs w:val="1"/>
                <w:color w:val="auto"/>
              </w:rPr>
            </w:pPr>
          </w:p>
        </w:tc>
      </w:tr>
      <w:tr>
        <w:trPr>
          <w:trHeight w:val="245"/>
        </w:trPr>
        <w:tc>
          <w:tcPr>
            <w:tcW w:w="16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485,194</w:t>
            </w:r>
          </w:p>
        </w:tc>
        <w:tc>
          <w:tcPr>
            <w:tcW w:w="1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$12.19</w:t>
            </w:r>
          </w:p>
        </w:tc>
        <w:tc>
          <w:tcPr>
            <w:tcW w:w="1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2,274,489</w:t>
            </w:r>
          </w:p>
        </w:tc>
        <w:tc>
          <w:tcPr>
            <w:tcW w:w="1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65"/>
        </w:trPr>
        <w:tc>
          <w:tcPr>
            <w:tcW w:w="1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697,481</w:t>
            </w:r>
          </w:p>
        </w:tc>
        <w:tc>
          <w:tcPr>
            <w:tcW w:w="18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$10.64</w:t>
            </w:r>
          </w:p>
        </w:tc>
        <w:tc>
          <w:tcPr>
            <w:tcW w:w="1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2,971,970</w:t>
            </w:r>
          </w:p>
        </w:tc>
        <w:tc>
          <w:tcPr>
            <w:tcW w:w="1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65"/>
        </w:trPr>
        <w:tc>
          <w:tcPr>
            <w:tcW w:w="1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1,143,738</w:t>
            </w:r>
          </w:p>
        </w:tc>
        <w:tc>
          <w:tcPr>
            <w:tcW w:w="1860" w:type="dxa"/>
            <w:vAlign w:val="bottom"/>
            <w:tcBorders>
              <w:bottom w:val="single" w:sz="8" w:color="CCEEFF"/>
            </w:tcBorders>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$10.63</w:t>
            </w:r>
          </w:p>
        </w:tc>
        <w:tc>
          <w:tcPr>
            <w:tcW w:w="16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4,115,708</w:t>
            </w:r>
          </w:p>
        </w:tc>
        <w:tc>
          <w:tcPr>
            <w:tcW w:w="14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84"/>
        </w:trPr>
        <w:tc>
          <w:tcPr>
            <w:tcW w:w="182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2,326,413</w:t>
            </w:r>
          </w:p>
        </w:tc>
        <w:tc>
          <w:tcPr>
            <w:tcW w:w="1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11"/>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Exchange Act Rules 13a-14(a) and 15d-14(a)</w:t>
            </w:r>
          </w:p>
        </w:tc>
        <w:tc>
          <w:tcPr>
            <w:tcW w:w="40" w:type="dxa"/>
            <w:vAlign w:val="bottom"/>
            <w:tcBorders>
              <w:top w:val="single" w:sz="8" w:color="0000FF"/>
            </w:tcBorders>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Section 1350 Certification of Principal Executive Officer</w:t>
            </w:r>
          </w:p>
        </w:tc>
        <w:tc>
          <w:tcPr>
            <w:tcW w:w="58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 Certification of Principal Financial Officer</w:t>
            </w:r>
          </w:p>
        </w:tc>
        <w:tc>
          <w:tcPr>
            <w:tcW w:w="59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101.INS</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101.PRE</w:t>
            </w: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Inline XBRL File (included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firstLine="318"/>
        <w:spacing w:after="0" w:line="32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ACCEL ENTERTAINMENT, INC.</w:t>
      </w:r>
    </w:p>
    <w:p>
      <w:pPr>
        <w:spacing w:after="0" w:line="322" w:lineRule="exact"/>
        <w:rPr>
          <w:sz w:val="20"/>
          <w:szCs w:val="20"/>
          <w:color w:val="auto"/>
        </w:rPr>
      </w:pPr>
    </w:p>
    <w:p>
      <w:pPr>
        <w:ind w:left="60"/>
        <w:spacing w:after="0"/>
        <w:tabs>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33020</wp:posOffset>
            </wp:positionV>
            <wp:extent cx="32937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5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Mathew Ellis</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Rubenstein, certify that:</w:t>
      </w:r>
    </w:p>
    <w:p>
      <w:pPr>
        <w:spacing w:after="0" w:line="218" w:lineRule="exact"/>
        <w:rPr>
          <w:sz w:val="20"/>
          <w:szCs w:val="20"/>
          <w:color w:val="auto"/>
        </w:rPr>
      </w:pPr>
    </w:p>
    <w:p>
      <w:pPr>
        <w:ind w:left="180" w:hanging="174"/>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Accel Entertainment, Inc.;</w:t>
      </w:r>
    </w:p>
    <w:p>
      <w:pPr>
        <w:spacing w:after="0" w:line="177" w:lineRule="exact"/>
        <w:rPr>
          <w:rFonts w:ascii="Times New Roman" w:cs="Times New Roman" w:eastAsia="Times New Roman" w:hAnsi="Times New Roman"/>
          <w:sz w:val="18"/>
          <w:szCs w:val="18"/>
          <w:color w:val="auto"/>
        </w:rPr>
      </w:pPr>
    </w:p>
    <w:p>
      <w:pPr>
        <w:ind w:firstLine="6"/>
        <w:spacing w:after="0" w:line="336" w:lineRule="auto"/>
        <w:tabs>
          <w:tab w:leader="none" w:pos="2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firstLine="6"/>
        <w:spacing w:after="0" w:line="33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9" w:lineRule="exact"/>
        <w:rPr>
          <w:rFonts w:ascii="Times New Roman" w:cs="Times New Roman" w:eastAsia="Times New Roman" w:hAnsi="Times New Roman"/>
          <w:sz w:val="17"/>
          <w:szCs w:val="17"/>
          <w:color w:val="auto"/>
        </w:rPr>
      </w:pPr>
    </w:p>
    <w:p>
      <w:pPr>
        <w:ind w:right="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7"/>
          <w:szCs w:val="17"/>
          <w:color w:val="auto"/>
        </w:rPr>
      </w:pPr>
    </w:p>
    <w:p>
      <w:pPr>
        <w:jc w:val="both"/>
        <w:ind w:left="400" w:firstLine="4"/>
        <w:spacing w:after="0" w:line="306" w:lineRule="auto"/>
        <w:tabs>
          <w:tab w:leader="none" w:pos="5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8"/>
          <w:szCs w:val="18"/>
          <w:color w:val="auto"/>
        </w:rPr>
      </w:pPr>
    </w:p>
    <w:p>
      <w:pPr>
        <w:jc w:val="both"/>
        <w:ind w:left="400" w:firstLine="4"/>
        <w:spacing w:after="0" w:line="306" w:lineRule="auto"/>
        <w:tabs>
          <w:tab w:leader="none" w:pos="5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8"/>
          <w:szCs w:val="18"/>
          <w:color w:val="auto"/>
        </w:rPr>
      </w:pPr>
    </w:p>
    <w:p>
      <w:pPr>
        <w:ind w:left="400" w:firstLine="4"/>
        <w:spacing w:after="0" w:line="320" w:lineRule="auto"/>
        <w:tabs>
          <w:tab w:leader="none" w:pos="5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8"/>
          <w:szCs w:val="18"/>
          <w:color w:val="auto"/>
        </w:rPr>
      </w:pPr>
    </w:p>
    <w:p>
      <w:pPr>
        <w:jc w:val="both"/>
        <w:ind w:left="400" w:firstLine="4"/>
        <w:spacing w:after="0" w:line="314" w:lineRule="auto"/>
        <w:tabs>
          <w:tab w:leader="none" w:pos="5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Times New Roman" w:cs="Times New Roman" w:eastAsia="Times New Roman" w:hAnsi="Times New Roman"/>
          <w:sz w:val="18"/>
          <w:szCs w:val="18"/>
          <w:color w:val="auto"/>
        </w:rPr>
      </w:pPr>
    </w:p>
    <w:p>
      <w:pPr>
        <w:ind w:firstLine="6"/>
        <w:spacing w:after="0" w:line="336" w:lineRule="auto"/>
        <w:tabs>
          <w:tab w:leader="none" w:pos="1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Times New Roman" w:cs="Times New Roman" w:eastAsia="Times New Roman" w:hAnsi="Times New Roman"/>
          <w:sz w:val="18"/>
          <w:szCs w:val="18"/>
          <w:color w:val="auto"/>
        </w:rPr>
      </w:pPr>
    </w:p>
    <w:p>
      <w:pPr>
        <w:ind w:left="400" w:firstLine="4"/>
        <w:spacing w:after="0" w:line="336" w:lineRule="auto"/>
        <w:tabs>
          <w:tab w:leader="none" w:pos="58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400" w:firstLine="4"/>
        <w:spacing w:after="0" w:line="336" w:lineRule="auto"/>
        <w:tabs>
          <w:tab w:leader="none" w:pos="5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Rubenstein</w:t>
            </w:r>
          </w:p>
        </w:tc>
      </w:tr>
      <w:tr>
        <w:trPr>
          <w:trHeight w:val="214"/>
        </w:trPr>
        <w:tc>
          <w:tcPr>
            <w:tcW w:w="62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Rubenstein</w:t>
            </w:r>
          </w:p>
        </w:tc>
      </w:tr>
      <w:tr>
        <w:trPr>
          <w:trHeight w:val="232"/>
        </w:trPr>
        <w:tc>
          <w:tcPr>
            <w:tcW w:w="6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ectPr>
          <w:pgSz w:w="11900" w:h="16838" w:orient="portrait"/>
          <w:cols w:equalWidth="0" w:num="1">
            <w:col w:w="11240"/>
          </w:cols>
          <w:pgMar w:left="320" w:top="93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Ellis, certify that:</w:t>
      </w:r>
    </w:p>
    <w:p>
      <w:pPr>
        <w:spacing w:after="0" w:line="191" w:lineRule="exact"/>
        <w:rPr>
          <w:sz w:val="20"/>
          <w:szCs w:val="20"/>
          <w:color w:val="auto"/>
        </w:rPr>
      </w:pPr>
    </w:p>
    <w:p>
      <w:pPr>
        <w:ind w:left="180" w:hanging="174"/>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Accel Entertainment, Inc.;</w:t>
      </w:r>
    </w:p>
    <w:p>
      <w:pPr>
        <w:spacing w:after="0" w:line="177" w:lineRule="exact"/>
        <w:rPr>
          <w:rFonts w:ascii="Times New Roman" w:cs="Times New Roman" w:eastAsia="Times New Roman" w:hAnsi="Times New Roman"/>
          <w:sz w:val="18"/>
          <w:szCs w:val="18"/>
          <w:color w:val="auto"/>
        </w:rPr>
      </w:pPr>
    </w:p>
    <w:p>
      <w:pPr>
        <w:ind w:firstLine="6"/>
        <w:spacing w:after="0" w:line="336" w:lineRule="auto"/>
        <w:tabs>
          <w:tab w:leader="none" w:pos="2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firstLine="6"/>
        <w:spacing w:after="0" w:line="33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9" w:lineRule="exact"/>
        <w:rPr>
          <w:rFonts w:ascii="Times New Roman" w:cs="Times New Roman" w:eastAsia="Times New Roman" w:hAnsi="Times New Roman"/>
          <w:sz w:val="17"/>
          <w:szCs w:val="17"/>
          <w:color w:val="auto"/>
        </w:rPr>
      </w:pPr>
    </w:p>
    <w:p>
      <w:pPr>
        <w:ind w:right="20"/>
        <w:spacing w:after="0" w:line="3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7"/>
          <w:szCs w:val="17"/>
          <w:color w:val="auto"/>
        </w:rPr>
      </w:pPr>
    </w:p>
    <w:p>
      <w:pPr>
        <w:jc w:val="both"/>
        <w:ind w:left="400" w:firstLine="4"/>
        <w:spacing w:after="0" w:line="306" w:lineRule="auto"/>
        <w:tabs>
          <w:tab w:leader="none" w:pos="5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8"/>
          <w:szCs w:val="18"/>
          <w:color w:val="auto"/>
        </w:rPr>
      </w:pPr>
    </w:p>
    <w:p>
      <w:pPr>
        <w:jc w:val="both"/>
        <w:ind w:left="400" w:firstLine="4"/>
        <w:spacing w:after="0" w:line="306" w:lineRule="auto"/>
        <w:tabs>
          <w:tab w:leader="none" w:pos="5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8"/>
          <w:szCs w:val="18"/>
          <w:color w:val="auto"/>
        </w:rPr>
      </w:pPr>
    </w:p>
    <w:p>
      <w:pPr>
        <w:ind w:left="400" w:firstLine="4"/>
        <w:spacing w:after="0" w:line="320" w:lineRule="auto"/>
        <w:tabs>
          <w:tab w:leader="none" w:pos="5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8"/>
          <w:szCs w:val="18"/>
          <w:color w:val="auto"/>
        </w:rPr>
      </w:pPr>
    </w:p>
    <w:p>
      <w:pPr>
        <w:jc w:val="both"/>
        <w:ind w:left="400" w:firstLine="4"/>
        <w:spacing w:after="0" w:line="314" w:lineRule="auto"/>
        <w:tabs>
          <w:tab w:leader="none" w:pos="5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Times New Roman" w:cs="Times New Roman" w:eastAsia="Times New Roman" w:hAnsi="Times New Roman"/>
          <w:sz w:val="18"/>
          <w:szCs w:val="18"/>
          <w:color w:val="auto"/>
        </w:rPr>
      </w:pPr>
    </w:p>
    <w:p>
      <w:pPr>
        <w:ind w:firstLine="6"/>
        <w:spacing w:after="0" w:line="336" w:lineRule="auto"/>
        <w:tabs>
          <w:tab w:leader="none" w:pos="1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Times New Roman" w:cs="Times New Roman" w:eastAsia="Times New Roman" w:hAnsi="Times New Roman"/>
          <w:sz w:val="18"/>
          <w:szCs w:val="18"/>
          <w:color w:val="auto"/>
        </w:rPr>
      </w:pPr>
    </w:p>
    <w:p>
      <w:pPr>
        <w:ind w:left="400" w:firstLine="4"/>
        <w:spacing w:after="0" w:line="336" w:lineRule="auto"/>
        <w:tabs>
          <w:tab w:leader="none" w:pos="5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400" w:firstLine="4"/>
        <w:spacing w:after="0" w:line="336" w:lineRule="auto"/>
        <w:tabs>
          <w:tab w:leader="none" w:pos="5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Mathew Ellis</w:t>
            </w:r>
          </w:p>
        </w:tc>
      </w:tr>
      <w:tr>
        <w:trPr>
          <w:trHeight w:val="214"/>
        </w:trPr>
        <w:tc>
          <w:tcPr>
            <w:tcW w:w="62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Mathew Ellis</w:t>
            </w:r>
          </w:p>
        </w:tc>
      </w:tr>
      <w:tr>
        <w:trPr>
          <w:trHeight w:val="232"/>
        </w:trPr>
        <w:tc>
          <w:tcPr>
            <w:tcW w:w="6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93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Principal Executive Officer</w:t>
      </w:r>
    </w:p>
    <w:p>
      <w:pPr>
        <w:spacing w:after="0" w:line="22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In connection with the Quarterly Report on Form 10-Q of Accel Entertainment, Inc. (the “Company”) for the three months ended June 30, 2022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24" w:lineRule="exact"/>
        <w:rPr>
          <w:sz w:val="20"/>
          <w:szCs w:val="20"/>
          <w:color w:val="auto"/>
        </w:rPr>
      </w:pPr>
    </w:p>
    <w:p>
      <w:pPr>
        <w:ind w:left="1280" w:hanging="518"/>
        <w:spacing w:after="0" w:line="320" w:lineRule="auto"/>
        <w:tabs>
          <w:tab w:leader="none" w:pos="12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24" w:lineRule="exact"/>
        <w:rPr>
          <w:rFonts w:ascii="Times New Roman" w:cs="Times New Roman" w:eastAsia="Times New Roman" w:hAnsi="Times New Roman"/>
          <w:sz w:val="18"/>
          <w:szCs w:val="18"/>
          <w:color w:val="auto"/>
        </w:rPr>
      </w:pPr>
    </w:p>
    <w:p>
      <w:pPr>
        <w:ind w:left="1280" w:hanging="518"/>
        <w:spacing w:after="0" w:line="320" w:lineRule="auto"/>
        <w:tabs>
          <w:tab w:leader="none" w:pos="12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17519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Rubenstein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(Principal</w:t>
      </w:r>
    </w:p>
    <w:p>
      <w:pPr>
        <w:ind w:left="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93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Principal Financial Officer</w:t>
      </w:r>
    </w:p>
    <w:p>
      <w:pPr>
        <w:spacing w:after="0" w:line="22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In connection with the Quarterly Report on Form 10-Q of Accel Entertainment, Inc. (the “Company”) for the three months ended June 30, 2022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spacing w:after="0" w:line="124" w:lineRule="exact"/>
        <w:rPr>
          <w:sz w:val="20"/>
          <w:szCs w:val="20"/>
          <w:color w:val="auto"/>
        </w:rPr>
      </w:pPr>
    </w:p>
    <w:p>
      <w:pPr>
        <w:ind w:left="1280" w:hanging="518"/>
        <w:spacing w:after="0" w:line="320" w:lineRule="auto"/>
        <w:tabs>
          <w:tab w:leader="none" w:pos="12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24" w:lineRule="exact"/>
        <w:rPr>
          <w:rFonts w:ascii="Times New Roman" w:cs="Times New Roman" w:eastAsia="Times New Roman" w:hAnsi="Times New Roman"/>
          <w:sz w:val="18"/>
          <w:szCs w:val="18"/>
          <w:color w:val="auto"/>
        </w:rPr>
      </w:pPr>
    </w:p>
    <w:p>
      <w:pPr>
        <w:ind w:left="1280" w:hanging="518"/>
        <w:spacing w:after="0" w:line="320" w:lineRule="auto"/>
        <w:tabs>
          <w:tab w:leader="none" w:pos="12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18700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Mathew Ellis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(Principal</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3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629"/>
    </w:lvl>
  </w:abstractNum>
  <w:abstractNum w:abstractNumId="3">
    <w:nsid w:val="7C83E458"/>
    <w:multiLevelType w:val="hybridMultilevel"/>
    <w:lvl w:ilvl="0">
      <w:lvlJc w:val="left"/>
      <w:lvlText w:val="(%1)"/>
      <w:numFmt w:val="decimal"/>
      <w:start w:val="756"/>
    </w:lvl>
  </w:abstractNum>
  <w:abstractNum w:abstractNumId="4">
    <w:nsid w:val="257130A3"/>
    <w:multiLevelType w:val="hybridMultilevel"/>
    <w:lvl w:ilvl="0">
      <w:lvlJc w:val="left"/>
      <w:lvlText w:val="%1"/>
      <w:numFmt w:val="decimal"/>
      <w:start w:val="301"/>
    </w:lvl>
  </w:abstractNum>
  <w:abstractNum w:abstractNumId="5">
    <w:nsid w:val="62BBD95A"/>
    <w:multiLevelType w:val="hybridMultilevel"/>
    <w:lvl w:ilvl="0">
      <w:lvlJc w:val="left"/>
      <w:lvlText w:val="%1"/>
      <w:numFmt w:val="decimal"/>
      <w:start w:val="294"/>
    </w:lvl>
  </w:abstractNum>
  <w:abstractNum w:abstractNumId="6">
    <w:nsid w:val="436C6125"/>
    <w:multiLevelType w:val="hybridMultilevel"/>
    <w:lvl w:ilvl="0">
      <w:lvlJc w:val="left"/>
      <w:lvlText w:val="(%1)"/>
      <w:numFmt w:val="decimal"/>
      <w:start w:val="384"/>
    </w:lvl>
  </w:abstractNum>
  <w:abstractNum w:abstractNumId="7">
    <w:nsid w:val="628C895D"/>
    <w:multiLevelType w:val="hybridMultilevel"/>
    <w:lvl w:ilvl="0">
      <w:lvlJc w:val="left"/>
      <w:lvlText w:val="\emdash "/>
      <w:numFmt w:val="bullet"/>
      <w:start w:val="1"/>
    </w:lvl>
  </w:abstractNum>
  <w:abstractNum w:abstractNumId="8">
    <w:nsid w:val="333AB105"/>
    <w:multiLevelType w:val="hybridMultilevel"/>
    <w:lvl w:ilvl="0">
      <w:lvlJc w:val="left"/>
      <w:lvlText w:val="(%1)"/>
      <w:numFmt w:val="decimal"/>
      <w:start w:val="394"/>
    </w:lvl>
  </w:abstractNum>
  <w:abstractNum w:abstractNumId="9">
    <w:nsid w:val="721DA317"/>
    <w:multiLevelType w:val="hybridMultilevel"/>
    <w:lvl w:ilvl="0">
      <w:lvlJc w:val="left"/>
      <w:lvlText w:val="(%1)"/>
      <w:numFmt w:val="decimal"/>
      <w:start w:val="59"/>
    </w:lvl>
  </w:abstractNum>
  <w:abstractNum w:abstractNumId="10">
    <w:nsid w:val="2443A858"/>
    <w:multiLevelType w:val="hybridMultilevel"/>
    <w:lvl w:ilvl="0">
      <w:lvlJc w:val="left"/>
      <w:lvlText w:val="(%1)"/>
      <w:numFmt w:val="lowerRoman"/>
      <w:start w:val="3"/>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919"/>
    </w:lvl>
  </w:abstractNum>
  <w:abstractNum w:abstractNumId="19">
    <w:nsid w:val="54E49EB4"/>
    <w:multiLevelType w:val="hybridMultilevel"/>
    <w:lvl w:ilvl="0">
      <w:lvlJc w:val="left"/>
      <w:lvlText w:val="%1"/>
      <w:numFmt w:val="decimal"/>
      <w:start w:val="48"/>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2022-08-09T19:03:35Z</dcterms:created>
  <dcterms:modified xsi:type="dcterms:W3CDTF">2022-08-09T19:03:35Z</dcterms:modified>
</cp:coreProperties>
</file>