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81761.xml.htm"/>
      <w:bookmarkStart w:id="1" w:name="kswkform4_17896817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Kozlik Christen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 TOWER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BURR 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60527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Accel Entertainment, Inc.</w:t>
              </w:r>
            </w:hyperlink>
            <w:r>
              <w:rPr/>
              <w:t xml:space="preserve"> [ </w:t>
            </w:r>
            <w:r>
              <w:rPr>
                <w:rFonts w:ascii="Times;serif" w:hAnsi="Times;serif"/>
                <w:color w:val="0000FF"/>
                <w:sz w:val="24"/>
                <w:shd w:fill="FFFFFF" w:val="clear"/>
              </w:rPr>
              <w:t>ACEL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A-1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19,896</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A-1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11.55</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19,346</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A-1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11.55</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A-1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1/4 of the RSUs will vest on December 15, 2024, and the remainder will vest in eight equal quarterly installments thereafter, subject to the Reporting Person's continuing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Derek Harmer, Attorney-in-fact for Christen Kozlik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4320" TargetMode="External"/><Relationship Id="rId5" Type="http://schemas.openxmlformats.org/officeDocument/2006/relationships/hyperlink" Target="http://www.sec.gov/cgi-bin/browse-edgar?action=getcompany&amp;CIK=00016989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3551</Characters>
  <CharactersWithSpaces>4121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