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12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60" w:after="283"/>
        <w:jc w:val="center"/>
        <w:rPr>
          <w:color w:val="000000"/>
        </w:rPr>
      </w:pPr>
      <w:r>
        <w:rPr>
          <w:color w:val="000000"/>
        </w:rPr>
        <w:t>☒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 the quarterly period ended September 30, 2024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120" w:after="283"/>
        <w:ind w:left="0" w:right="0" w:firstLine="90"/>
        <w:jc w:val="center"/>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Commission File Number 001-38136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2"/>
        </w:rPr>
        <w:t>Accel Entertainment, Inc.</w:t>
      </w:r>
      <w:r>
        <w:rPr>
          <w:color w:val="000000"/>
        </w:rPr>
        <w:t xml:space="preserve">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002" w:type="dxa"/>
        <w:jc w:val="center"/>
        <w:tblInd w:w="0" w:type="dxa"/>
        <w:tblLayout w:type="fixed"/>
        <w:tblCellMar>
          <w:top w:w="28" w:type="dxa"/>
          <w:left w:w="28" w:type="dxa"/>
          <w:bottom w:w="28" w:type="dxa"/>
          <w:right w:w="28" w:type="dxa"/>
        </w:tblCellMar>
      </w:tblPr>
      <w:tblGrid>
        <w:gridCol w:w="449"/>
        <w:gridCol w:w="396"/>
        <w:gridCol w:w="396"/>
        <w:gridCol w:w="396"/>
        <w:gridCol w:w="396"/>
        <w:gridCol w:w="409"/>
        <w:gridCol w:w="455"/>
        <w:gridCol w:w="455"/>
        <w:gridCol w:w="650"/>
      </w:tblGrid>
      <w:tr>
        <w:trPr/>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Delaware</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98-1350261</w:t>
            </w:r>
          </w:p>
        </w:tc>
      </w:tr>
      <w:tr>
        <w:trPr/>
        <w:tc>
          <w:tcPr>
            <w:tcW w:w="244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r>
          </w:p>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140 Tower Drive</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Burr Ridge, Illinois 60527 </w:t>
            </w:r>
          </w:p>
        </w:tc>
      </w:tr>
      <w:tr>
        <w:trPr/>
        <w:tc>
          <w:tcPr>
            <w:tcW w:w="40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(Zip Code)</w:t>
            </w:r>
          </w:p>
        </w:tc>
      </w:tr>
    </w:tbl>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(630) 972-2235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394"/>
        <w:gridCol w:w="1222"/>
        <w:gridCol w:w="1239"/>
        <w:gridCol w:w="444"/>
        <w:gridCol w:w="444"/>
        <w:gridCol w:w="446"/>
        <w:gridCol w:w="970"/>
        <w:gridCol w:w="970"/>
        <w:gridCol w:w="1374"/>
      </w:tblGrid>
      <w:tr>
        <w:trPr/>
        <w:tc>
          <w:tcPr>
            <w:tcW w:w="139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$.0001 per share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ACEL</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20" w:after="283"/>
        <w:ind w:left="0" w:right="0" w:firstLine="360"/>
        <w:jc w:val="both"/>
        <w:rPr/>
      </w:pPr>
      <w:r>
        <w:rPr/>
      </w:r>
    </w:p>
    <w:p>
      <w:pPr>
        <w:pStyle w:val="TextBody"/>
        <w:bidi w:val="0"/>
        <w:spacing w:lineRule="auto" w:line="288" w:before="20" w:after="283"/>
        <w:ind w:left="0" w:right="0" w:firstLine="36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October 28, 2024, there were 82,343,457 shares outstanding of the registrant’s Class A-1 Common Stock, par value $.0001 per share.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SEPTEMBER 30, 2024 </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0"/>
        <w:gridCol w:w="263"/>
        <w:gridCol w:w="265"/>
        <w:gridCol w:w="3030"/>
        <w:gridCol w:w="2983"/>
        <w:gridCol w:w="2989"/>
        <w:gridCol w:w="109"/>
        <w:gridCol w:w="109"/>
        <w:gridCol w:w="157"/>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0">
              <w:r>
                <w:rPr>
                  <w:rStyle w:val="InternetLink"/>
                  <w:rFonts w:ascii="Times New Roman;sans-serif" w:hAnsi="Times New Roman;sans-serif"/>
                  <w:b/>
                  <w:strike w:val="false"/>
                  <w:dstrike w:val="false"/>
                  <w:color w:val="000000"/>
                  <w:sz w:val="20"/>
                  <w:u w:val="none"/>
                  <w:effect w:val="none"/>
                </w:rPr>
                <w:t>FINANCIAL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0">
              <w:r>
                <w:rPr>
                  <w:rStyle w:val="InternetLink"/>
                  <w:rFonts w:ascii="Times New Roman;sans-serif" w:hAnsi="Times New Roman;sans-serif"/>
                  <w:b w:val="false"/>
                  <w:strike w:val="false"/>
                  <w:dstrike w:val="false"/>
                  <w:color w:val="0000FF"/>
                  <w:sz w:val="20"/>
                  <w:u w:val="none"/>
                  <w:effect w:val="none"/>
                </w:rPr>
                <w:t>1</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
              <w:r>
                <w:rPr>
                  <w:rStyle w:val="InternetLink"/>
                  <w:rFonts w:ascii="Times New Roman;sans-serif" w:hAnsi="Times New Roman;sans-serif"/>
                  <w:b w:val="false"/>
                  <w:strike w:val="false"/>
                  <w:dstrike w:val="false"/>
                  <w:color w:val="0000FF"/>
                  <w:sz w:val="20"/>
                  <w:u w:val="none"/>
                  <w:effect w:val="none"/>
                </w:rPr>
                <w:t>1</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Income (Unaudited) for the three and nine months ended September 30, 2024 and 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6">
              <w:r>
                <w:rPr>
                  <w:rStyle w:val="InternetLink"/>
                  <w:rFonts w:ascii="Times New Roman;sans-serif" w:hAnsi="Times New Roman;sans-serif"/>
                  <w:b w:val="false"/>
                  <w:strike w:val="false"/>
                  <w:dstrike w:val="false"/>
                  <w:color w:val="0000FF"/>
                  <w:sz w:val="20"/>
                  <w:u w:val="none"/>
                  <w:effect w:val="none"/>
                </w:rPr>
                <w:t>1</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(Unaudited) as of September 30, 2024 and December 31, 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9">
              <w:r>
                <w:rPr>
                  <w:rStyle w:val="InternetLink"/>
                  <w:rFonts w:ascii="Times New Roman;sans-serif" w:hAnsi="Times New Roman;sans-serif"/>
                  <w:b w:val="false"/>
                  <w:strike w:val="false"/>
                  <w:dstrike w:val="false"/>
                  <w:color w:val="0000FF"/>
                  <w:sz w:val="20"/>
                  <w:u w:val="none"/>
                  <w:effect w:val="none"/>
                </w:rPr>
                <w:t>2</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22">
              <w:r>
                <w:rPr>
                  <w:rStyle w:val="InternetLink"/>
                  <w:rFonts w:ascii="Times New Roman;sans-serif" w:hAnsi="Times New Roman;sans-serif"/>
                  <w:b w:val="false"/>
                  <w:strike w:val="false"/>
                  <w:dstrike w:val="false"/>
                  <w:color w:val="000000"/>
                  <w:sz w:val="20"/>
                  <w:u w:val="none"/>
                  <w:effect w:val="none"/>
                </w:rPr>
                <w:t>Condensed Consolidated Statements of Stockholders’ Equity</w:t>
              </w:r>
            </w:hyperlink>
            <w:r>
              <w:rPr>
                <w:rFonts w:ascii="Times New Roman;sans-serif" w:hAnsi="Times New Roman;sans-serif"/>
                <w:b w:val="false"/>
                <w:color w:val="000000"/>
                <w:sz w:val="20"/>
              </w:rPr>
              <w:t xml:space="preserve"> (Unaudited) for the three and nine months ended September 30, 2024 and 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2">
              <w:r>
                <w:rPr>
                  <w:rStyle w:val="InternetLink"/>
                  <w:rFonts w:ascii="Times New Roman;sans-serif" w:hAnsi="Times New Roman;sans-serif"/>
                  <w:b w:val="false"/>
                  <w:strike w:val="false"/>
                  <w:dstrike w:val="false"/>
                  <w:color w:val="0000FF"/>
                  <w:sz w:val="20"/>
                  <w:u w:val="none"/>
                  <w:effect w:val="none"/>
                </w:rPr>
                <w:t>3</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(Unaudited) for the nine months ended September 30, 2024 and 2023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5">
              <w:r>
                <w:rPr>
                  <w:rStyle w:val="InternetLink"/>
                  <w:rFonts w:ascii="Times New Roman;sans-serif" w:hAnsi="Times New Roman;sans-serif"/>
                  <w:b w:val="false"/>
                  <w:strike w:val="false"/>
                  <w:dstrike w:val="false"/>
                  <w:color w:val="0000FF"/>
                  <w:sz w:val="20"/>
                  <w:u w:val="none"/>
                  <w:effect w:val="none"/>
                </w:rPr>
                <w:t>5</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the Condensed Consolidated Financial Statements (Unaudited)</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28">
              <w:r>
                <w:rPr>
                  <w:rStyle w:val="InternetLink"/>
                  <w:rFonts w:ascii="Times New Roman;sans-serif" w:hAnsi="Times New Roman;sans-serif"/>
                  <w:b w:val="false"/>
                  <w:strike w:val="false"/>
                  <w:dstrike w:val="false"/>
                  <w:color w:val="0000FF"/>
                  <w:sz w:val="20"/>
                  <w:u w:val="none"/>
                  <w:effect w:val="none"/>
                </w:rPr>
                <w:t>7</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88">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88">
              <w:r>
                <w:rPr>
                  <w:rStyle w:val="InternetLink"/>
                  <w:rFonts w:ascii="Times New Roman;sans-serif" w:hAnsi="Times New Roman;sans-serif"/>
                  <w:b w:val="false"/>
                  <w:strike w:val="false"/>
                  <w:dstrike w:val="false"/>
                  <w:color w:val="0000FF"/>
                  <w:sz w:val="20"/>
                  <w:u w:val="none"/>
                  <w:effect w:val="none"/>
                </w:rPr>
                <w:t>24</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18">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18">
              <w:r>
                <w:rPr>
                  <w:rStyle w:val="InternetLink"/>
                  <w:rFonts w:ascii="Times New Roman;sans-serif" w:hAnsi="Times New Roman;sans-serif"/>
                  <w:b w:val="false"/>
                  <w:strike w:val="false"/>
                  <w:dstrike w:val="false"/>
                  <w:color w:val="0000FF"/>
                  <w:sz w:val="20"/>
                  <w:u w:val="none"/>
                  <w:effect w:val="none"/>
                </w:rPr>
                <w:t>37</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1">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1">
              <w:r>
                <w:rPr>
                  <w:rStyle w:val="InternetLink"/>
                  <w:rFonts w:ascii="Times New Roman;sans-serif" w:hAnsi="Times New Roman;sans-serif"/>
                  <w:b w:val="false"/>
                  <w:strike w:val="false"/>
                  <w:dstrike w:val="false"/>
                  <w:color w:val="0000FF"/>
                  <w:sz w:val="20"/>
                  <w:u w:val="none"/>
                  <w:effect w:val="none"/>
                </w:rPr>
                <w:t>38</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4">
              <w:r>
                <w:rPr>
                  <w:rStyle w:val="InternetLink"/>
                  <w:rFonts w:ascii="Times New Roman;sans-serif" w:hAnsi="Times New Roman;sans-serif"/>
                  <w:b/>
                  <w:strike w:val="false"/>
                  <w:dstrike w:val="false"/>
                  <w:color w:val="000000"/>
                  <w:sz w:val="20"/>
                  <w:u w:val="none"/>
                  <w:effect w:val="non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4">
              <w:r>
                <w:rPr>
                  <w:rStyle w:val="InternetLink"/>
                  <w:rFonts w:ascii="Times New Roman;sans-serif" w:hAnsi="Times New Roman;sans-serif"/>
                  <w:b w:val="false"/>
                  <w:strike w:val="false"/>
                  <w:dstrike w:val="false"/>
                  <w:color w:val="0000FF"/>
                  <w:sz w:val="20"/>
                  <w:u w:val="none"/>
                  <w:effect w:val="none"/>
                </w:rPr>
                <w:t>39</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27">
              <w:r>
                <w:rPr>
                  <w:rStyle w:val="InternetLink"/>
                  <w:rFonts w:ascii="Times New Roman;sans-serif" w:hAnsi="Times New Roman;sans-serif"/>
                  <w:b w:val="false"/>
                  <w:strike w:val="false"/>
                  <w:dstrike w:val="false"/>
                  <w:color w:val="000000"/>
                  <w:sz w:val="20"/>
                  <w:u w:val="none"/>
                  <w:effect w:val="non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27">
              <w:r>
                <w:rPr>
                  <w:rStyle w:val="InternetLink"/>
                  <w:rFonts w:ascii="Times New Roman;sans-serif" w:hAnsi="Times New Roman;sans-serif"/>
                  <w:b w:val="false"/>
                  <w:strike w:val="false"/>
                  <w:dstrike w:val="false"/>
                  <w:color w:val="0000FF"/>
                  <w:sz w:val="20"/>
                  <w:u w:val="none"/>
                  <w:effect w:val="none"/>
                </w:rPr>
                <w:t>39</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0">
              <w:r>
                <w:rPr>
                  <w:rStyle w:val="InternetLink"/>
                  <w:rFonts w:ascii="Times New Roman;sans-serif" w:hAnsi="Times New Roman;sans-serif"/>
                  <w:b w:val="false"/>
                  <w:strike w:val="false"/>
                  <w:dstrike w:val="false"/>
                  <w:color w:val="000000"/>
                  <w:sz w:val="20"/>
                  <w:u w:val="none"/>
                  <w:effect w:val="non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0">
              <w:r>
                <w:rPr>
                  <w:rStyle w:val="InternetLink"/>
                  <w:rFonts w:ascii="Times New Roman;sans-serif" w:hAnsi="Times New Roman;sans-serif"/>
                  <w:b w:val="false"/>
                  <w:strike w:val="false"/>
                  <w:dstrike w:val="false"/>
                  <w:color w:val="0000FF"/>
                  <w:sz w:val="20"/>
                  <w:u w:val="none"/>
                  <w:effect w:val="none"/>
                </w:rPr>
                <w:t>39</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3">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3">
              <w:r>
                <w:rPr>
                  <w:rStyle w:val="InternetLink"/>
                  <w:rFonts w:ascii="Times New Roman;sans-serif" w:hAnsi="Times New Roman;sans-serif"/>
                  <w:b w:val="false"/>
                  <w:strike w:val="false"/>
                  <w:dstrike w:val="false"/>
                  <w:color w:val="0000FF"/>
                  <w:sz w:val="20"/>
                  <w:u w:val="none"/>
                  <w:effect w:val="none"/>
                </w:rPr>
                <w:t>39</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6">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6">
              <w:r>
                <w:rPr>
                  <w:rStyle w:val="InternetLink"/>
                  <w:rFonts w:ascii="Times New Roman;sans-serif" w:hAnsi="Times New Roman;sans-serif"/>
                  <w:b w:val="false"/>
                  <w:strike w:val="false"/>
                  <w:dstrike w:val="false"/>
                  <w:color w:val="0000FF"/>
                  <w:sz w:val="20"/>
                  <w:u w:val="none"/>
                  <w:effect w:val="none"/>
                </w:rPr>
                <w:t>40</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39">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39">
              <w:r>
                <w:rPr>
                  <w:rStyle w:val="InternetLink"/>
                  <w:rFonts w:ascii="Times New Roman;sans-serif" w:hAnsi="Times New Roman;sans-serif"/>
                  <w:b w:val="false"/>
                  <w:strike w:val="false"/>
                  <w:dstrike w:val="false"/>
                  <w:color w:val="0000FF"/>
                  <w:sz w:val="20"/>
                  <w:u w:val="none"/>
                  <w:effect w:val="none"/>
                </w:rPr>
                <w:t>40</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a1bbe62dbe4bb4a9e64dc7eff97e26_142">
              <w:r>
                <w:rPr>
                  <w:rStyle w:val="InternetLink"/>
                  <w:rFonts w:ascii="Times New Roman;sans-serif" w:hAnsi="Times New Roman;sans-serif"/>
                  <w:b w:val="false"/>
                  <w:strike w:val="false"/>
                  <w:dstrike w:val="false"/>
                  <w:color w:val="0000FF"/>
                  <w:sz w:val="20"/>
                  <w:u w:val="none"/>
                  <w:effect w:val="none"/>
                </w:rPr>
                <w:t>40</w:t>
              </w:r>
            </w:hyperlink>
          </w:p>
        </w:tc>
      </w:tr>
      <w:tr>
        <w:trPr/>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0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48">
              <w:r>
                <w:rPr>
                  <w:rStyle w:val="InternetLink"/>
                  <w:rFonts w:ascii="Times New Roman;sans-serif" w:hAnsi="Times New Roman;sans-serif"/>
                  <w:b w:val="false"/>
                  <w:strike w:val="false"/>
                  <w:dstrike w:val="false"/>
                  <w:color w:val="000000"/>
                  <w:sz w:val="20"/>
                  <w:u w:val="none"/>
                  <w:effect w:val="non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fa1bbe62dbe4bb4a9e64dc7eff97e26_148">
              <w:r>
                <w:rPr>
                  <w:rStyle w:val="InternetLink"/>
                  <w:rFonts w:ascii="Times New Roman;sans-serif" w:hAnsi="Times New Roman;sans-serif"/>
                  <w:b w:val="false"/>
                  <w:strike w:val="false"/>
                  <w:dstrike w:val="false"/>
                  <w:color w:val="0000FF"/>
                  <w:sz w:val="20"/>
                  <w:u w:val="none"/>
                  <w:effect w:val="none"/>
                </w:rPr>
                <w:t>41</w:t>
              </w:r>
            </w:hyperlink>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fa1bbe62dbe4bb4a9e64dc7eff97e26_151">
              <w:r>
                <w:rPr>
                  <w:rStyle w:val="InternetLink"/>
                  <w:rFonts w:ascii="Times New Roman;sans-serif" w:hAnsi="Times New Roman;sans-serif"/>
                  <w:b w:val="false"/>
                  <w:strike w:val="false"/>
                  <w:dstrike w:val="false"/>
                  <w:color w:val="000000"/>
                  <w:sz w:val="20"/>
                  <w:u w:val="none"/>
                  <w:effect w:val="non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1bbe62dbe4bb4a9e64dc7eff97e26_151">
              <w:r>
                <w:rPr>
                  <w:rStyle w:val="InternetLink"/>
                  <w:rFonts w:ascii="Times New Roman;sans-serif" w:hAnsi="Times New Roman;sans-serif"/>
                  <w:b w:val="false"/>
                  <w:strike w:val="false"/>
                  <w:dstrike w:val="false"/>
                  <w:color w:val="0000FF"/>
                  <w:sz w:val="20"/>
                  <w:u w:val="none"/>
                  <w:effect w:val="non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bidi w:val="0"/>
        <w:spacing w:lineRule="auto" w:line="345" w:before="0" w:after="1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54"/>
        <w:gridCol w:w="1366"/>
        <w:gridCol w:w="137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8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unconsolidated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change in fair value of contingent earnout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before income tax expense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gain on interest rate caplets (net of income tax (benefit) expense of $(1,526), $37, $(1,524), and $(3) respectively)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198"/>
        <w:gridCol w:w="2239"/>
        <w:gridCol w:w="2256"/>
        <w:gridCol w:w="202"/>
        <w:gridCol w:w="762"/>
        <w:gridCol w:w="112"/>
        <w:gridCol w:w="109"/>
        <w:gridCol w:w="109"/>
        <w:gridCol w:w="109"/>
        <w:gridCol w:w="199"/>
        <w:gridCol w:w="749"/>
        <w:gridCol w:w="161"/>
      </w:tblGrid>
      <w:tr>
        <w:trPr/>
        <w:tc>
          <w:tcPr>
            <w:tcW w:w="3198"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693"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par value and share amounts)</w:t>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assets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323,323 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312,594 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260,813 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Location contracts acquired,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caplets, net of current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noncurrent assets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344,966 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950,206 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912,893 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maturities of debt</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route and customer acquisition costs payable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location gaming expense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state gaming expense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expenses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consideration payable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current liabilities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119,372 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net of current maturities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525,572 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514,091 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 less current portion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Consideration payable, less current portion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share liability</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liabilities </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liability, net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long-term liabilities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624,115 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604,839 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of $0.0001; 1,000,000 shares authorized; 0 shares issued and outstanding at September 30, 2024 and December 31, 2023</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A-1 Common Stock, par value $0.0001; 250,000,000 shares authorized; 95,409,648 shares issued and 82,430,205 shares outstanding at September 30, 2024; 95,016,960 shares issued and 84,123,385 shares outstanding at December 31, 2023</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(112,070)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earnings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206,719 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198,404 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950,206 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912,893 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765" w:type="dxa"/>
        <w:jc w:val="center"/>
        <w:tblInd w:w="0" w:type="dxa"/>
        <w:tblLayout w:type="fixed"/>
        <w:tblCellMar>
          <w:top w:w="28" w:type="dxa"/>
          <w:left w:w="28" w:type="dxa"/>
          <w:bottom w:w="28" w:type="dxa"/>
          <w:right w:w="28" w:type="dxa"/>
        </w:tblCellMar>
      </w:tblPr>
      <w:tblGrid>
        <w:gridCol w:w="516"/>
        <w:gridCol w:w="282"/>
        <w:gridCol w:w="283"/>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88"/>
        <w:gridCol w:w="488"/>
        <w:gridCol w:w="186"/>
        <w:gridCol w:w="109"/>
        <w:gridCol w:w="109"/>
        <w:gridCol w:w="109"/>
        <w:gridCol w:w="196"/>
        <w:gridCol w:w="751"/>
        <w:gridCol w:w="109"/>
        <w:gridCol w:w="109"/>
        <w:gridCol w:w="109"/>
        <w:gridCol w:w="109"/>
        <w:gridCol w:w="269"/>
        <w:gridCol w:w="765"/>
        <w:gridCol w:w="152"/>
        <w:gridCol w:w="109"/>
        <w:gridCol w:w="109"/>
        <w:gridCol w:w="109"/>
        <w:gridCol w:w="196"/>
        <w:gridCol w:w="736"/>
        <w:gridCol w:w="109"/>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84,123,385 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(10,893,575)</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(594,817)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(594,817)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249,700 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83,778,268 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(11,488,392)</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(905,932)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(905,932)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82,958,153 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(12,394,324)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(585,119)</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(585,119)</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(6,215)</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82,430,205 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(12,979,443)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206,719 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1565" w:type="dxa"/>
        <w:jc w:val="center"/>
        <w:tblInd w:w="0" w:type="dxa"/>
        <w:tblLayout w:type="fixed"/>
        <w:tblCellMar>
          <w:top w:w="28" w:type="dxa"/>
          <w:left w:w="28" w:type="dxa"/>
          <w:bottom w:w="28" w:type="dxa"/>
          <w:right w:w="28" w:type="dxa"/>
        </w:tblCellMar>
      </w:tblPr>
      <w:tblGrid>
        <w:gridCol w:w="516"/>
        <w:gridCol w:w="282"/>
        <w:gridCol w:w="283"/>
        <w:gridCol w:w="480"/>
        <w:gridCol w:w="481"/>
        <w:gridCol w:w="186"/>
        <w:gridCol w:w="109"/>
        <w:gridCol w:w="109"/>
        <w:gridCol w:w="109"/>
        <w:gridCol w:w="242"/>
        <w:gridCol w:w="298"/>
        <w:gridCol w:w="136"/>
        <w:gridCol w:w="109"/>
        <w:gridCol w:w="109"/>
        <w:gridCol w:w="109"/>
        <w:gridCol w:w="196"/>
        <w:gridCol w:w="736"/>
        <w:gridCol w:w="109"/>
        <w:gridCol w:w="109"/>
        <w:gridCol w:w="109"/>
        <w:gridCol w:w="109"/>
        <w:gridCol w:w="443"/>
        <w:gridCol w:w="443"/>
        <w:gridCol w:w="186"/>
        <w:gridCol w:w="109"/>
        <w:gridCol w:w="109"/>
        <w:gridCol w:w="109"/>
        <w:gridCol w:w="196"/>
        <w:gridCol w:w="661"/>
        <w:gridCol w:w="109"/>
        <w:gridCol w:w="109"/>
        <w:gridCol w:w="109"/>
        <w:gridCol w:w="109"/>
        <w:gridCol w:w="243"/>
        <w:gridCol w:w="804"/>
        <w:gridCol w:w="139"/>
        <w:gridCol w:w="109"/>
        <w:gridCol w:w="109"/>
        <w:gridCol w:w="109"/>
        <w:gridCol w:w="210"/>
        <w:gridCol w:w="693"/>
        <w:gridCol w:w="118"/>
        <w:gridCol w:w="109"/>
        <w:gridCol w:w="109"/>
        <w:gridCol w:w="109"/>
        <w:gridCol w:w="196"/>
        <w:gridCol w:w="73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shares)</w:t>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86,674,390 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(7,829,661)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86,444,825 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(8,306,379)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(887,174)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(887,174)</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 net of shares withheld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85,605,725 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(9,193,553)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(301,199)</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(301,199)</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caplets,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85,389,889 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(9,494,752)</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83,496 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283"/>
        <w:ind w:left="0" w:right="0" w:firstLine="36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97"/>
        <w:gridCol w:w="1876"/>
        <w:gridCol w:w="1880"/>
        <w:gridCol w:w="331"/>
        <w:gridCol w:w="1244"/>
        <w:gridCol w:w="184"/>
        <w:gridCol w:w="184"/>
        <w:gridCol w:w="184"/>
        <w:gridCol w:w="184"/>
        <w:gridCol w:w="331"/>
        <w:gridCol w:w="1244"/>
        <w:gridCol w:w="266"/>
      </w:tblGrid>
      <w:tr>
        <w:trPr/>
        <w:tc>
          <w:tcPr>
            <w:tcW w:w="229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w:t>
              <w:br/>
              <w:t>(Unaudited)</w:t>
            </w:r>
          </w:p>
        </w:tc>
      </w:tr>
      <w:tr>
        <w:trPr/>
        <w:tc>
          <w:tcPr>
            <w:tcW w:w="6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27,914 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 and 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change in fair value of contingent earnout shares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2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on write-off of route and customer acquisition costs and 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Remeasurement of contingent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interest on route and customer acquisition costs payable, contingent consideration, and contingent stock consideration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deposits and other current assets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Route and customer acquisition costs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compensation and related expenses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(3,798)</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operating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107,665 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92,007 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(55,088)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(60,218)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sale of property and equipment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settlement of convertible notes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Deposits against a portion of the purchase price on a pending business acquisition</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unconsolidated affiliate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from unconsolidated affiliates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and asset acquisitions, net of cash acquired</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(19,063)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(90,224)</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(35,404)</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7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debt</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debt</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(38,625)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(152,875)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debt issuance costs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repurchase of common stock</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interest rate caplets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stock-based awards</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consideration payable</w:t>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on stock-based payments</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(13,967)</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(50,328)</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Net increase in cash and cash equivalents</w:t>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period</w:t>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261,611 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period</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265,085 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230,388 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38"/>
        <w:gridCol w:w="1524"/>
        <w:gridCol w:w="1513"/>
        <w:gridCol w:w="467"/>
        <w:gridCol w:w="1543"/>
        <w:gridCol w:w="259"/>
        <w:gridCol w:w="259"/>
        <w:gridCol w:w="259"/>
        <w:gridCol w:w="259"/>
        <w:gridCol w:w="467"/>
        <w:gridCol w:w="1543"/>
        <w:gridCol w:w="374"/>
      </w:tblGrid>
      <w:tr>
        <w:trP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ACCEL ENTERTAINMENT, INC.</w:t>
              <w:br/>
              <w:t>CONDENSED CONSOLIDATED STATEMENTS OF CASH FLOWS - (Continued)</w:t>
              <w:br/>
              <w:t>(Unaudited)</w:t>
            </w:r>
          </w:p>
        </w:tc>
      </w:tr>
      <w:tr>
        <w:trPr/>
        <w:tc>
          <w:tcPr>
            <w:tcW w:w="4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disclosures of cash flow information:</w:t>
            </w:r>
          </w:p>
        </w:tc>
        <w:tc>
          <w:tcPr>
            <w:tcW w:w="2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payments for:</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Interest, net</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24,545 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22,586 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14,840 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schedules of noncash investing and financing activities:</w:t>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 accounts payable and accrued liabilities</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premium on interest rate caplets</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2,302 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businesses and assets:</w:t>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identifiable net assets acquired</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consideration payable</w:t>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5"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purchase price</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19,063 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4,115 </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condensed consolidated financial statements</w:t>
      </w:r>
    </w:p>
    <w:p>
      <w:pPr>
        <w:pStyle w:val="TextBody"/>
        <w:bidi w:val="0"/>
        <w:spacing w:before="24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ACCEL ENTERTAINMENT, INC.</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Description of Business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Accel Entertainment, Inc. (and together with its subsidiaries, </w:t>
      </w:r>
      <w:r>
        <w:rPr>
          <w:rFonts w:ascii="Times New Roman;sans-serif" w:hAnsi="Times New Roman;sans-serif"/>
          <w:b w:val="false"/>
          <w:color w:val="000000"/>
          <w:sz w:val="20"/>
          <w:shd w:fill="FFFFFF" w:val="clear"/>
        </w:rPr>
        <w:t xml:space="preserve">the </w:t>
      </w:r>
      <w:r>
        <w:rPr>
          <w:color w:val="000000"/>
        </w:rPr>
        <w:t>“</w:t>
      </w:r>
      <w:r>
        <w:rPr>
          <w:rFonts w:ascii="Times New Roman;sans-serif" w:hAnsi="Times New Roman;sans-serif"/>
          <w:b w:val="false"/>
          <w:color w:val="000000"/>
          <w:sz w:val="20"/>
          <w:shd w:fill="FFFFFF" w:val="clear"/>
        </w:rPr>
        <w:t>Company</w:t>
      </w:r>
      <w:r>
        <w:rPr>
          <w:color w:val="000000"/>
        </w:rPr>
        <w:t xml:space="preserve">” </w:t>
      </w:r>
      <w:r>
        <w:rPr>
          <w:rFonts w:ascii="Times New Roman;sans-serif" w:hAnsi="Times New Roman;sans-serif"/>
          <w:b w:val="false"/>
          <w:color w:val="000000"/>
          <w:sz w:val="20"/>
        </w:rPr>
        <w:t>or “Accel”)</w:t>
      </w:r>
      <w:r>
        <w:rPr>
          <w:color w:val="000000"/>
          <w:shd w:fill="FFFFFF" w:val="clear"/>
        </w:rPr>
        <w:t xml:space="preserve"> </w:t>
      </w:r>
      <w:r>
        <w:rPr>
          <w:rFonts w:ascii="Times New Roman;sans-serif" w:hAnsi="Times New Roman;sans-serif"/>
          <w:b w:val="false"/>
          <w:color w:val="000000"/>
          <w:sz w:val="20"/>
          <w:shd w:fill="FFFFFF" w:val="clear"/>
        </w:rPr>
        <w:t>is a leading distributed gaming operator in the United States (“U.S.”). The Company has operations in Illinois, Montana, Nevada, Nebraska, Georgia, Iowa, and Pennsylvania. The Company is subject to the various gaming regulations in the states in which it operates, as well as various other federal, state and local laws and regulations.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bars, restaurants, convenience stores, truck stops, and fraternal and veteran establishments across the country. The Company also operates stand-alone ATMs in gaming and non-gaming locations.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Summary of Significant Accounting Policies</w:t>
      </w:r>
    </w:p>
    <w:p>
      <w:pPr>
        <w:pStyle w:val="TextBody"/>
        <w:bidi w:val="0"/>
        <w:spacing w:lineRule="auto" w:line="345" w:before="160" w:after="283"/>
        <w:jc w:val="both"/>
        <w:rPr/>
      </w:pPr>
      <w:r>
        <w:rPr>
          <w:rFonts w:ascii="Times New Roman;sans-serif" w:hAnsi="Times New Roman;sans-serif"/>
          <w:b/>
          <w:color w:val="000000"/>
          <w:sz w:val="20"/>
          <w:shd w:fill="FFFFFF" w:val="clear"/>
        </w:rPr>
        <w:t>Basis of presentation and preparation</w:t>
      </w:r>
      <w:r>
        <w:rPr>
          <w:rFonts w:ascii="Times New Roman;sans-serif" w:hAnsi="Times New Roman;sans-serif"/>
          <w:b w:val="false"/>
          <w:color w:val="000000"/>
          <w:sz w:val="20"/>
          <w:shd w:fill="FFFFFF" w:val="clear"/>
        </w:rPr>
        <w:t xml:space="preserve">: The condensed consolidated financial statements and accompanying notes were prepared in conformity with U.S. generally accepted accounting principles (“GAAP”) and the rules and regulations of the Securities and Exchange Commission (“SEC”). </w:t>
      </w:r>
      <w:r>
        <w:rPr>
          <w:rFonts w:ascii="Times New Roman;sans-serif" w:hAnsi="Times New Roman;sans-serif"/>
          <w:b w:val="false"/>
          <w:color w:val="000000"/>
          <w:sz w:val="20"/>
        </w:rPr>
        <w:t xml:space="preserve">The condensed consolidated financial statements include the accounts of the Company and of its wholly-owned subsidiaries. All significant intercompany balances and transactions have been eliminated in consolidation.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2023 </w:t>
      </w:r>
      <w:r>
        <w:rPr>
          <w:rFonts w:ascii="Times New Roman;sans-serif" w:hAnsi="Times New Roman;sans-serif"/>
          <w:b w:val="false"/>
          <w:color w:val="000000"/>
          <w:sz w:val="20"/>
          <w:shd w:fill="FFFFFF" w:val="clear"/>
        </w:rPr>
        <w:t>(the “Form 10-K”)</w:t>
      </w:r>
      <w:r>
        <w:rPr>
          <w:rFonts w:ascii="Times New Roman;sans-serif" w:hAnsi="Times New Roman;sans-serif"/>
          <w:b w:val="false"/>
          <w:color w:val="000000"/>
          <w:sz w:val="20"/>
        </w:rPr>
        <w:t xml:space="preserve">.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 </w:t>
      </w:r>
    </w:p>
    <w:p>
      <w:pPr>
        <w:pStyle w:val="TextBody"/>
        <w:bidi w:val="0"/>
        <w:spacing w:lineRule="auto" w:line="345" w:before="160" w:after="283"/>
        <w:jc w:val="both"/>
        <w:rPr/>
      </w:pPr>
      <w:r>
        <w:rPr>
          <w:rFonts w:ascii="Times New Roman;sans-serif" w:hAnsi="Times New Roman;sans-serif"/>
          <w:b/>
          <w:color w:val="000000"/>
          <w:sz w:val="20"/>
          <w:shd w:fill="FFFFFF" w:val="clear"/>
        </w:rPr>
        <w:t>Use of estimates</w:t>
      </w:r>
      <w:r>
        <w:rPr>
          <w:rFonts w:ascii="Times New Roman;sans-serif" w:hAnsi="Times New Roman;sans-serif"/>
          <w:b w:val="false"/>
          <w:color w:val="000000"/>
          <w:sz w:val="20"/>
          <w:shd w:fill="FFFFFF" w:val="clear"/>
        </w:rPr>
        <w:t>: The preparation of the condensed consolidated financial statements requires management to make estimates and assumptions that affect (i) the reported amounts of assets and liabilities, (ii) disclosure of contingent assets and liabilities at the date of the condensed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selection of useful lives for depreciable and amortizable assets in conjunction with business acquisitions, the valuation of level 3 investments, the valuation of contingent earnout shares and warrants, the valuation of interest rate caplets, contingencies, and the expected term of share-based compensation awards and stock price volatility when computing stock-based compensation expense. Actual results may differ from those estimates.</w:t>
      </w:r>
    </w:p>
    <w:p>
      <w:pPr>
        <w:pStyle w:val="TextBody"/>
        <w:bidi w:val="0"/>
        <w:spacing w:lineRule="auto" w:line="345" w:before="180" w:after="283"/>
        <w:jc w:val="both"/>
        <w:rPr/>
      </w:pPr>
      <w:r>
        <w:rPr>
          <w:rFonts w:ascii="Times New Roman;sans-serif" w:hAnsi="Times New Roman;sans-serif"/>
          <w:b/>
          <w:color w:val="000000"/>
          <w:sz w:val="20"/>
          <w:shd w:fill="FFFFFF" w:val="clear"/>
        </w:rPr>
        <w:t>Segment information</w:t>
      </w:r>
      <w:r>
        <w:rPr>
          <w:rFonts w:ascii="Times New Roman;sans-serif" w:hAnsi="Times New Roman;sans-serif"/>
          <w:b w:val="false"/>
          <w:color w:val="000000"/>
          <w:sz w:val="20"/>
          <w:shd w:fill="FFFFFF" w:val="clear"/>
        </w:rPr>
        <w:t>: The Company operates as a single reportable segment. The Company’s chief operating decision maker (“CODM”) is the chief executive officer, who has ultimate responsibility for the operating performance of the Company and the allocation of its resources. The CODM assesses the Company’s performance and allocates resources based on consolidated results, and this is the only discrete financial information that is regularly reviewed by the CODM.</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color w:val="000000"/>
          <w:sz w:val="20"/>
          <w:shd w:fill="FFFFFF" w:val="clear"/>
        </w:rPr>
        <w:t>Equity method investments:</w:t>
      </w:r>
      <w:r>
        <w:rPr>
          <w:color w:val="000000"/>
          <w:shd w:fill="FFFFFF" w:val="clear"/>
        </w:rPr>
        <w:t xml:space="preserve"> </w:t>
      </w:r>
      <w:r>
        <w:rPr>
          <w:rFonts w:ascii="Times New Roman;sans-serif" w:hAnsi="Times New Roman;sans-serif"/>
          <w:b w:val="false"/>
          <w:color w:val="000000"/>
          <w:sz w:val="20"/>
        </w:rPr>
        <w:t xml:space="preserve">Investments in unconsolidated affiliates, which do not meet the controlling financial interest consolidation criteria of the authoritative accounting guidance for voting interest or variable interest entities, are accounted for under the equity method. </w:t>
      </w:r>
      <w:r>
        <w:rPr>
          <w:rFonts w:ascii="Times New Roman;sans-serif" w:hAnsi="Times New Roman;sans-serif"/>
          <w:b w:val="false"/>
          <w:color w:val="000000"/>
          <w:sz w:val="20"/>
          <w:shd w:fill="FFFFFF" w:val="clear"/>
        </w:rPr>
        <w:t xml:space="preserve">The Company records its share of net income or loss from equity method investments within (Income) loss from unconsolidated affiliates in the condensed consolidated statements of operations and comprehensive income based on the most recently available financials after a lag of one quarter. The Company also adjusts the carrying value of its investments in unconsolidated affiliates based on its share of net income or loss from equity method investments.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On June 17, 2024, the Company invested </w:t>
      </w:r>
      <w:r>
        <w:rPr>
          <w:rFonts w:ascii="Times New Roman;sans-serif" w:hAnsi="Times New Roman;sans-serif"/>
          <w:b w:val="false"/>
          <w:color w:val="000000"/>
          <w:sz w:val="20"/>
        </w:rPr>
        <w:t>$5.0 million</w:t>
      </w:r>
      <w:r>
        <w:rPr>
          <w:color w:val="000000"/>
          <w:shd w:fill="FFFFFF" w:val="clear"/>
        </w:rPr>
        <w:t xml:space="preserve"> </w:t>
      </w:r>
      <w:r>
        <w:rPr>
          <w:rFonts w:ascii="Times New Roman;sans-serif" w:hAnsi="Times New Roman;sans-serif"/>
          <w:b w:val="false"/>
          <w:color w:val="000000"/>
          <w:sz w:val="20"/>
          <w:shd w:fill="FFFFFF" w:val="clear"/>
        </w:rPr>
        <w:t xml:space="preserve">in HBC Gaming LLC (“HBC”), in exchange for a </w:t>
      </w:r>
      <w:r>
        <w:rPr>
          <w:rFonts w:ascii="Times New Roman;sans-serif" w:hAnsi="Times New Roman;sans-serif"/>
          <w:b w:val="false"/>
          <w:color w:val="000000"/>
          <w:sz w:val="20"/>
        </w:rPr>
        <w:t>5%</w:t>
      </w:r>
      <w:r>
        <w:rPr>
          <w:color w:val="000000"/>
          <w:shd w:fill="FFFFFF" w:val="clear"/>
        </w:rPr>
        <w:t xml:space="preserve"> </w:t>
      </w:r>
      <w:r>
        <w:rPr>
          <w:rFonts w:ascii="Times New Roman;sans-serif" w:hAnsi="Times New Roman;sans-serif"/>
          <w:b w:val="false"/>
          <w:color w:val="000000"/>
          <w:sz w:val="20"/>
          <w:shd w:fill="FFFFFF" w:val="clear"/>
        </w:rPr>
        <w:t xml:space="preserve">equity interest. HBC is a local entertainment company based in Hampton, New Hampshire that specializes in providing a variety of gaming services to its customers. The Company’s </w:t>
      </w:r>
      <w:r>
        <w:rPr>
          <w:rFonts w:ascii="Times New Roman;sans-serif" w:hAnsi="Times New Roman;sans-serif"/>
          <w:b w:val="false"/>
          <w:color w:val="000000"/>
          <w:sz w:val="20"/>
        </w:rPr>
        <w:t>5%</w:t>
      </w:r>
      <w:r>
        <w:rPr>
          <w:color w:val="000000"/>
          <w:shd w:fill="FFFFFF" w:val="clear"/>
        </w:rPr>
        <w:t xml:space="preserve"> </w:t>
      </w:r>
      <w:r>
        <w:rPr>
          <w:rFonts w:ascii="Times New Roman;sans-serif" w:hAnsi="Times New Roman;sans-serif"/>
          <w:b w:val="false"/>
          <w:color w:val="000000"/>
          <w:sz w:val="20"/>
          <w:shd w:fill="FFFFFF" w:val="clear"/>
        </w:rPr>
        <w:t xml:space="preserve">investment qualifies for equity method accounting. The Company recorded its initial investment of </w:t>
      </w:r>
      <w:r>
        <w:rPr>
          <w:rFonts w:ascii="Times New Roman;sans-serif" w:hAnsi="Times New Roman;sans-serif"/>
          <w:b w:val="false"/>
          <w:color w:val="000000"/>
          <w:sz w:val="20"/>
        </w:rPr>
        <w:t>$5.0 million within other assets on th</w:t>
      </w:r>
      <w:r>
        <w:rPr>
          <w:rFonts w:ascii="Times New Roman;sans-serif" w:hAnsi="Times New Roman;sans-serif"/>
          <w:b w:val="false"/>
          <w:color w:val="000000"/>
          <w:sz w:val="20"/>
          <w:shd w:fill="FFFFFF" w:val="clear"/>
        </w:rPr>
        <w:t xml:space="preserve">e condensed consolidated balance sheets. The Company also has obligations to fund additional equity investments in the event certain construction and development milestones are met in an amount up to </w:t>
      </w:r>
      <w:r>
        <w:rPr>
          <w:rFonts w:ascii="Times New Roman;sans-serif" w:hAnsi="Times New Roman;sans-serif"/>
          <w:b w:val="false"/>
          <w:color w:val="000000"/>
          <w:sz w:val="20"/>
        </w:rPr>
        <w:t>10%</w:t>
      </w:r>
      <w:r>
        <w:rPr>
          <w:color w:val="000000"/>
          <w:shd w:fill="FFFFFF" w:val="clear"/>
        </w:rPr>
        <w:t xml:space="preserve"> </w:t>
      </w:r>
      <w:r>
        <w:rPr>
          <w:rFonts w:ascii="Times New Roman;sans-serif" w:hAnsi="Times New Roman;sans-serif"/>
          <w:b w:val="false"/>
          <w:color w:val="000000"/>
          <w:sz w:val="20"/>
          <w:shd w:fill="FFFFFF" w:val="clear"/>
        </w:rPr>
        <w:t xml:space="preserve">ownership of HBC, on an undiluted basis, at an additional cost of up to </w:t>
      </w:r>
      <w:r>
        <w:rPr>
          <w:rFonts w:ascii="Times New Roman;sans-serif" w:hAnsi="Times New Roman;sans-serif"/>
          <w:b w:val="false"/>
          <w:color w:val="000000"/>
          <w:sz w:val="20"/>
        </w:rPr>
        <w:t>$6.5 million</w:t>
      </w:r>
      <w:r>
        <w:rPr>
          <w:rFonts w:ascii="Times New Roman;sans-serif" w:hAnsi="Times New Roman;sans-serif"/>
          <w:b w:val="false"/>
          <w:color w:val="000000"/>
          <w:sz w:val="20"/>
          <w:shd w:fill="FFFFFF" w:val="clear"/>
        </w:rPr>
        <w: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The Company recorded a loss from unconsolidated affiliates of less than </w:t>
      </w:r>
      <w:r>
        <w:rPr>
          <w:rFonts w:ascii="Times New Roman;sans-serif" w:hAnsi="Times New Roman;sans-serif"/>
          <w:b w:val="false"/>
          <w:color w:val="000000"/>
          <w:sz w:val="20"/>
        </w:rPr>
        <w:t xml:space="preserve">$0.1 million for both the three and nine months ended </w:t>
      </w:r>
      <w:r>
        <w:rPr>
          <w:rFonts w:ascii="Times New Roman;sans-serif" w:hAnsi="Times New Roman;sans-serif"/>
          <w:b w:val="false"/>
          <w:color w:val="000000"/>
          <w:sz w:val="20"/>
          <w:shd w:fill="FFFFFF" w:val="clear"/>
        </w:rPr>
        <w:t>September 30, 2024.</w:t>
      </w:r>
    </w:p>
    <w:p>
      <w:pPr>
        <w:pStyle w:val="TextBody"/>
        <w:bidi w:val="0"/>
        <w:spacing w:lineRule="auto" w:line="345" w:before="160" w:after="283"/>
        <w:jc w:val="both"/>
        <w:rPr/>
      </w:pPr>
      <w:r>
        <w:rPr>
          <w:rFonts w:ascii="Times New Roman;sans-serif" w:hAnsi="Times New Roman;sans-serif"/>
          <w:b/>
          <w:color w:val="000000"/>
          <w:sz w:val="20"/>
          <w:shd w:fill="FFFFFF" w:val="clear"/>
        </w:rPr>
        <w:t>Revenue recognition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Company generates revenues from the following types of services: gaming terminals, amusements, and ATMs. The Company also generates manufacturing revenue from the sale of gaming terminals and associated software. Revenue is disaggregated by type of revenue and is presented on the face of the condensed consolidated statements of operations and comprehensive income. </w:t>
      </w:r>
    </w:p>
    <w:p>
      <w:pPr>
        <w:pStyle w:val="TextBody"/>
        <w:bidi w:val="0"/>
        <w:spacing w:lineRule="auto" w:line="345" w:before="180" w:after="283"/>
        <w:jc w:val="both"/>
        <w:rPr/>
      </w:pPr>
      <w:r>
        <w:rPr>
          <w:rFonts w:ascii="Times New Roman;sans-serif" w:hAnsi="Times New Roman;sans-serif"/>
          <w:b w:val="false"/>
          <w:color w:val="000000"/>
          <w:sz w:val="20"/>
          <w:shd w:fill="FFFFFF" w:val="clear"/>
        </w:rPr>
        <w:t xml:space="preserve">Total net revenues for the three and nine months ended </w:t>
      </w:r>
      <w:r>
        <w:rPr>
          <w:rFonts w:ascii="Times New Roman;sans-serif" w:hAnsi="Times New Roman;sans-serif"/>
          <w:b w:val="false"/>
          <w:color w:val="000000"/>
          <w:sz w:val="20"/>
        </w:rPr>
        <w:t>September 30,</w:t>
      </w:r>
      <w:r>
        <w:rPr>
          <w:color w:val="000000"/>
          <w:shd w:fill="FFFFFF" w:val="clear"/>
        </w:rPr>
        <w:t xml:space="preserve"> </w:t>
      </w:r>
      <w:r>
        <w:rPr>
          <w:rFonts w:ascii="Times New Roman;sans-serif" w:hAnsi="Times New Roman;sans-serif"/>
          <w:b w:val="false"/>
          <w:color w:val="000000"/>
          <w:sz w:val="20"/>
          <w:shd w:fill="FFFFFF" w:val="clear"/>
        </w:rPr>
        <w:t>2024 and 2023 are further disaggregated by the primary states in which the Company operates.</w:t>
      </w:r>
    </w:p>
    <w:tbl>
      <w:tblPr>
        <w:tblW w:w="8386"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109"/>
        <w:gridCol w:w="109"/>
        <w:gridCol w:w="140"/>
        <w:gridCol w:w="140"/>
        <w:gridCol w:w="271"/>
        <w:gridCol w:w="1063"/>
        <w:gridCol w:w="140"/>
        <w:gridCol w:w="109"/>
        <w:gridCol w:w="109"/>
        <w:gridCol w:w="109"/>
        <w:gridCol w:w="211"/>
        <w:gridCol w:w="82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913,457 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pPr>
      <w:r>
        <w:rPr>
          <w:rFonts w:ascii="Times New Roman;sans-serif" w:hAnsi="Times New Roman;sans-serif"/>
          <w:b/>
          <w:color w:val="000000"/>
          <w:sz w:val="20"/>
          <w:shd w:fill="FFFFFF" w:val="clear"/>
        </w:rPr>
        <w:t>Recent accounting pronouncements</w:t>
      </w:r>
      <w:r>
        <w:rPr>
          <w:rFonts w:ascii="Times New Roman;sans-serif" w:hAnsi="Times New Roman;sans-serif"/>
          <w:b w:val="false"/>
          <w:i/>
          <w:color w:val="000000"/>
          <w:sz w:val="20"/>
          <w:shd w:fill="FFFFFF" w:val="clear"/>
        </w:rPr>
        <w:t>: </w:t>
      </w:r>
      <w:r>
        <w:rPr>
          <w:rFonts w:ascii="Times New Roman;sans-serif" w:hAnsi="Times New Roman;sans-serif"/>
          <w:b w:val="false"/>
          <w:color w:val="000000"/>
          <w:sz w:val="20"/>
          <w:shd w:fill="FFFFFF" w:val="clear"/>
        </w:rPr>
        <w:t xml:space="preserve">On November 27, 2023, the Financial Accounting Standards Board </w:t>
      </w:r>
      <w:r>
        <w:rPr>
          <w:rFonts w:ascii="Times New Roman;sans-serif" w:hAnsi="Times New Roman;sans-serif"/>
          <w:b w:val="false"/>
          <w:color w:val="000000"/>
          <w:sz w:val="20"/>
        </w:rPr>
        <w:t>(“FASB”) is</w:t>
      </w:r>
      <w:r>
        <w:rPr>
          <w:rFonts w:ascii="Times New Roman;sans-serif" w:hAnsi="Times New Roman;sans-serif"/>
          <w:b w:val="false"/>
          <w:color w:val="000000"/>
          <w:sz w:val="20"/>
          <w:shd w:fill="FFFFFF" w:val="clear"/>
        </w:rPr>
        <w:t>sued Accounting Standards Update (</w:t>
      </w:r>
      <w:r>
        <w:rPr>
          <w:color w:val="000000"/>
        </w:rPr>
        <w:t>“</w:t>
      </w:r>
      <w:r>
        <w:rPr>
          <w:rFonts w:ascii="Times New Roman;sans-serif" w:hAnsi="Times New Roman;sans-serif"/>
          <w:b w:val="false"/>
          <w:color w:val="000000"/>
          <w:sz w:val="20"/>
        </w:rPr>
        <w:t xml:space="preserve">ASU”) </w:t>
      </w:r>
      <w:r>
        <w:rPr>
          <w:rFonts w:ascii="Times New Roman;sans-serif" w:hAnsi="Times New Roman;sans-serif"/>
          <w:b w:val="false"/>
          <w:color w:val="000000"/>
          <w:sz w:val="20"/>
          <w:shd w:fill="FFFFFF" w:val="clear"/>
        </w:rPr>
        <w:t xml:space="preserve">2023-07, </w:t>
      </w:r>
      <w:r>
        <w:rPr>
          <w:rFonts w:ascii="Times New Roman;sans-serif" w:hAnsi="Times New Roman;sans-serif"/>
          <w:b w:val="false"/>
          <w:i/>
          <w:color w:val="000000"/>
          <w:sz w:val="20"/>
          <w:shd w:fill="FFFFFF" w:val="clear"/>
        </w:rPr>
        <w:t>Segment Reporting (Topic 280)</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Improvements to Reportable Segment Disclosures,</w:t>
      </w:r>
      <w:r>
        <w:rPr>
          <w:color w:val="000000"/>
          <w:shd w:fill="FFFFFF" w:val="clear"/>
        </w:rPr>
        <w:t xml:space="preserve"> </w:t>
      </w:r>
      <w:r>
        <w:rPr>
          <w:rFonts w:ascii="Times New Roman;sans-serif" w:hAnsi="Times New Roman;sans-serif"/>
          <w:b w:val="false"/>
          <w:color w:val="000000"/>
          <w:sz w:val="20"/>
          <w:shd w:fill="FFFFFF" w:val="clear"/>
        </w:rPr>
        <w:t>which requires public entities to disclose information about their reportable segments’ significant expenses regularly provided to the CODM.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is effective for fiscal years beginning after December 15, 2023, and interim periods within fiscal years beginning after December 15, 2024. Entities must adopt the changes to the segment reporting guidance on a retrospective basis. The Company is currently evaluating the potential effect that this ASU will have on its financial statement disclosures.</w:t>
      </w:r>
    </w:p>
    <w:p>
      <w:pPr>
        <w:pStyle w:val="TextBody"/>
        <w:bidi w:val="0"/>
        <w:spacing w:lineRule="auto" w:line="345" w:before="160" w:after="283"/>
        <w:jc w:val="both"/>
        <w:rPr/>
      </w:pPr>
      <w:r>
        <w:rPr>
          <w:rFonts w:ascii="Times New Roman;sans-serif" w:hAnsi="Times New Roman;sans-serif"/>
          <w:b w:val="false"/>
          <w:color w:val="000000"/>
          <w:sz w:val="20"/>
          <w:shd w:fill="FFFFFF" w:val="clear"/>
        </w:rPr>
        <w:t xml:space="preserve">On December 14, 2023, the FASB issued ASU 2023-09, </w:t>
      </w:r>
      <w:r>
        <w:rPr>
          <w:rFonts w:ascii="Times New Roman;sans-serif" w:hAnsi="Times New Roman;sans-serif"/>
          <w:b w:val="false"/>
          <w:i/>
          <w:color w:val="000000"/>
          <w:sz w:val="20"/>
          <w:shd w:fill="FFFFFF" w:val="clear"/>
        </w:rPr>
        <w:t>Income Taxes (Topic 740): Improvements to Income Tax Disclosures</w:t>
      </w:r>
      <w:r>
        <w:rPr>
          <w:rFonts w:ascii="Times New Roman;sans-serif" w:hAnsi="Times New Roman;sans-serif"/>
          <w:b w:val="false"/>
          <w:color w:val="000000"/>
          <w:sz w:val="20"/>
          <w:shd w:fill="FFFFFF" w:val="clear"/>
        </w:rPr>
        <w:t>. The ASU requires disaggregated information about a reporting entity’s effective tax rate reconciliation as well as information on income taxes paid disaggregated by jurisdiction. The new requirements will be effective for annual periods beginning after December 15, 2024, and will be applied on a prospective basis with the option to apply the standard retrospectively. The Company is currently evaluating the potential effect that this ASU will have on its financial statement disclosures.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recently issued accounting standards or pronouncements have been excluded because they are either not relevant to the Company, or are not expected to have, or did not have, a material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Inventories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Inventories consist of the following as of</w:t>
      </w:r>
      <w:r>
        <w:rPr>
          <w:color w:val="000000"/>
        </w:rPr>
        <w:t xml:space="preserve">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and December 31, 2023</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6955" w:type="dxa"/>
        <w:jc w:val="center"/>
        <w:tblInd w:w="0" w:type="dxa"/>
        <w:tblLayout w:type="fixed"/>
        <w:tblCellMar>
          <w:top w:w="28" w:type="dxa"/>
          <w:left w:w="28" w:type="dxa"/>
          <w:bottom w:w="28" w:type="dxa"/>
          <w:right w:w="28" w:type="dxa"/>
        </w:tblCellMar>
      </w:tblPr>
      <w:tblGrid>
        <w:gridCol w:w="1287"/>
        <w:gridCol w:w="1132"/>
        <w:gridCol w:w="1135"/>
        <w:gridCol w:w="293"/>
        <w:gridCol w:w="859"/>
        <w:gridCol w:w="153"/>
        <w:gridCol w:w="109"/>
        <w:gridCol w:w="109"/>
        <w:gridCol w:w="109"/>
        <w:gridCol w:w="380"/>
        <w:gridCol w:w="1110"/>
        <w:gridCol w:w="279"/>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manufacturing supplies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11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 inventories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As of September 30, 2024 and December 31,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no inventory valuation allowance was determined to be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4. Investment in Convertible Notes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31, 2023, the Company and Gold Rush Amusements, Inc. (“Gold Rush”), another terminal operator in Illinois, entered into a settlement agreement which resolved any and all lawsuits and all outstanding obligations under the Company’s investment in Gold Rush’s convertible notes. As part of the settlement, the Company received $32.5 million from Gold Rush in June 2023, which included the repayment of the face value of the convertible notes plus accrued interest as well as a $0.4 million prepayment on future amounts due. In addition, the Company has a receivable from Gold Rush of $1.4 million as of </w:t>
      </w:r>
      <w:r>
        <w:rPr>
          <w:rFonts w:ascii="Times New Roman;sans-serif" w:hAnsi="Times New Roman;sans-serif"/>
          <w:b w:val="false"/>
          <w:color w:val="000000"/>
          <w:sz w:val="20"/>
          <w:shd w:fill="FFFFFF" w:val="clear"/>
        </w:rPr>
        <w:t xml:space="preserve">September 30, 2024, </w:t>
      </w:r>
      <w:r>
        <w:rPr>
          <w:rFonts w:ascii="Times New Roman;sans-serif" w:hAnsi="Times New Roman;sans-serif"/>
          <w:b w:val="false"/>
          <w:color w:val="000000"/>
          <w:sz w:val="20"/>
        </w:rPr>
        <w:t>which represents the present value of the remaining $1.5 million due from Gold Rush by May 2025, and is presented within other current assets in the condensed consolidated balance sheets. The Company also recorded a gain of $1.7 million in the second quarter of 2023, which is included in other expenses, net on the condensed consolidated statements of operations and comprehensive income for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Property and Equipment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Property and equipment consist of the following as of</w:t>
      </w:r>
      <w:r>
        <w:rPr>
          <w:color w:val="000000"/>
        </w:rPr>
        <w:t xml:space="preserve"> </w:t>
      </w:r>
      <w:r>
        <w:rPr>
          <w:rFonts w:ascii="Times New Roman;sans-serif" w:hAnsi="Times New Roman;sans-serif"/>
          <w:b w:val="false"/>
          <w:color w:val="000000"/>
          <w:sz w:val="20"/>
          <w:shd w:fill="FFFFFF" w:val="clear"/>
        </w:rPr>
        <w:t>September 30, 2024,</w:t>
      </w:r>
      <w:r>
        <w:rPr>
          <w:color w:val="000000"/>
        </w:rPr>
        <w:t xml:space="preserve"> </w:t>
      </w:r>
      <w:r>
        <w:rPr>
          <w:rFonts w:ascii="Times New Roman;sans-serif" w:hAnsi="Times New Roman;sans-serif"/>
          <w:b w:val="false"/>
          <w:color w:val="000000"/>
          <w:sz w:val="20"/>
        </w:rPr>
        <w:t>and December 31, 2023</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6986" w:type="dxa"/>
        <w:jc w:val="center"/>
        <w:tblInd w:w="0" w:type="dxa"/>
        <w:tblLayout w:type="fixed"/>
        <w:tblCellMar>
          <w:top w:w="28" w:type="dxa"/>
          <w:left w:w="28" w:type="dxa"/>
          <w:bottom w:w="28" w:type="dxa"/>
          <w:right w:w="28" w:type="dxa"/>
        </w:tblCellMar>
      </w:tblPr>
      <w:tblGrid>
        <w:gridCol w:w="1467"/>
        <w:gridCol w:w="1287"/>
        <w:gridCol w:w="1296"/>
        <w:gridCol w:w="240"/>
        <w:gridCol w:w="941"/>
        <w:gridCol w:w="124"/>
        <w:gridCol w:w="109"/>
        <w:gridCol w:w="109"/>
        <w:gridCol w:w="109"/>
        <w:gridCol w:w="231"/>
        <w:gridCol w:w="905"/>
        <w:gridCol w:w="168"/>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terminals, software and equipment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ATM and other equipment</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furniture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510,072 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462,960 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(202,147)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281,917 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260,813 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 xml:space="preserve">Depreciation and amortization of property and equipment was $11.0 million and </w:t>
      </w:r>
      <w:r>
        <w:rPr>
          <w:rFonts w:ascii="Times New Roman;sans-serif" w:hAnsi="Times New Roman;sans-serif"/>
          <w:b w:val="false"/>
          <w:color w:val="000000"/>
          <w:sz w:val="20"/>
        </w:rPr>
        <w:t>$32.2 million</w:t>
      </w:r>
      <w:r>
        <w:rPr>
          <w:color w:val="000000"/>
          <w:shd w:fill="FFFFFF" w:val="clear"/>
        </w:rPr>
        <w:t xml:space="preserve"> </w:t>
      </w:r>
      <w:r>
        <w:rPr>
          <w:rFonts w:ascii="Times New Roman;sans-serif" w:hAnsi="Times New Roman;sans-serif"/>
          <w:b w:val="false"/>
          <w:color w:val="000000"/>
          <w:sz w:val="20"/>
        </w:rPr>
        <w:t xml:space="preserve">for the three and nine months ended </w:t>
      </w:r>
      <w:r>
        <w:rPr>
          <w:rFonts w:ascii="Times New Roman;sans-serif" w:hAnsi="Times New Roman;sans-serif"/>
          <w:b w:val="false"/>
          <w:color w:val="000000"/>
          <w:sz w:val="20"/>
          <w:shd w:fill="FFFFFF" w:val="clear"/>
        </w:rPr>
        <w:t xml:space="preserve">September 30, 2024, respectively. In comparison, depreciation and amortization of property and equipment was </w:t>
      </w:r>
      <w:r>
        <w:rPr>
          <w:rFonts w:ascii="Times New Roman;sans-serif" w:hAnsi="Times New Roman;sans-serif"/>
          <w:b w:val="false"/>
          <w:color w:val="000000"/>
          <w:sz w:val="20"/>
        </w:rPr>
        <w:t>$9.4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$27.9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nine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6. Route and Customer Acquisition Costs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were approximately $11.4 million and $7.4 million as of September 30,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2023, respectively. Payments are due over varying terms of the individual agreements and are discounted at the Company’s incremental borrowing rate associated with its long-term debt at the time the contract is acquired. The net present value of payments due was $9.4 million and $6.5 million as of September 30,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December 31, 2023, respectively, of which approximately $2.1 million and </w:t>
      </w:r>
      <w:r>
        <w:rPr>
          <w:rFonts w:ascii="Times New Roman;sans-serif" w:hAnsi="Times New Roman;sans-serif"/>
          <w:b w:val="false"/>
          <w:color w:val="000000"/>
          <w:sz w:val="20"/>
        </w:rPr>
        <w:t xml:space="preserve">$1.5 million </w:t>
      </w:r>
      <w:r>
        <w:rPr>
          <w:rFonts w:ascii="Times New Roman;sans-serif" w:hAnsi="Times New Roman;sans-serif"/>
          <w:b w:val="false"/>
          <w:color w:val="000000"/>
          <w:sz w:val="20"/>
          <w:shd w:fill="FFFFFF" w:val="clear"/>
        </w:rPr>
        <w:t>was included in current liabilities in the accompanying condensed consolidated balance sheets as of September 30, 2024</w:t>
      </w:r>
      <w:r>
        <w:rPr>
          <w:color w:val="000000"/>
        </w:rPr>
        <w:t xml:space="preserve"> </w:t>
      </w:r>
      <w:r>
        <w:rPr>
          <w:rFonts w:ascii="Times New Roman;sans-serif" w:hAnsi="Times New Roman;sans-serif"/>
          <w:b w:val="false"/>
          <w:color w:val="000000"/>
          <w:sz w:val="20"/>
          <w:shd w:fill="FFFFFF" w:val="clear"/>
        </w:rPr>
        <w:t>and December 31, 2023, respectively. The route and customer acquisition cost asset was comprised of upfront payments made on the contracts of $22.2 million and $20.0 million as of September 30,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December 31, 2023, respectively. The Company has upfront payments of commissions paid to the third parties for the acquisition of the customer contracts that are subject to a clawback provision if the customer cancels the contract prior to completion. The payments subject to a clawback were $1.4 million and </w:t>
      </w:r>
      <w:r>
        <w:rPr>
          <w:rFonts w:ascii="Times New Roman;sans-serif" w:hAnsi="Times New Roman;sans-serif"/>
          <w:b w:val="false"/>
          <w:color w:val="000000"/>
          <w:sz w:val="20"/>
        </w:rPr>
        <w:t>$1.0 million</w:t>
      </w:r>
      <w:r>
        <w:rPr>
          <w:color w:val="000000"/>
          <w:shd w:fill="FFFFFF" w:val="clear"/>
        </w:rPr>
        <w:t xml:space="preserve"> </w:t>
      </w:r>
      <w:r>
        <w:rPr>
          <w:rFonts w:ascii="Times New Roman;sans-serif" w:hAnsi="Times New Roman;sans-serif"/>
          <w:b w:val="false"/>
          <w:color w:val="000000"/>
          <w:sz w:val="20"/>
          <w:shd w:fill="FFFFFF" w:val="clear"/>
        </w:rPr>
        <w:t>as of September 30,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December 31, 2023, respectively.</w:t>
      </w:r>
    </w:p>
    <w:p>
      <w:pPr>
        <w:pStyle w:val="TextBody"/>
        <w:bidi w:val="0"/>
        <w:spacing w:lineRule="auto" w:line="288" w:before="24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Route and customer acquisition costs consisted of the following as of September 30, 2024 and December 31, 2023 (in thousands):</w:t>
      </w:r>
    </w:p>
    <w:tbl>
      <w:tblPr>
        <w:tblW w:w="6430" w:type="dxa"/>
        <w:jc w:val="center"/>
        <w:tblInd w:w="0" w:type="dxa"/>
        <w:tblLayout w:type="fixed"/>
        <w:tblCellMar>
          <w:top w:w="28" w:type="dxa"/>
          <w:left w:w="28" w:type="dxa"/>
          <w:bottom w:w="28" w:type="dxa"/>
          <w:right w:w="28" w:type="dxa"/>
        </w:tblCellMar>
      </w:tblPr>
      <w:tblGrid>
        <w:gridCol w:w="1260"/>
        <w:gridCol w:w="1111"/>
        <w:gridCol w:w="1123"/>
        <w:gridCol w:w="264"/>
        <w:gridCol w:w="904"/>
        <w:gridCol w:w="136"/>
        <w:gridCol w:w="109"/>
        <w:gridCol w:w="109"/>
        <w:gridCol w:w="109"/>
        <w:gridCol w:w="253"/>
        <w:gridCol w:w="867"/>
        <w:gridCol w:w="185"/>
      </w:tblGrid>
      <w:tr>
        <w:trPr/>
        <w:tc>
          <w:tcPr>
            <w:tcW w:w="126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33,855 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1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(15,538)</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Route and customer acquisition costs, net</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80" w:after="283"/>
        <w:ind w:left="0" w:right="0" w:firstLine="360"/>
        <w:jc w:val="both"/>
        <w:rPr/>
      </w:pPr>
      <w:r>
        <w:rPr>
          <w:rFonts w:ascii="Times New Roman;sans-serif" w:hAnsi="Times New Roman;sans-serif"/>
          <w:b w:val="false"/>
          <w:color w:val="000000"/>
          <w:sz w:val="20"/>
        </w:rPr>
        <w:t xml:space="preserve">Amortization expense of route and customer acquisition costs was $0.6 million and $1.7 million for the three and nine months ended </w:t>
      </w:r>
      <w:r>
        <w:rPr>
          <w:rFonts w:ascii="Times New Roman;sans-serif" w:hAnsi="Times New Roman;sans-serif"/>
          <w:b w:val="false"/>
          <w:color w:val="000000"/>
          <w:sz w:val="20"/>
          <w:shd w:fill="FFFFFF" w:val="clear"/>
        </w:rPr>
        <w:t>September 30, 2024, respectively. In comparison, a</w:t>
      </w:r>
      <w:r>
        <w:rPr>
          <w:rFonts w:ascii="Times New Roman;sans-serif" w:hAnsi="Times New Roman;sans-serif"/>
          <w:b w:val="false"/>
          <w:color w:val="000000"/>
          <w:sz w:val="20"/>
        </w:rPr>
        <w:t>mortization expense of route and customer acquisition costs</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$0.4 million and $1.2 million for the three and nine months ended September 30, 2023</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Location Contracts Acquired</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 assets acquired in business acquisitions are recorded at acquisition at fair value based on an income approach. Location contracts acquired consisted of the following as of September 30, 2024 and December 31, 2023 (in thousands):</w:t>
      </w:r>
    </w:p>
    <w:tbl>
      <w:tblPr>
        <w:tblW w:w="5665" w:type="dxa"/>
        <w:jc w:val="center"/>
        <w:tblInd w:w="0" w:type="dxa"/>
        <w:tblLayout w:type="fixed"/>
        <w:tblCellMar>
          <w:top w:w="28" w:type="dxa"/>
          <w:left w:w="28" w:type="dxa"/>
          <w:bottom w:w="28" w:type="dxa"/>
          <w:right w:w="28" w:type="dxa"/>
        </w:tblCellMar>
      </w:tblPr>
      <w:tblGrid>
        <w:gridCol w:w="984"/>
        <w:gridCol w:w="868"/>
        <w:gridCol w:w="877"/>
        <w:gridCol w:w="240"/>
        <w:gridCol w:w="941"/>
        <w:gridCol w:w="124"/>
        <w:gridCol w:w="109"/>
        <w:gridCol w:w="109"/>
        <w:gridCol w:w="109"/>
        <w:gridCol w:w="231"/>
        <w:gridCol w:w="905"/>
        <w:gridCol w:w="168"/>
      </w:tblGrid>
      <w:tr>
        <w:trPr/>
        <w:tc>
          <w:tcPr>
            <w:tcW w:w="98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300,520 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286,728 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(123,727)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net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176,793 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 xml:space="preserve">Amortization expense of location contracts acquired was </w:t>
      </w:r>
      <w:r>
        <w:rPr>
          <w:rFonts w:ascii="Times New Roman;sans-serif" w:hAnsi="Times New Roman;sans-serif"/>
          <w:b w:val="false"/>
          <w:color w:val="000000"/>
          <w:sz w:val="20"/>
        </w:rPr>
        <w:t xml:space="preserve">$4.6 million and $13.3 million for the </w:t>
      </w:r>
      <w:r>
        <w:rPr>
          <w:rFonts w:ascii="Times New Roman;sans-serif" w:hAnsi="Times New Roman;sans-serif"/>
          <w:b w:val="false"/>
          <w:color w:val="000000"/>
          <w:sz w:val="20"/>
          <w:shd w:fill="FFFFFF" w:val="clear"/>
        </w:rPr>
        <w:t>three and nine</w:t>
      </w:r>
      <w:r>
        <w:rPr>
          <w:color w:val="000000"/>
        </w:rPr>
        <w:t xml:space="preserve"> </w:t>
      </w:r>
      <w:r>
        <w:rPr>
          <w:rFonts w:ascii="Times New Roman;sans-serif" w:hAnsi="Times New Roman;sans-serif"/>
          <w:b w:val="false"/>
          <w:color w:val="000000"/>
          <w:sz w:val="20"/>
        </w:rPr>
        <w:t xml:space="preserve">months ended September 30, 2024, respectively. </w:t>
      </w:r>
      <w:r>
        <w:rPr>
          <w:rFonts w:ascii="Times New Roman;sans-serif" w:hAnsi="Times New Roman;sans-serif"/>
          <w:b w:val="false"/>
          <w:color w:val="000000"/>
          <w:sz w:val="20"/>
          <w:shd w:fill="FFFFFF" w:val="clear"/>
        </w:rPr>
        <w:t>In comparison, amortization expense of location contracts acquired</w:t>
      </w:r>
      <w:r>
        <w:rPr>
          <w:color w:val="000000"/>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$4.3 million and $12.8 million for the three and nine months ended September 30, 2023</w:t>
      </w:r>
      <w:r>
        <w:rPr>
          <w:rFonts w:ascii="Times New Roman;sans-serif" w:hAnsi="Times New Roman;sans-serif"/>
          <w:b w:val="false"/>
          <w:color w:val="000000"/>
          <w:sz w:val="20"/>
          <w:shd w:fill="FFFFFF" w:val="clear"/>
        </w:rPr>
        <w:t>, respectively</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Goodwill and Other Intangible Assets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acquired various companies which were accounted for as a business combination using the acquisition method of accounting in accordance with </w:t>
      </w:r>
      <w:r>
        <w:rPr>
          <w:rFonts w:ascii="Times New Roman;sans-serif" w:hAnsi="Times New Roman;sans-serif"/>
          <w:b w:val="false"/>
          <w:color w:val="000000"/>
          <w:sz w:val="20"/>
          <w:shd w:fill="FFFFFF" w:val="clear"/>
        </w:rPr>
        <w:t>Accounting Standards Codification (“ASC”) Topic 805, </w:t>
      </w:r>
      <w:r>
        <w:rPr>
          <w:rFonts w:ascii="Times New Roman;sans-serif" w:hAnsi="Times New Roman;sans-serif"/>
          <w:b w:val="false"/>
          <w:i/>
          <w:color w:val="000000"/>
          <w:sz w:val="20"/>
          <w:shd w:fill="FFFFFF" w:val="clear"/>
        </w:rPr>
        <w:t xml:space="preserve">Business Combinations </w:t>
      </w:r>
      <w:r>
        <w:rPr>
          <w:rFonts w:ascii="Times New Roman;sans-serif" w:hAnsi="Times New Roman;sans-serif"/>
          <w:b w:val="false"/>
          <w:color w:val="000000"/>
          <w:sz w:val="20"/>
          <w:shd w:fill="FFFFFF" w:val="clear"/>
        </w:rPr>
        <w:t>(</w:t>
      </w:r>
      <w:r>
        <w:rPr>
          <w:color w:val="000000"/>
        </w:rPr>
        <w:t>“</w:t>
      </w:r>
      <w:r>
        <w:rPr>
          <w:rFonts w:ascii="Times New Roman;sans-serif" w:hAnsi="Times New Roman;sans-serif"/>
          <w:b w:val="false"/>
          <w:color w:val="000000"/>
          <w:sz w:val="20"/>
          <w:shd w:fill="FFFFFF" w:val="clear"/>
        </w:rPr>
        <w:t>Topic 805</w:t>
      </w:r>
      <w:r>
        <w:rPr>
          <w:color w:val="000000"/>
        </w:rPr>
        <w:t>”</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 The total excess of the purchase price over the tangible and intangible assets acquired and liabilities assumed was recorded as goodwill of $102.2 million and $101.6 million as of September 30, 2024 and </w:t>
      </w:r>
      <w:r>
        <w:rPr>
          <w:rFonts w:ascii="Times New Roman;sans-serif" w:hAnsi="Times New Roman;sans-serif"/>
          <w:b w:val="false"/>
          <w:color w:val="000000"/>
          <w:sz w:val="20"/>
          <w:shd w:fill="FFFFFF" w:val="clear"/>
        </w:rPr>
        <w:t>December 31, 2023, respectively,</w:t>
      </w:r>
      <w:r>
        <w:rPr>
          <w:color w:val="000000"/>
        </w:rPr>
        <w:t xml:space="preserve"> </w:t>
      </w:r>
      <w:r>
        <w:rPr>
          <w:rFonts w:ascii="Times New Roman;sans-serif" w:hAnsi="Times New Roman;sans-serif"/>
          <w:b w:val="false"/>
          <w:color w:val="000000"/>
          <w:sz w:val="20"/>
        </w:rPr>
        <w:t xml:space="preserve">of which $36.8 million was deductible for tax purposes as of September 30, 2024.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2024, the Company acquired BRM Services, Inc. (“Jorgenson’s Lounge”), a hospitality location in Helena, Montana, for a total purchase price of $1.1 million, of which $0.3 million was recorded as goodwill.</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19, 2024, the Company completed its acquisition of 24th Street Station Casino (“24th Street Station”), a hospitality location in Billings, Montana, for a total purchase price of $0.8 million, of which $0.1 million was recorded as goodwill.</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19, 2024, the Company completed its acquisition of Lucky 7’s Beverages, LLC (“Lucky 7s”), a hospitality location in Billings, Montana, for a total purchase price of $0.8 million, of which $0.1 million was recorded as goodwill.</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full allocation of the purchase price for these acquisitions, see Note 10.</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roll forward of the Company's goodwill (in thousands):</w:t>
      </w:r>
    </w:p>
    <w:tbl>
      <w:tblPr>
        <w:tblW w:w="6156" w:type="dxa"/>
        <w:jc w:val="center"/>
        <w:tblInd w:w="0" w:type="dxa"/>
        <w:tblLayout w:type="fixed"/>
        <w:tblCellMar>
          <w:top w:w="28" w:type="dxa"/>
          <w:left w:w="28" w:type="dxa"/>
          <w:bottom w:w="28" w:type="dxa"/>
          <w:right w:w="28" w:type="dxa"/>
        </w:tblCellMar>
      </w:tblPr>
      <w:tblGrid>
        <w:gridCol w:w="1799"/>
        <w:gridCol w:w="1580"/>
        <w:gridCol w:w="1586"/>
        <w:gridCol w:w="211"/>
        <w:gridCol w:w="82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goodwill for acquisition of Jorgenson’s Lounge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 to goodwill for acquisition of 24th Street Station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 to goodwill for acquisition of Lucky 7s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balance as of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consist of definite-lived trade names, customer relationships, and software applications. The Company determines the fair value of trade name assets acquired in acquisitions using a relief from royalty valuation method which requires assumptions such as projected revenue and a royalty rate. Other intangible assets are amortized over their estimated 7 to 20-year useful lives.</w:t>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consist of the following as of September 30, 2024 and December 31, 2023 (in thousands):</w:t>
      </w:r>
    </w:p>
    <w:tbl>
      <w:tblPr>
        <w:tblW w:w="10205" w:type="dxa"/>
        <w:jc w:val="center"/>
        <w:tblInd w:w="0" w:type="dxa"/>
        <w:tblLayout w:type="fixed"/>
        <w:tblCellMar>
          <w:top w:w="28" w:type="dxa"/>
          <w:left w:w="28" w:type="dxa"/>
          <w:bottom w:w="28" w:type="dxa"/>
          <w:right w:w="28" w:type="dxa"/>
        </w:tblCellMar>
      </w:tblPr>
      <w:tblGrid>
        <w:gridCol w:w="399"/>
        <w:gridCol w:w="351"/>
        <w:gridCol w:w="353"/>
        <w:gridCol w:w="350"/>
        <w:gridCol w:w="350"/>
        <w:gridCol w:w="351"/>
        <w:gridCol w:w="109"/>
        <w:gridCol w:w="109"/>
        <w:gridCol w:w="109"/>
        <w:gridCol w:w="201"/>
        <w:gridCol w:w="665"/>
        <w:gridCol w:w="112"/>
        <w:gridCol w:w="109"/>
        <w:gridCol w:w="109"/>
        <w:gridCol w:w="109"/>
        <w:gridCol w:w="237"/>
        <w:gridCol w:w="695"/>
        <w:gridCol w:w="133"/>
        <w:gridCol w:w="109"/>
        <w:gridCol w:w="109"/>
        <w:gridCol w:w="109"/>
        <w:gridCol w:w="200"/>
        <w:gridCol w:w="661"/>
        <w:gridCol w:w="111"/>
        <w:gridCol w:w="109"/>
        <w:gridCol w:w="109"/>
        <w:gridCol w:w="109"/>
        <w:gridCol w:w="201"/>
        <w:gridCol w:w="665"/>
        <w:gridCol w:w="112"/>
        <w:gridCol w:w="109"/>
        <w:gridCol w:w="109"/>
        <w:gridCol w:w="109"/>
        <w:gridCol w:w="237"/>
        <w:gridCol w:w="695"/>
        <w:gridCol w:w="133"/>
        <w:gridCol w:w="109"/>
        <w:gridCol w:w="109"/>
        <w:gridCol w:w="109"/>
        <w:gridCol w:w="200"/>
        <w:gridCol w:w="660"/>
        <w:gridCol w:w="171"/>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Applications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(5,685)</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Amortization expense of other intangible assets was </w:t>
      </w:r>
      <w:r>
        <w:rPr>
          <w:rFonts w:ascii="Times New Roman;sans-serif" w:hAnsi="Times New Roman;sans-serif"/>
          <w:b w:val="false"/>
          <w:color w:val="000000"/>
          <w:sz w:val="20"/>
        </w:rPr>
        <w:t xml:space="preserve">$0.6 million and $1.8 million for both the three and nine months ended September 30, 2024, and September 30, 2023, respectively. </w:t>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Indefinite-lived intangible assets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The Company also has indefinite-lived intangible assets related to operating licenses totaling $5.7 million and $2.8 million</w:t>
      </w:r>
      <w:r>
        <w:rPr>
          <w:color w:val="000000"/>
          <w:shd w:fill="FFFFFF" w:val="clear"/>
        </w:rPr>
        <w:t xml:space="preserv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December 31, 2023, respectively, which are recorded within other assets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1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Debt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as of September 30, 2024 and December 31, 2023, consisted of the following (in thousands):</w:t>
      </w:r>
    </w:p>
    <w:tbl>
      <w:tblPr>
        <w:tblW w:w="8178" w:type="dxa"/>
        <w:jc w:val="center"/>
        <w:tblInd w:w="0" w:type="dxa"/>
        <w:tblLayout w:type="fixed"/>
        <w:tblCellMar>
          <w:top w:w="28" w:type="dxa"/>
          <w:left w:w="28" w:type="dxa"/>
          <w:bottom w:w="28" w:type="dxa"/>
          <w:right w:w="28" w:type="dxa"/>
        </w:tblCellMar>
      </w:tblPr>
      <w:tblGrid>
        <w:gridCol w:w="1975"/>
        <w:gridCol w:w="1739"/>
        <w:gridCol w:w="1746"/>
        <w:gridCol w:w="221"/>
        <w:gridCol w:w="865"/>
        <w:gridCol w:w="114"/>
        <w:gridCol w:w="109"/>
        <w:gridCol w:w="109"/>
        <w:gridCol w:w="109"/>
        <w:gridCol w:w="211"/>
        <w:gridCol w:w="826"/>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Remaining premium on interest rate caplets financed as debt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debt issuance costs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current maturities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525,572 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2024, the weighted-average interest rate on the Company’s borrowings was approximately 7.6%.</w:t>
      </w:r>
    </w:p>
    <w:p>
      <w:pPr>
        <w:pStyle w:val="TextBody"/>
        <w:bidi w:val="0"/>
        <w:spacing w:lineRule="auto" w:line="348" w:before="180" w:after="283"/>
        <w:ind w:left="0" w:right="0" w:firstLine="360"/>
        <w:jc w:val="both"/>
        <w:rPr/>
      </w:pPr>
      <w:r>
        <w:rPr>
          <w:rFonts w:ascii="Times New Roman;sans-serif" w:hAnsi="Times New Roman;sans-serif"/>
          <w:b w:val="false"/>
          <w:color w:val="000000"/>
          <w:sz w:val="20"/>
          <w:shd w:fill="FFFFFF" w:val="clear"/>
        </w:rPr>
        <w:t xml:space="preserve">During October 2024, the Company borrowed an additional </w:t>
      </w:r>
      <w:r>
        <w:rPr>
          <w:rFonts w:ascii="Times New Roman;sans-serif" w:hAnsi="Times New Roman;sans-serif"/>
          <w:b w:val="false"/>
          <w:color w:val="000000"/>
          <w:sz w:val="20"/>
        </w:rPr>
        <w:t>$119.0 million</w:t>
      </w:r>
      <w:r>
        <w:rPr>
          <w:color w:val="000000"/>
          <w:shd w:fill="FFFFFF" w:val="clear"/>
        </w:rPr>
        <w:t xml:space="preserve"> </w:t>
      </w:r>
      <w:r>
        <w:rPr>
          <w:rFonts w:ascii="Times New Roman;sans-serif" w:hAnsi="Times New Roman;sans-serif"/>
          <w:b w:val="false"/>
          <w:color w:val="000000"/>
          <w:sz w:val="20"/>
          <w:shd w:fill="FFFFFF" w:val="clear"/>
        </w:rPr>
        <w:t xml:space="preserve">on the Delayed Draw Term Loan (“DDTL”) under the existing credit agreement, as amended, of which </w:t>
      </w:r>
      <w:r>
        <w:rPr>
          <w:rFonts w:ascii="Times New Roman;sans-serif" w:hAnsi="Times New Roman;sans-serif"/>
          <w:b w:val="false"/>
          <w:color w:val="000000"/>
          <w:sz w:val="20"/>
        </w:rPr>
        <w:t>$77.5 million</w:t>
      </w:r>
      <w:r>
        <w:rPr>
          <w:color w:val="000000"/>
          <w:shd w:fill="FFFFFF" w:val="clear"/>
        </w:rPr>
        <w:t xml:space="preserve"> </w:t>
      </w:r>
      <w:r>
        <w:rPr>
          <w:rFonts w:ascii="Times New Roman;sans-serif" w:hAnsi="Times New Roman;sans-serif"/>
          <w:b w:val="false"/>
          <w:color w:val="000000"/>
          <w:sz w:val="20"/>
          <w:shd w:fill="FFFFFF" w:val="clear"/>
        </w:rPr>
        <w:t xml:space="preserve">was used to pay down the revolving credit facility under the credit agreement, as amended, </w:t>
      </w:r>
      <w:r>
        <w:rPr>
          <w:rFonts w:ascii="Times New Roman;sans-serif" w:hAnsi="Times New Roman;sans-serif"/>
          <w:b w:val="false"/>
          <w:color w:val="000000"/>
          <w:sz w:val="20"/>
        </w:rPr>
        <w:t>$35.0 million</w:t>
      </w:r>
      <w:r>
        <w:rPr>
          <w:color w:val="000000"/>
          <w:shd w:fill="FFFFFF" w:val="clear"/>
        </w:rPr>
        <w:t xml:space="preserve"> </w:t>
      </w:r>
      <w:r>
        <w:rPr>
          <w:rFonts w:ascii="Times New Roman;sans-serif" w:hAnsi="Times New Roman;sans-serif"/>
          <w:b w:val="false"/>
          <w:color w:val="000000"/>
          <w:sz w:val="20"/>
          <w:shd w:fill="FFFFFF" w:val="clear"/>
        </w:rPr>
        <w:t xml:space="preserve">is anticipated to be used for a pending business acquisition and the remaining </w:t>
      </w:r>
      <w:r>
        <w:rPr>
          <w:rFonts w:ascii="Times New Roman;sans-serif" w:hAnsi="Times New Roman;sans-serif"/>
          <w:b w:val="false"/>
          <w:color w:val="000000"/>
          <w:sz w:val="20"/>
        </w:rPr>
        <w:t>$6.5 million</w:t>
      </w:r>
      <w:r>
        <w:rPr>
          <w:color w:val="000000"/>
          <w:shd w:fill="FFFFFF" w:val="clear"/>
        </w:rPr>
        <w:t xml:space="preserve"> </w:t>
      </w:r>
      <w:r>
        <w:rPr>
          <w:rFonts w:ascii="Times New Roman;sans-serif" w:hAnsi="Times New Roman;sans-serif"/>
          <w:b w:val="false"/>
          <w:color w:val="000000"/>
          <w:sz w:val="20"/>
          <w:shd w:fill="FFFFFF" w:val="clear"/>
        </w:rPr>
        <w:t xml:space="preserve">was used for general business operations. The Company’s ability to borrow on the DDTL ended on October 22, 2024. </w:t>
      </w:r>
    </w:p>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The Company manages its exposure to some of its interest rate risk through the use of interest rate caplets, which are derivative financial instruments. On January 12, 2022, the Company hedged the variability of the cash flows attributable to changes in the 1-month LIBOR/SOFR interest rates on the first $300 million of the term loan under the Company’s existing credit agreement, as amended, by entering into a 4-year series of 48 deferred premium caplets (“caplets</w:t>
      </w:r>
      <w:r>
        <w:rPr>
          <w:color w:val="000000"/>
        </w:rPr>
        <w:t>”</w:t>
      </w:r>
      <w:r>
        <w:rPr>
          <w:rFonts w:ascii="Times New Roman;sans-serif" w:hAnsi="Times New Roman;sans-serif"/>
          <w:b w:val="false"/>
          <w:color w:val="000000"/>
          <w:sz w:val="20"/>
        </w:rPr>
        <w: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recognized an </w:t>
      </w:r>
      <w:r>
        <w:rPr>
          <w:rFonts w:ascii="Times New Roman;sans-serif" w:hAnsi="Times New Roman;sans-serif"/>
          <w:b w:val="false"/>
          <w:color w:val="000000"/>
          <w:sz w:val="20"/>
        </w:rPr>
        <w:t>unrealized loss, net of taxes, o</w:t>
      </w:r>
      <w:r>
        <w:rPr>
          <w:rFonts w:ascii="Times New Roman;sans-serif" w:hAnsi="Times New Roman;sans-serif"/>
          <w:b w:val="false"/>
          <w:color w:val="000000"/>
          <w:sz w:val="20"/>
          <w:shd w:fill="FFFFFF" w:val="clear"/>
        </w:rPr>
        <w:t xml:space="preserve">n the change in fair value of the caplets of </w:t>
      </w:r>
      <w:r>
        <w:rPr>
          <w:rFonts w:ascii="Times New Roman;sans-serif" w:hAnsi="Times New Roman;sans-serif"/>
          <w:b w:val="false"/>
          <w:color w:val="000000"/>
          <w:sz w:val="20"/>
        </w:rPr>
        <w:t xml:space="preserve">$4.1 million for both the three and nine months ended </w:t>
      </w:r>
      <w:r>
        <w:rPr>
          <w:rFonts w:ascii="Times New Roman;sans-serif" w:hAnsi="Times New Roman;sans-serif"/>
          <w:b w:val="false"/>
          <w:color w:val="000000"/>
          <w:sz w:val="20"/>
          <w:shd w:fill="FFFFFF" w:val="clear"/>
        </w:rPr>
        <w:t xml:space="preserve">September 30, 2024. In comparison, the Company recognized </w:t>
      </w:r>
      <w:r>
        <w:rPr>
          <w:rFonts w:ascii="Times New Roman;sans-serif" w:hAnsi="Times New Roman;sans-serif"/>
          <w:b w:val="false"/>
          <w:color w:val="000000"/>
          <w:sz w:val="20"/>
        </w:rPr>
        <w:t xml:space="preserve">an unrealized gain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$0.1 million and an unrealized loss of less than</w:t>
      </w:r>
      <w:r>
        <w:rPr>
          <w:color w:val="000000"/>
          <w:shd w:fill="FFFFFF" w:val="clear"/>
        </w:rPr>
        <w:t xml:space="preserve"> </w:t>
      </w:r>
      <w:r>
        <w:rPr>
          <w:rFonts w:ascii="Times New Roman;sans-serif" w:hAnsi="Times New Roman;sans-serif"/>
          <w:b w:val="false"/>
          <w:color w:val="000000"/>
          <w:sz w:val="20"/>
        </w:rPr>
        <w:t>$0.1 million, both net of taxes,</w:t>
      </w:r>
      <w:r>
        <w:rPr>
          <w:color w:val="000000"/>
          <w:shd w:fill="FFFFFF" w:val="clear"/>
        </w:rPr>
        <w:t xml:space="preserve"> </w:t>
      </w:r>
      <w:r>
        <w:rPr>
          <w:rFonts w:ascii="Times New Roman;sans-serif" w:hAnsi="Times New Roman;sans-serif"/>
          <w:b w:val="false"/>
          <w:color w:val="000000"/>
          <w:sz w:val="20"/>
        </w:rPr>
        <w:t xml:space="preserve">for the three and nine months ended September 30, 2023, </w:t>
      </w:r>
      <w:r>
        <w:rPr>
          <w:rFonts w:ascii="Times New Roman;sans-serif" w:hAnsi="Times New Roman;sans-serif"/>
          <w:b w:val="false"/>
          <w:color w:val="000000"/>
          <w:sz w:val="20"/>
          <w:shd w:fill="FFFFFF" w:val="clear"/>
        </w:rPr>
        <w:t>respectively</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For more information on how the Company determines the fair value of the caplets, see </w:t>
      </w:r>
      <w:r>
        <w:rPr>
          <w:rFonts w:ascii="Times New Roman;sans-serif" w:hAnsi="Times New Roman;sans-serif"/>
          <w:b w:val="false"/>
          <w:color w:val="000000"/>
          <w:sz w:val="20"/>
        </w:rPr>
        <w:t>Note 12. T</w:t>
      </w:r>
      <w:r>
        <w:rPr>
          <w:rFonts w:ascii="Times New Roman;sans-serif" w:hAnsi="Times New Roman;sans-serif"/>
          <w:b w:val="false"/>
          <w:color w:val="000000"/>
          <w:sz w:val="20"/>
          <w:shd w:fill="FFFFFF" w:val="clear"/>
        </w:rPr>
        <w:t xml:space="preserve">he Company also recognized interest income on the caplets of </w:t>
      </w:r>
      <w:r>
        <w:rPr>
          <w:rFonts w:ascii="Times New Roman;sans-serif" w:hAnsi="Times New Roman;sans-serif"/>
          <w:b w:val="false"/>
          <w:color w:val="000000"/>
          <w:sz w:val="20"/>
        </w:rPr>
        <w:t>$2.6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$7.7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nine</w:t>
      </w:r>
      <w:r>
        <w:rPr>
          <w:color w:val="000000"/>
          <w:shd w:fill="FFFFFF" w:val="clear"/>
        </w:rPr>
        <w:t xml:space="preserve"> </w:t>
      </w:r>
      <w:r>
        <w:rPr>
          <w:rFonts w:ascii="Times New Roman;sans-serif" w:hAnsi="Times New Roman;sans-serif"/>
          <w:b w:val="false"/>
          <w:color w:val="000000"/>
          <w:sz w:val="20"/>
          <w:shd w:fill="FFFFFF" w:val="clear"/>
        </w:rPr>
        <w:t>m</w:t>
      </w:r>
      <w:r>
        <w:rPr>
          <w:rFonts w:ascii="Times New Roman;sans-serif" w:hAnsi="Times New Roman;sans-serif"/>
          <w:b w:val="false"/>
          <w:color w:val="000000"/>
          <w:sz w:val="20"/>
        </w:rPr>
        <w:t xml:space="preserve">onths ended </w:t>
      </w:r>
      <w:r>
        <w:rPr>
          <w:rFonts w:ascii="Times New Roman;sans-serif" w:hAnsi="Times New Roman;sans-serif"/>
          <w:b w:val="false"/>
          <w:color w:val="000000"/>
          <w:sz w:val="20"/>
          <w:shd w:fill="FFFFFF" w:val="clear"/>
        </w:rPr>
        <w:t xml:space="preserve">September 30, 2024, respectively. In comparison, the Company recognized interest income on the caplets of </w:t>
      </w:r>
      <w:r>
        <w:rPr>
          <w:rFonts w:ascii="Times New Roman;sans-serif" w:hAnsi="Times New Roman;sans-serif"/>
          <w:b w:val="false"/>
          <w:color w:val="000000"/>
          <w:sz w:val="20"/>
        </w:rPr>
        <w:t xml:space="preserve">$2.5 million and $6.7 million for the three and nine months ended September 30, 2023, respectively. These amounts are </w:t>
      </w:r>
      <w:r>
        <w:rPr>
          <w:rFonts w:ascii="Times New Roman;sans-serif" w:hAnsi="Times New Roman;sans-serif"/>
          <w:b w:val="false"/>
          <w:color w:val="000000"/>
          <w:sz w:val="20"/>
          <w:shd w:fill="FFFFFF" w:val="clear"/>
        </w:rPr>
        <w:t xml:space="preserve">reflected in interest expense, net </w:t>
      </w:r>
      <w:r>
        <w:rPr>
          <w:rFonts w:ascii="Times New Roman;sans-serif" w:hAnsi="Times New Roman;sans-serif"/>
          <w:b w:val="false"/>
          <w:color w:val="000000"/>
          <w:sz w:val="20"/>
        </w:rPr>
        <w:t>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Business Acquisitions</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2024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24th Street Station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September 19, 2024, the Company completed its acquisition of 24th Street Station for a total purchase price of $0.8 million, which the Company paid in cash at closing. </w:t>
      </w:r>
      <w:r>
        <w:rPr>
          <w:rFonts w:ascii="Times New Roman;sans-serif" w:hAnsi="Times New Roman;sans-serif"/>
          <w:b w:val="false"/>
          <w:color w:val="000000"/>
          <w:sz w:val="20"/>
          <w:shd w:fill="FFFFFF" w:val="clear"/>
        </w:rPr>
        <w:t xml:space="preserve">The acquisition was accounted for as a business combination in accordance with Topic 805. </w:t>
      </w:r>
      <w:r>
        <w:rPr>
          <w:rFonts w:ascii="Times New Roman;sans-serif" w:hAnsi="Times New Roman;sans-serif"/>
          <w:b w:val="false"/>
          <w:color w:val="000000"/>
          <w:sz w:val="20"/>
        </w:rPr>
        <w:t>The purchase price was allocated to the following assets: i) indefinite-lived intangible assets totaling $0.7 million, and ii) goodwill totaling $0.1 million. The results of operations for the 24th Street Station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Lucky 7s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September 19, 2024, the Company completed its acquisition of Lucky 7s for a total purchase price of $0.8 million, which the Company paid in cash at closing. </w:t>
      </w:r>
      <w:r>
        <w:rPr>
          <w:rFonts w:ascii="Times New Roman;sans-serif" w:hAnsi="Times New Roman;sans-serif"/>
          <w:b w:val="false"/>
          <w:color w:val="000000"/>
          <w:sz w:val="20"/>
          <w:shd w:fill="FFFFFF" w:val="clear"/>
        </w:rPr>
        <w:t xml:space="preserve">The acquisition was accounted for as a business combination in accordance with Topic 805. </w:t>
      </w:r>
      <w:r>
        <w:rPr>
          <w:rFonts w:ascii="Times New Roman;sans-serif" w:hAnsi="Times New Roman;sans-serif"/>
          <w:b w:val="false"/>
          <w:color w:val="000000"/>
          <w:sz w:val="20"/>
        </w:rPr>
        <w:t xml:space="preserve">The purchase price was allocated to the following assets: i) indefinite-lived intangible assets totaling $0.7 million, and ii) goodwill totaling $0.1. The results of operations for Lucky 7s are included in the condensed consolidated financial statements of the Company from the date of acquisition and were not material. </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Jorgenson’s Lounge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June 26, 2024, the Company acquired Jorgenson’s Lounge for a total purchase price of $1.1 million, which the Company paid in cash at closing. </w:t>
      </w:r>
      <w:r>
        <w:rPr>
          <w:rFonts w:ascii="Times New Roman;sans-serif" w:hAnsi="Times New Roman;sans-serif"/>
          <w:b w:val="false"/>
          <w:color w:val="000000"/>
          <w:sz w:val="20"/>
          <w:shd w:fill="FFFFFF" w:val="clear"/>
        </w:rPr>
        <w:t xml:space="preserve">The acquisition was accounted for as a business combination in accordance with Topic 805. </w:t>
      </w:r>
      <w:r>
        <w:rPr>
          <w:rFonts w:ascii="Times New Roman;sans-serif" w:hAnsi="Times New Roman;sans-serif"/>
          <w:b w:val="false"/>
          <w:color w:val="000000"/>
          <w:sz w:val="20"/>
        </w:rPr>
        <w:t>The purchase price was allocated to the following assets: i) indefinite-lived intangible assets totaling $0.8 million, and ii) goodwill totaling $0.3 million. The results of operations Jorgenson’s Lounge are included in the condensed consolidated financial statements of the Company from the date of acquisition and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 Gaming Entertainment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1, 2024, the Company acquired certain assets of Illinois Gaming Entertainment LLC (“IGE”), an Illinois-based terminal operator. The Company acquired 16 operational locations,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 xml:space="preserve">The aggregate purchase consideration transferred totaled $13.5 million, which included i) $11.4 million in cash at closing and ii) contingent purchase consideration with an estimated fair value of $2.1 million. The contingent purchase consideration represents three installments of $0.6 million which are due on the first, second and third anniversary of the acquisition with $0.7 million due on the fourth anniversary of the acquisition. All payments are subject to the acquired locations still being in operation on the respective anniversary dates. The present value of the consideration payable was $2.2 million as of </w:t>
      </w:r>
      <w:r>
        <w:rPr>
          <w:rFonts w:ascii="Times New Roman;sans-serif" w:hAnsi="Times New Roman;sans-serif"/>
          <w:b w:val="false"/>
          <w:color w:val="000000"/>
          <w:sz w:val="20"/>
          <w:shd w:fill="FFFFFF" w:val="clear"/>
        </w:rPr>
        <w:t xml:space="preserve">September 30, 2024 and is recorded in consideration payable on the condensed consolidated balance sheets. </w:t>
      </w:r>
      <w:r>
        <w:rPr>
          <w:rFonts w:ascii="Times New Roman;sans-serif" w:hAnsi="Times New Roman;sans-serif"/>
          <w:b w:val="false"/>
          <w:color w:val="000000"/>
          <w:sz w:val="20"/>
        </w:rPr>
        <w:t xml:space="preserve">The aggregate purchase consideration of $13.5 million was allocated to the following assets: i) location contracts totaling $11.6 million, ii) gaming equipment totaling $1.6 million, and iii) redemption equipment totaling $0.3 million. The results of operations for IGE are included in the condensed consolidated financial statements of the Company from the date of acquisition and were not material.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Great Lakes Vending</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February 22, 2024, the Company acquired certain assets of Great Lakes Vending Corporation (“GLV”), an Illinois-based terminal operator. The Company acquired one operational location, as well as gaming and redemption terminal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The total purchase price was approximately $1.3 million, which the Company paid in cash at closing. The total purchase price of $1.3 million was allocated to the following assets: i) location contracts totaling $1.2 million and ii) gaming and redemption equipment totaling $0.1 million. The results of operations for GLV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Doc &amp; Eddy’s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January 10, 2024, the Company acquired Doc &amp; Eddy’s West (“D&amp;E”), a hospitality operation in Montana.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The total purchase price was approximately $2.3 million, which the Company paid in cash at closing, and was allocated to the following assets: i) buildings totaling $1.0 million, ii) indefinite long-lived assets totaling $0.9 million and iii) land totaling $0.4 million. The results of operations for D&amp;E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Pending Business Acquisition</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Louisiana acquisition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April 11, 2023, the Company entered into an agreement to acquire a </w:t>
      </w:r>
      <w:r>
        <w:rPr>
          <w:rFonts w:ascii="Times New Roman;sans-serif" w:hAnsi="Times New Roman;sans-serif"/>
          <w:b w:val="false"/>
          <w:color w:val="000000"/>
          <w:sz w:val="20"/>
          <w:shd w:fill="FFFFFF" w:val="clear"/>
        </w:rPr>
        <w:t xml:space="preserve">distributed gaming </w:t>
      </w:r>
      <w:r>
        <w:rPr>
          <w:rFonts w:ascii="Times New Roman;sans-serif" w:hAnsi="Times New Roman;sans-serif"/>
          <w:b w:val="false"/>
          <w:color w:val="000000"/>
          <w:sz w:val="20"/>
        </w:rPr>
        <w:t xml:space="preserve">operator in the state of Louisiana with an option to acquire a second </w:t>
      </w:r>
      <w:r>
        <w:rPr>
          <w:rFonts w:ascii="Times New Roman;sans-serif" w:hAnsi="Times New Roman;sans-serif"/>
          <w:b w:val="false"/>
          <w:color w:val="000000"/>
          <w:sz w:val="20"/>
          <w:shd w:fill="FFFFFF" w:val="clear"/>
        </w:rPr>
        <w:t xml:space="preserve">distributed gaming </w:t>
      </w:r>
      <w:r>
        <w:rPr>
          <w:rFonts w:ascii="Times New Roman;sans-serif" w:hAnsi="Times New Roman;sans-serif"/>
          <w:b w:val="false"/>
          <w:color w:val="000000"/>
          <w:sz w:val="20"/>
        </w:rPr>
        <w:t xml:space="preserve">operator in the state of Louisiana. In connection therewith, the Company has paid $18.1 million through September 30, 2024, as an advance against a portion of the purchase price and is recorded within deposits on the </w:t>
      </w:r>
      <w:r>
        <w:rPr>
          <w:rFonts w:ascii="Times New Roman;sans-serif" w:hAnsi="Times New Roman;sans-serif"/>
          <w:b w:val="false"/>
          <w:color w:val="000000"/>
          <w:sz w:val="20"/>
          <w:shd w:fill="FFFFFF" w:val="clear"/>
        </w:rPr>
        <w:t>condensed consolidated balance sheets.</w:t>
      </w:r>
      <w:r>
        <w:rPr>
          <w:color w:val="000000"/>
        </w:rPr>
        <w:t xml:space="preserve"> </w:t>
      </w:r>
      <w:r>
        <w:rPr>
          <w:rFonts w:ascii="Times New Roman;sans-serif" w:hAnsi="Times New Roman;sans-serif"/>
          <w:b w:val="false"/>
          <w:color w:val="000000"/>
          <w:sz w:val="20"/>
        </w:rPr>
        <w:t xml:space="preserve">Furthermore, on August 10, 2023, the Company loaned the distributed gaming operator $0.3 million. </w:t>
      </w:r>
      <w:r>
        <w:rPr>
          <w:rFonts w:ascii="Times New Roman;sans-serif" w:hAnsi="Times New Roman;sans-serif"/>
          <w:b w:val="false"/>
          <w:color w:val="141414"/>
          <w:sz w:val="20"/>
        </w:rPr>
        <w:t>Closing is expected in the fourth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Fairmount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July 12, 2024, the Company </w:t>
      </w:r>
      <w:r>
        <w:rPr>
          <w:rFonts w:ascii="Times New Roman;sans-serif" w:hAnsi="Times New Roman;sans-serif"/>
          <w:b w:val="false"/>
          <w:color w:val="141414"/>
          <w:sz w:val="20"/>
        </w:rPr>
        <w:t xml:space="preserve">and Fairmount Holdings, Inc. (“Fairmount”) entered into an agreement for the Company to acquire Fairmount, the owner of the FanDuel Sportsbook &amp; Horse Racing in Collinsville, Illinois, for total consideration of approximately $35 million (based on a 20-day trailing weighted average close price), payable to the sellers as 3.45 million shares of the Company’s Class A-1 common stock. The closing of the transaction is subject to customary closing conditions and customary approvals from the Illinois Racing Board and the Illinois Gaming Board </w:t>
      </w:r>
      <w:r>
        <w:rPr>
          <w:rFonts w:ascii="Times New Roman;sans-serif" w:hAnsi="Times New Roman;sans-serif"/>
          <w:b w:val="false"/>
          <w:color w:val="000000"/>
          <w:sz w:val="20"/>
        </w:rPr>
        <w:t>(the “IGB”)</w:t>
      </w:r>
      <w:r>
        <w:rPr>
          <w:rFonts w:ascii="Times New Roman;sans-serif" w:hAnsi="Times New Roman;sans-serif"/>
          <w:b w:val="false"/>
          <w:color w:val="141414"/>
          <w:sz w:val="20"/>
        </w:rPr>
        <w:t>. Closing is expected in the fourth quarter of 2024.</w:t>
      </w:r>
    </w:p>
    <w:p>
      <w:pPr>
        <w:pStyle w:val="TextBody"/>
        <w:bidi w:val="0"/>
        <w:spacing w:lineRule="auto" w:line="345"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2023 Business Acquisitions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 Video Slot Management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December 27, 2023, the Company acquired certain assets of Illinois Video Slot Management Corp. (“IVSM”), an Illinois-based terminal operator. The Company acquired a gaming location,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The total purchase price was approximately $1.0 million, of which the Company paid $0.7 million in cash at closing. The remaining $0.3 million of consideration is payable in three installments of $0.1 million which are due on the first, second and third anniversary of the acquisition assuming the location is still in operation. The total purchase price of $1.0 million was allocated to the following assets: i) a location contract totaling $0.9 million and ii) gaming equipment totaling $0.1 million. The results of operations for the IVSM acquisition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Illinois Gaming Entertainment</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May 23, 2023, the Company acquired four operational locations from IGE,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 xml:space="preserve">The total purchase price was approximately $1.5 million, which the Company paid in cash at closing. The total purchase price of $1.5 million was allocated to the following assets: i) location contracts totaling $1.1 million and ii) gaming equipment totaling $0.4 million.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October 3, 2023, the Company acquired three additional operational locations from IGE, as well as gaming equipment. </w:t>
      </w:r>
      <w:r>
        <w:rPr>
          <w:rFonts w:ascii="Times New Roman;sans-serif" w:hAnsi="Times New Roman;sans-serif"/>
          <w:b w:val="false"/>
          <w:color w:val="000000"/>
          <w:sz w:val="20"/>
          <w:shd w:fill="FFFFFF" w:val="clear"/>
        </w:rPr>
        <w:t xml:space="preserve">The acquisition was accounted for as an asset acquisition in accordance with Topic 805. </w:t>
      </w:r>
      <w:r>
        <w:rPr>
          <w:rFonts w:ascii="Times New Roman;sans-serif" w:hAnsi="Times New Roman;sans-serif"/>
          <w:b w:val="false"/>
          <w:color w:val="000000"/>
          <w:sz w:val="20"/>
        </w:rPr>
        <w:t xml:space="preserve">The total purchase price was approximately $2.3 million, which the Company paid in cash at closing. The total purchase price of $2.3 million was allocated to the following assets: i) location contracts totaling $2.0 million and ii) gaming equipment totaling $0.3 million.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all IGE acquisitions are included in the condensed consolidated financial statements of the Company from the date of acquisition and were not material.</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Rendezvous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February 13, 2023, the Company acquired Rendezvous, a hospitality operation in Billings, Montana. </w:t>
      </w:r>
      <w:r>
        <w:rPr>
          <w:rFonts w:ascii="Times New Roman;sans-serif" w:hAnsi="Times New Roman;sans-serif"/>
          <w:b w:val="false"/>
          <w:color w:val="000000"/>
          <w:sz w:val="20"/>
          <w:shd w:fill="FFFFFF" w:val="clear"/>
        </w:rPr>
        <w:t xml:space="preserve">The acquisition was accounted for as a business combination using the acquisition method of accounting in accordance with Topic 805. </w:t>
      </w:r>
      <w:r>
        <w:rPr>
          <w:rFonts w:ascii="Times New Roman;sans-serif" w:hAnsi="Times New Roman;sans-serif"/>
          <w:b w:val="false"/>
          <w:color w:val="000000"/>
          <w:sz w:val="20"/>
        </w:rPr>
        <w:t xml:space="preserve">The total purchase price of $2.6 million was paid in cash at closing and was allocated to the following assets: i) indefinite-lived intangible assets totaling $0.8 million; ii) land totaling $0.5 million; iii) buildings totaling $0.4 million; iv) gaming equipment totaling $0.1 million, and v) goodwill totaling $0.8 million. </w:t>
      </w:r>
      <w:r>
        <w:rPr>
          <w:rFonts w:ascii="Times New Roman;sans-serif" w:hAnsi="Times New Roman;sans-serif"/>
          <w:b w:val="false"/>
          <w:color w:val="000000"/>
          <w:sz w:val="20"/>
          <w:shd w:fill="FFFFFF" w:val="clear"/>
        </w:rPr>
        <w:t xml:space="preserve">The results of operations for Rendezvous are included in the condensed consolidated financial statements of the Company from the date of acquisition and were not material.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6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Consideration Payable</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a contingent consideration payable related to certain locations, as defined in each respective acquisition agreement, which are placed into operation during a specified period after the acquisition date. The fair value of contingent consideration is included in consideration payable on the condensed consolidated balance sheets as of September 30, 2024 and December 31, 2023. The contingent consideration accrued is measured at fair value on a recurring basis. The Company presents on its condensed consolidated statement of cash flows, payments for consideration payable within 90-days in investing activities, payments after 90-days and up to the acquisition date fair value in financing activities, and payments in excess of the acquisition date fair value in operating activities. </w:t>
      </w:r>
    </w:p>
    <w:p>
      <w:pPr>
        <w:pStyle w:val="TextBody"/>
        <w:bidi w:val="0"/>
        <w:spacing w:lineRule="auto" w:line="28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 and long-term portions of consideration payable consist of the following as of September 30, 2024 and December 31, 2023 (in thousands):</w:t>
      </w:r>
    </w:p>
    <w:tbl>
      <w:tblPr>
        <w:tblW w:w="6845" w:type="dxa"/>
        <w:jc w:val="center"/>
        <w:tblInd w:w="0" w:type="dxa"/>
        <w:tblLayout w:type="fixed"/>
        <w:tblCellMar>
          <w:top w:w="28" w:type="dxa"/>
          <w:left w:w="28" w:type="dxa"/>
          <w:bottom w:w="28" w:type="dxa"/>
          <w:right w:w="28" w:type="dxa"/>
        </w:tblCellMar>
      </w:tblPr>
      <w:tblGrid>
        <w:gridCol w:w="635"/>
        <w:gridCol w:w="557"/>
        <w:gridCol w:w="563"/>
        <w:gridCol w:w="211"/>
        <w:gridCol w:w="616"/>
        <w:gridCol w:w="109"/>
        <w:gridCol w:w="109"/>
        <w:gridCol w:w="109"/>
        <w:gridCol w:w="109"/>
        <w:gridCol w:w="222"/>
        <w:gridCol w:w="759"/>
        <w:gridCol w:w="115"/>
        <w:gridCol w:w="109"/>
        <w:gridCol w:w="109"/>
        <w:gridCol w:w="109"/>
        <w:gridCol w:w="211"/>
        <w:gridCol w:w="616"/>
        <w:gridCol w:w="109"/>
        <w:gridCol w:w="109"/>
        <w:gridCol w:w="109"/>
        <w:gridCol w:w="109"/>
        <w:gridCol w:w="245"/>
        <w:gridCol w:w="716"/>
        <w:gridCol w:w="180"/>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TAV</w:t>
            </w:r>
            <w:r>
              <w:rPr>
                <w:rFonts w:ascii="Times New Roman;sans-serif" w:hAnsi="Times New Roman;sans-serif"/>
                <w:b w:val="false"/>
                <w:color w:val="000000"/>
                <w:sz w:val="13"/>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Fair Share Gaming</w:t>
            </w:r>
            <w:r>
              <w:rPr>
                <w:rFonts w:ascii="Times New Roman;sans-serif" w:hAnsi="Times New Roman;sans-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Skyhigh</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IVSM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IGE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Tom's Amusements</w:t>
            </w:r>
            <w:r>
              <w:rPr>
                <w:rFonts w:ascii="Times New Roman;sans-serif" w:hAnsi="Times New Roman;sans-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Island</w:t>
            </w:r>
            <w:r>
              <w:rPr>
                <w:rFonts w:ascii="Times New Roman;sans-serif" w:hAnsi="Times New Roman;sans-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Acquisitions that occurred prior to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Contingent Earnout Share Liability</w:t>
      </w:r>
    </w:p>
    <w:p>
      <w:pPr>
        <w:pStyle w:val="TextBody"/>
        <w:bidi w:val="0"/>
        <w:spacing w:lineRule="auto" w:line="345" w:before="180" w:after="283"/>
        <w:ind w:left="0" w:right="0" w:firstLine="45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ursuant to the terms of the Company’s Amended and Restated Certificate of Incorporation, the Company authorized and has available for issuance 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on the closing sale price of Class A-1 common stock exceeding certain prices over certain trading periods. </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market condition for the settlement of Tranche I was satisfied. As a result, 1,666,636 shares of the 1,666,666 shares of Class A-2 common stock were converted into Class A-1 common stock.</w:t>
      </w:r>
    </w:p>
    <w:p>
      <w:pPr>
        <w:pStyle w:val="TextBody"/>
        <w:bidi w:val="0"/>
        <w:spacing w:lineRule="auto" w:line="345"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conditions for the remaining two Tranches are as follows:</w:t>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 equal to 1,666,667 shares of Class A-2 common stock, will be exchanged for Class A-1 common stock if the closing sale price of Class A-1 common stock on the New York Stock Exchange (“NYSE”) equals or exceeds $14.00 for at least twenty trading days in any consecutive thirty trading day period;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hanging="360"/>
        <w:jc w:val="both"/>
        <w:rPr/>
      </w:pPr>
      <w:r>
        <w:rPr>
          <w:color w:val="000000"/>
        </w:rPr>
        <w:t>•</w:t>
      </w:r>
      <w:r>
        <w:rPr>
          <w:rFonts w:ascii="Times New Roman;sans-serif" w:hAnsi="Times New Roman;sans-serif"/>
          <w:b w:val="false"/>
          <w:color w:val="000000"/>
          <w:sz w:val="20"/>
        </w:rPr>
        <w:t>Tranche III, equal to 1,666,667 shares of Class A-2 common stock, will be exchanged for Class A-1 common stock if the closing sale price of Class A-1 common stock on the NYSE equals or exceeds $16.00 for at least twenty trading days in any consecutive thirty trading 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Fair Value Measurements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 xml:space="preserve">ASC Topic 820, </w:t>
      </w:r>
      <w:r>
        <w:rPr>
          <w:rFonts w:ascii="Times New Roman;sans-serif" w:hAnsi="Times New Roman;sans-serif"/>
          <w:b w:val="false"/>
          <w:i/>
          <w:color w:val="000000"/>
          <w:sz w:val="20"/>
          <w:shd w:fill="FFFFFF" w:val="clear"/>
        </w:rPr>
        <w:t>Fair Value Measurements and Disclosures,</w:t>
      </w:r>
      <w:r>
        <w:rPr>
          <w:color w:val="000000"/>
          <w:shd w:fill="FFFFFF" w:val="clear"/>
        </w:rPr>
        <w:t xml:space="preserve"> </w:t>
      </w:r>
      <w:r>
        <w:rPr>
          <w:rFonts w:ascii="Times New Roman;sans-serif" w:hAnsi="Times New Roman;sans-serif"/>
          <w:b w:val="false"/>
          <w:color w:val="000000"/>
          <w:sz w:val="20"/>
          <w:shd w:fill="FFFFFF" w:val="clear"/>
        </w:rPr>
        <w:t>establishes a framework for measuring fair value and the corresponding disclosure requirements around fair value measurements. This topic applies to all financial instruments that are being measured and reported on a fair value basis.</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1</w:t>
      </w:r>
      <w:r>
        <w:rPr>
          <w:rFonts w:ascii="Times New Roman;sans-serif" w:hAnsi="Times New Roman;sans-serif"/>
          <w:b w:val="false"/>
          <w:color w:val="000000"/>
          <w:sz w:val="20"/>
          <w:shd w:fill="FFFFFF" w:val="clear"/>
        </w:rPr>
        <w:t>: Valuations for assets and liabilities traded in active exchange markets, such as the NYSE. Level 1 also includes U.S. Treasury and federal agency securities and federal agency mortgage-backed securities, which are traded by dealers or brokers in active markets. Valuations are obtained from readily available pricing sources for market transactions involving identical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2</w:t>
      </w:r>
      <w:r>
        <w:rPr>
          <w:rFonts w:ascii="Times New Roman;sans-serif" w:hAnsi="Times New Roman;sans-serif"/>
          <w:b w:val="false"/>
          <w:color w:val="000000"/>
          <w:sz w:val="20"/>
          <w:shd w:fill="FFFFFF" w:val="clear"/>
        </w:rPr>
        <w:t>: Valuations for assets and liabilities traded in less active dealer or broker markets. Valuations are obtained from third-party pricing services for identical or similar assets or liabilities.</w:t>
      </w:r>
    </w:p>
    <w:p>
      <w:pPr>
        <w:pStyle w:val="TextBody"/>
        <w:bidi w:val="0"/>
        <w:spacing w:lineRule="auto" w:line="345" w:before="160" w:after="283"/>
        <w:jc w:val="both"/>
        <w:rPr/>
      </w:pPr>
      <w:r>
        <w:rPr>
          <w:rFonts w:ascii="Times New Roman;sans-serif" w:hAnsi="Times New Roman;sans-serif"/>
          <w:b w:val="false"/>
          <w:color w:val="000000"/>
          <w:sz w:val="20"/>
          <w:u w:val="single"/>
          <w:shd w:fill="FFFFFF" w:val="clear"/>
        </w:rPr>
        <w:t>Level 3</w:t>
      </w:r>
      <w:r>
        <w:rPr>
          <w:rFonts w:ascii="Times New Roman;sans-serif" w:hAnsi="Times New Roman;sans-serif"/>
          <w:b w:val="false"/>
          <w:color w:val="000000"/>
          <w:sz w:val="20"/>
          <w:shd w:fill="FFFFFF" w:val="clear"/>
        </w:rPr>
        <w:t>: Valuations for assets and liabilities that are derived from other valuation methodologies, including option pricing models, discounted cash flow models and similar techniques, and not based on market exchange, dealer, or broker traded transactions. Level 3 valuations incorporate certain assumptions and projections in determining the fair value assigned to such assets or liabilities.</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measured at fair value</w:t>
      </w:r>
    </w:p>
    <w:p>
      <w:pPr>
        <w:pStyle w:val="TextBody"/>
        <w:bidi w:val="0"/>
        <w:spacing w:lineRule="auto" w:line="345" w:before="180" w:after="283"/>
        <w:ind w:left="0" w:right="0" w:firstLine="27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 the Company’s assets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454"/>
        <w:gridCol w:w="400"/>
        <w:gridCol w:w="403"/>
        <w:gridCol w:w="396"/>
        <w:gridCol w:w="373"/>
        <w:gridCol w:w="375"/>
        <w:gridCol w:w="109"/>
        <w:gridCol w:w="109"/>
        <w:gridCol w:w="109"/>
        <w:gridCol w:w="799"/>
        <w:gridCol w:w="799"/>
        <w:gridCol w:w="800"/>
        <w:gridCol w:w="159"/>
        <w:gridCol w:w="159"/>
        <w:gridCol w:w="159"/>
        <w:gridCol w:w="723"/>
        <w:gridCol w:w="723"/>
        <w:gridCol w:w="724"/>
        <w:gridCol w:w="159"/>
        <w:gridCol w:w="159"/>
        <w:gridCol w:w="159"/>
        <w:gridCol w:w="569"/>
        <w:gridCol w:w="569"/>
        <w:gridCol w:w="817"/>
      </w:tblGrid>
      <w:tr>
        <w:trPr/>
        <w:tc>
          <w:tcPr>
            <w:tcW w:w="45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Markets for Identical Assets </w:t>
              <w:br/>
              <w:t>(Level 1)</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r>
      <w:tr>
        <w:trPr/>
        <w:tc>
          <w:tcPr>
            <w:tcW w:w="12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6,686 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433"/>
        <w:gridCol w:w="381"/>
        <w:gridCol w:w="387"/>
        <w:gridCol w:w="466"/>
        <w:gridCol w:w="359"/>
        <w:gridCol w:w="361"/>
        <w:gridCol w:w="109"/>
        <w:gridCol w:w="109"/>
        <w:gridCol w:w="109"/>
        <w:gridCol w:w="796"/>
        <w:gridCol w:w="796"/>
        <w:gridCol w:w="798"/>
        <w:gridCol w:w="160"/>
        <w:gridCol w:w="160"/>
        <w:gridCol w:w="160"/>
        <w:gridCol w:w="725"/>
        <w:gridCol w:w="725"/>
        <w:gridCol w:w="727"/>
        <w:gridCol w:w="160"/>
        <w:gridCol w:w="160"/>
        <w:gridCol w:w="160"/>
        <w:gridCol w:w="572"/>
        <w:gridCol w:w="572"/>
        <w:gridCol w:w="820"/>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 (Level 1)</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Interest rate caplets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6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80" w:after="283"/>
        <w:ind w:left="0" w:right="0" w:firstLine="360"/>
        <w:jc w:val="both"/>
        <w:rPr/>
      </w:pPr>
      <w:r>
        <w:rPr>
          <w:rFonts w:ascii="Times New Roman;sans-serif" w:hAnsi="Times New Roman;sans-serif"/>
          <w:b w:val="false"/>
          <w:color w:val="000000"/>
          <w:sz w:val="20"/>
          <w:shd w:fill="FFFFFF" w:val="clear"/>
        </w:rPr>
        <w:t>The Company determines the fair value of the interest rate</w:t>
      </w:r>
      <w:r>
        <w:rPr>
          <w:color w:val="000000"/>
        </w:rPr>
        <w:t xml:space="preserve"> </w:t>
      </w:r>
      <w:r>
        <w:rPr>
          <w:rFonts w:ascii="Times New Roman;sans-serif" w:hAnsi="Times New Roman;sans-serif"/>
          <w:b w:val="false"/>
          <w:color w:val="000000"/>
          <w:sz w:val="20"/>
        </w:rPr>
        <w:t>caplets using quotes that are based on models whose inputs are observable LIBOR/SOFR forward interest rate curves. The valuation of the interest rate caplets is considered to be a Level 2 fair value measurement as the significant inputs are observable.</w:t>
      </w:r>
      <w:r>
        <w:rPr>
          <w:color w:val="000000"/>
          <w:shd w:fill="FFFFFF" w:val="clear"/>
        </w:rPr>
        <w:t xml:space="preserve"> </w:t>
      </w:r>
      <w:r>
        <w:rPr>
          <w:rFonts w:ascii="Times New Roman;sans-serif" w:hAnsi="Times New Roman;sans-serif"/>
          <w:b w:val="false"/>
          <w:color w:val="000000"/>
          <w:sz w:val="20"/>
          <w:shd w:fill="FFFFFF" w:val="clear"/>
        </w:rPr>
        <w:t xml:space="preserve">Unrealized changes in the fair value of the interest rate caplets are classified within other comprehensive income on the accompanying condensed consolidated statements of operations and comprehensive income. Realized gains on the interest rate caplets are recorded to interest expense, net on the accompanying condensed consolidated statements of operations and comprehensive income and included within cash payments for interest, net on the condensed consolidated statements of cash flow. </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Liabilities measured at fair value</w:t>
      </w:r>
    </w:p>
    <w:p>
      <w:pPr>
        <w:pStyle w:val="TextBody"/>
        <w:bidi w:val="0"/>
        <w:spacing w:lineRule="auto" w:line="345" w:before="180" w:after="283"/>
        <w:ind w:left="0" w:right="0" w:firstLine="27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summarizes the Company’s liabilities that are measured at fair value on a recurring basis (in thousands):</w:t>
      </w:r>
    </w:p>
    <w:tbl>
      <w:tblPr>
        <w:tblW w:w="10205" w:type="dxa"/>
        <w:jc w:val="center"/>
        <w:tblInd w:w="0" w:type="dxa"/>
        <w:tblLayout w:type="fixed"/>
        <w:tblCellMar>
          <w:top w:w="28" w:type="dxa"/>
          <w:left w:w="28" w:type="dxa"/>
          <w:bottom w:w="28" w:type="dxa"/>
          <w:right w:w="28" w:type="dxa"/>
        </w:tblCellMar>
      </w:tblPr>
      <w:tblGrid>
        <w:gridCol w:w="565"/>
        <w:gridCol w:w="496"/>
        <w:gridCol w:w="502"/>
        <w:gridCol w:w="244"/>
        <w:gridCol w:w="835"/>
        <w:gridCol w:w="126"/>
        <w:gridCol w:w="109"/>
        <w:gridCol w:w="109"/>
        <w:gridCol w:w="109"/>
        <w:gridCol w:w="724"/>
        <w:gridCol w:w="1397"/>
        <w:gridCol w:w="376"/>
        <w:gridCol w:w="111"/>
        <w:gridCol w:w="111"/>
        <w:gridCol w:w="111"/>
        <w:gridCol w:w="421"/>
        <w:gridCol w:w="1439"/>
        <w:gridCol w:w="218"/>
        <w:gridCol w:w="111"/>
        <w:gridCol w:w="111"/>
        <w:gridCol w:w="111"/>
        <w:gridCol w:w="360"/>
        <w:gridCol w:w="1234"/>
        <w:gridCol w:w="275"/>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66"/>
        <w:gridCol w:w="497"/>
        <w:gridCol w:w="502"/>
        <w:gridCol w:w="241"/>
        <w:gridCol w:w="825"/>
        <w:gridCol w:w="124"/>
        <w:gridCol w:w="109"/>
        <w:gridCol w:w="109"/>
        <w:gridCol w:w="109"/>
        <w:gridCol w:w="725"/>
        <w:gridCol w:w="1398"/>
        <w:gridCol w:w="376"/>
        <w:gridCol w:w="112"/>
        <w:gridCol w:w="112"/>
        <w:gridCol w:w="112"/>
        <w:gridCol w:w="421"/>
        <w:gridCol w:w="1440"/>
        <w:gridCol w:w="218"/>
        <w:gridCol w:w="112"/>
        <w:gridCol w:w="112"/>
        <w:gridCol w:w="112"/>
        <w:gridCol w:w="399"/>
        <w:gridCol w:w="1167"/>
        <w:gridCol w:w="3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at Reporting Date Using</w:t>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shares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Consideration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uses a discounted cash flow analysis to determine the value of contingent consideration upon acquisition and updates this estimate on a recurring basis. The significant assumptions used in the Company's cash flow analysis includes the probability adjusted projected revenues after state taxes, a discount rate as applicable to each acquisition, and the estimated number of locations that “go live” with the Company during the contingent consideration </w:t>
      </w:r>
      <w:r>
        <w:rPr>
          <w:rFonts w:ascii="Times New Roman;sans-serif" w:hAnsi="Times New Roman;sans-serif"/>
          <w:b w:val="false"/>
          <w:color w:val="000000"/>
          <w:sz w:val="20"/>
        </w:rPr>
        <w:t xml:space="preserve">period. The valuation of the Company's contingent consideration is considered to be a Level 3 fair value measurement as the significant inputs are unobservable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pPr>
      <w:r>
        <w:rPr>
          <w:rFonts w:ascii="Times New Roman;sans-serif" w:hAnsi="Times New Roman;sans-serif"/>
          <w:b w:val="false"/>
          <w:color w:val="000000"/>
          <w:sz w:val="20"/>
        </w:rPr>
        <w:t xml:space="preserve">require significant judgment or estimation. </w:t>
      </w:r>
      <w:r>
        <w:rPr>
          <w:rFonts w:ascii="Times New Roman;sans-serif" w:hAnsi="Times New Roman;sans-serif"/>
          <w:b w:val="false"/>
          <w:color w:val="000000"/>
          <w:sz w:val="20"/>
          <w:shd w:fill="FFFFFF" w:val="clear"/>
        </w:rPr>
        <w:t>Changes in the fair value of contingent consideration liabilities are classified within other expenses, net on the accompanying condensed consolidated 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Contingent earnout shares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The Company determined the fair value of the contingent earnout shares based on the market price of the Company's Class A-1 common stock. The liability, by tranche, is then stated at present value based on i) an interest rate derived from the Company's borrowing rate and the applicable risk-free rate and ii) an estimate on when it expects the contingent earnout shares to convert to Class A-1 common stock. </w:t>
      </w:r>
      <w:r>
        <w:rPr>
          <w:rFonts w:ascii="Times New Roman;sans-serif" w:hAnsi="Times New Roman;sans-serif"/>
          <w:b w:val="false"/>
          <w:color w:val="000000"/>
          <w:sz w:val="20"/>
        </w:rPr>
        <w:t xml:space="preserve">The valuation of the Company's contingent consideration is considered to be a Level 2 fair value measurement. </w:t>
      </w:r>
      <w:r>
        <w:rPr>
          <w:rFonts w:ascii="Times New Roman;sans-serif" w:hAnsi="Times New Roman;sans-serif"/>
          <w:b w:val="false"/>
          <w:color w:val="000000"/>
          <w:sz w:val="20"/>
          <w:shd w:fill="FFFFFF" w:val="clear"/>
        </w:rPr>
        <w:t xml:space="preserve">Changes in the fair value of contingent earnout shares are included within loss on change in fair value of contingent earnout shares on the accompanying condensed consolidated </w:t>
      </w:r>
      <w:r>
        <w:rPr>
          <w:rFonts w:ascii="Times New Roman;sans-serif" w:hAnsi="Times New Roman;sans-serif"/>
          <w:b w:val="false"/>
          <w:color w:val="000000"/>
          <w:sz w:val="20"/>
        </w:rPr>
        <w:t>statements of operations and comprehensive income.</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Company has 5,144 warrants outstanding as of September 30, 2024, which will expire in November 2024. The liability for the Company’s warrants is included in other long-term liabilities on the condensed consolidated balance sheets. </w:t>
      </w:r>
      <w:r>
        <w:rPr>
          <w:rFonts w:ascii="Times New Roman;sans-serif" w:hAnsi="Times New Roman;sans-serif"/>
          <w:b w:val="false"/>
          <w:color w:val="000000"/>
          <w:sz w:val="20"/>
          <w:shd w:fill="FFFFFF" w:val="clear"/>
        </w:rPr>
        <w:t xml:space="preserve">The Company determined the </w:t>
      </w:r>
      <w:r>
        <w:rPr>
          <w:rFonts w:ascii="Times New Roman;sans-serif" w:hAnsi="Times New Roman;sans-serif"/>
          <w:b w:val="false"/>
          <w:color w:val="000000"/>
          <w:sz w:val="20"/>
        </w:rPr>
        <w:t xml:space="preserve">fair value of its warrants by using a Black-Scholes option-pricing model. The Black-Scholes option-pricing model requires inputs such as the fair value of the Company's </w:t>
      </w:r>
      <w:r>
        <w:rPr>
          <w:rFonts w:ascii="Times New Roman;sans-serif" w:hAnsi="Times New Roman;sans-serif"/>
          <w:b w:val="false"/>
          <w:color w:val="000000"/>
          <w:sz w:val="20"/>
          <w:shd w:fill="FFFFFF" w:val="clear"/>
        </w:rPr>
        <w:t xml:space="preserve">Class </w:t>
      </w:r>
      <w:r>
        <w:rPr>
          <w:rFonts w:ascii="Times New Roman;sans-serif" w:hAnsi="Times New Roman;sans-serif"/>
          <w:b w:val="false"/>
          <w:color w:val="000000"/>
          <w:sz w:val="20"/>
        </w:rPr>
        <w:t xml:space="preserve">A-1 common stock, the risk-free interest rate, expected term, expected dividend yield and expected volatility. The Company's valuation of its warrants is considered to be a Level 2 fair value measurement. </w:t>
      </w:r>
      <w:r>
        <w:rPr>
          <w:rFonts w:ascii="Times New Roman;sans-serif" w:hAnsi="Times New Roman;sans-serif"/>
          <w:b w:val="false"/>
          <w:color w:val="000000"/>
          <w:sz w:val="20"/>
          <w:shd w:fill="FFFFFF" w:val="clear"/>
        </w:rPr>
        <w:t xml:space="preserve">Changes in the fair value of the warrants are included within gain on change in fair value of warrants on the accompanying condensed consolidated </w:t>
      </w:r>
      <w:r>
        <w:rPr>
          <w:rFonts w:ascii="Times New Roman;sans-serif" w:hAnsi="Times New Roman;sans-serif"/>
          <w:b w:val="false"/>
          <w:color w:val="000000"/>
          <w:sz w:val="20"/>
        </w:rPr>
        <w:t xml:space="preserve">statements of operations and comprehensive income, if applicable. There was no change in the fair value </w:t>
      </w:r>
      <w:r>
        <w:rPr>
          <w:rFonts w:ascii="Times New Roman;sans-serif" w:hAnsi="Times New Roman;sans-serif"/>
          <w:b w:val="false"/>
          <w:color w:val="000000"/>
          <w:sz w:val="20"/>
          <w:shd w:fill="FFFFFF" w:val="clear"/>
        </w:rPr>
        <w:t xml:space="preserve">of the warrants </w:t>
      </w:r>
      <w:r>
        <w:rPr>
          <w:rFonts w:ascii="Times New Roman;sans-serif" w:hAnsi="Times New Roman;sans-serif"/>
          <w:b w:val="false"/>
          <w:color w:val="000000"/>
          <w:sz w:val="20"/>
        </w:rPr>
        <w:t>for the three and nine months ended September 30, 2024 and 2023.</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Level 3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Stockholders’ Equity</w:t>
      </w:r>
    </w:p>
    <w:p>
      <w:pPr>
        <w:pStyle w:val="TextBody"/>
        <w:bidi w:val="0"/>
        <w:spacing w:lineRule="auto" w:line="345" w:before="180" w:after="100"/>
        <w:ind w:left="0" w:right="0" w:firstLine="360"/>
        <w:jc w:val="both"/>
        <w:rPr/>
      </w:pPr>
      <w:r>
        <w:rPr>
          <w:rFonts w:ascii="Times New Roman;sans-serif" w:hAnsi="Times New Roman;sans-serif"/>
          <w:b w:val="false"/>
          <w:color w:val="222222"/>
          <w:sz w:val="20"/>
        </w:rPr>
        <w:t>P</w:t>
      </w:r>
      <w:r>
        <w:rPr>
          <w:rFonts w:ascii="Times New Roman;sans-serif" w:hAnsi="Times New Roman;sans-serif"/>
          <w:b w:val="false"/>
          <w:color w:val="000000"/>
          <w:sz w:val="20"/>
        </w:rPr>
        <w:t xml:space="preserve">ursuant to the terms of the Company’s Amended and Restated Certificate of Incorporation, the Company authorized and has available for issuance the following shares: </w:t>
      </w:r>
    </w:p>
    <w:p>
      <w:pPr>
        <w:pStyle w:val="TextBody"/>
        <w:bidi w:val="0"/>
        <w:spacing w:lineRule="auto" w:line="345" w:before="18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A-1 Common Stock</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On November 22, 2021, the Company’s Board of Directors approved a share repurchase program of up to $200 million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 As of </w:t>
      </w:r>
      <w:r>
        <w:rPr>
          <w:rFonts w:ascii="Times New Roman;sans-serif" w:hAnsi="Times New Roman;sans-serif"/>
          <w:b w:val="false"/>
          <w:color w:val="000000"/>
          <w:sz w:val="20"/>
          <w:shd w:fill="FFFFFF" w:val="clear"/>
        </w:rPr>
        <w:t>September 30, 2024, the Company acquired a total of 13,495,065 shares under the plan at a total purchase price of $139.5 million, of which 2,085,868 shares at a total purchase price of $21.5 million were acquired during the nine</w:t>
      </w:r>
      <w:r>
        <w:rPr>
          <w:color w:val="000000"/>
        </w:rPr>
        <w:t xml:space="preserve"> </w:t>
      </w:r>
      <w:r>
        <w:rPr>
          <w:rFonts w:ascii="Times New Roman;sans-serif" w:hAnsi="Times New Roman;sans-serif"/>
          <w:b w:val="false"/>
          <w:color w:val="000000"/>
          <w:sz w:val="20"/>
        </w:rPr>
        <w:t>months ended September 30, 2024</w:t>
      </w:r>
      <w:r>
        <w:rPr>
          <w:rFonts w:ascii="Times New Roman;sans-serif" w:hAnsi="Times New Roman;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14. Stock-based Compensation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grants various types of stock-based compensation awards. The Company measures its stock-based compensation expense based on the grant date fair value of the award and recognizes the expense over the requisite service period for the respective award.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Accel Entertainment, Inc. Long Term Incentive Plan, the Company issued 319,731 restricted stock units (“RSUs”) to the Board of Directors and certain eligible employees during the first quarter of 2024, which will vest over a period of 3 to 4 years for employees and by the end of 2024 for the Board of Directors. The Company also issued 149,381 performance-based restricted stock units (“PSUs”) to certain eligible employees during the first quarter of 2024, which will vest after 3 years. The numbers of shares earned upon vesting of the PSUs, if any, is based on the attainment of performance goals over the performance period, subject to continued service, except for employees who are retirement eligible and in certain other limited circumstances. The estimated grant date fair value of these RSUs and PSUs totaled $5.3 million.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403,760 RSUs to certain eligible employees during the second quarter of 2024, which will vest over a period of 1 to 3 years. The estimated grant date fair value of these RSUs totaled $4.0 million.</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184,612 RSUs to certain eligible employees during the third quarter of 2024, which will vest over a period of 3 to 4 years. The estimated grant date fair value of these RSUs totaled $2.1 million.</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Stock-based compensation expense, which pertains to the Company’s stock options, RSUs and PSUs, was $3.3 million and $8.9 million for the three and nine months ended September 30, 2024, respectively. In comparison, stock-based compensation expense was $2.7 million and $7.0 million for the three and nine months ended September 30, 2023, respectively. Stock-based compensation expense is included within </w:t>
      </w:r>
      <w:r>
        <w:rPr>
          <w:rFonts w:ascii="Times New Roman;sans-serif" w:hAnsi="Times New Roman;sans-serif"/>
          <w:b w:val="false"/>
          <w:color w:val="000000"/>
          <w:sz w:val="20"/>
          <w:shd w:fill="FFFFFF" w:val="clear"/>
        </w:rPr>
        <w:t>general and administrative expenses 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15. Income Taxes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income tax expense of $3.6 million and $12.3 million for the three and nine months ended September 30, 2024, respectively. In comparison, the Company recognized income tax expense of $4.6 million and $16.7 million for the three and nine months ended September 30, 2023, respectively.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42.2% and 31.3% for the three and nine months ended September 30, 2024, respectively. In comparison, the Company’s effective tax rate was 30.7% and 36.1% for the three and nine month ended September 30, 2023, respectively. The Company’s effective income tax rate can vary from period to period depending on, among other factors, the amount of permanent tax adjustments and discrete items. The change in the fair value of the contingent earnout shares is considered a discrete item for income tax purposes and was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Commitments and Contingencies</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been involved in a series of related litigated matters stemming from claims that it wrongly contracted with 10 different licensed establishments (the “Defendant Establishments”) in 2012 in violation of the contractual rights held by J&amp;J Ventures Gaming, LLC (“J&amp;J”), as further described below.</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Between May 2017 and September 2017, both the Company and J&amp;J filed petitions with the IGB seeking adjudication of the rights of the parties and the validity of the use agreements. Those petitions were recently adjudicated by the IGB, largely in the Company’s favor, and J&amp;J has filed a new lawsuit to challenge the IGB’s rulings. The Company does not have a present estimate regarding the potential damages, if any, that could potentially be awarded in this litigation and, accordingly, has established no reserves relating to such matters. There are also petitions pending with the IGB which could lead to the Company obtaining new locations.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7, 2019, the Company filed a lawsuit in the Circuit Court of Cook County, Illinois against Rowell and other parties related to Rowell’s breaches of his non-compete agreement with Accel. The Company alleged that Rowell and a competitor were working together to interfere with the Company’s customer relationships. On November 7, 2019, Rowell filed a lawsuit in the Circuit Court of Cook County, Illinois against the Company alleging that he had not received certain equity interests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Company to which he was allegedly entitled under his agreement. On July 18, 2024, the Company and Rowell entered into a settlement agreement pursuant to which the Company paid Rowell $0.1 million in exchange for a mutual release of the Company's claims against Rowell and Rowell's claims against the Company. The litigation involving Action Gaming, J&amp;J, and the other parties, as described above, remains pending.</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 2019, Illinois Gaming Investors, LLC filed a lawsuit against the Company. The lawsuit alleges that a current employee violated his non-competition agreement with Illinois Gaming Investors, LLC, and together with the Company, wrongfully solicited prohibited licensed video gaming locations. The parties settled this dispute in April 2022.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18, 2020, the Company received a disciplinary complaint from the IGB alleging violations of the Video Gaming Act and the IGB’s Adopted Rules for Video Gaming. The disciplinary complaint sought to fine the Company in the amount of $5 million. On July 6, 2023, the IGB and the Company entered into a settlement agreement for $1.1 million of which $1.0 million is the fine for the alleged conduct and $0.1 million is for reimbursement of administrative and investigative costs. The amount was paid in the third quarter of 2023. As a result of the settlement agreement, the Company has agreed to review similar initiatives with the IGB before implementing a new program or making any public announcements, require additional annual training of its employees, and provide additional compliance disclosures to the IGB.</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On April 22, 2022, the Company filed a petition in the Circuit Court of Cook County, Illinois to judicially review the IGB's decision to deny the requested transfer of Gold Rush common stock in respect of the Company’s conversion of the convertible notes. Discovery ensued on these lawsuits but both suits were dismissed with prejudice as a result of the previously mentioned settlement between the Company and Gold Rush on the convertible notes. The Company also withdrew its petition to judicially review the IGB's decision. For more information, see Note 4.</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The Company filed a motion to dismiss Midwest’s amended complaint, which was granted in part and denied in part.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paid an initial penalty to the municipality in October 2022 and for the remaining months of 2022. The Company continued to negotiate with and voluntarily make the appropriate payments to the municipality during 2023 and 2024.</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to stay the order. Currently, the matter remains pending as a result of a motion to consolidate and to finalize the assignment of the judge.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0fa1bbe62dbe4bb4a9e64dc7eff97e26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Accel Entertainment, Inc. and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before="240" w:after="283"/>
        <w:jc w:val="left"/>
        <w:rPr/>
      </w:pPr>
      <w:r>
        <w:rPr/>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results for the nine months ended September 30, 2024 and 2023 included a loss of $0.3 million and $1.4 million, respectively, related to these matters and is included within general and administrative expenses </w:t>
      </w:r>
      <w:r>
        <w:rPr>
          <w:rFonts w:ascii="Times New Roman;sans-serif" w:hAnsi="Times New Roman;sans-serif"/>
          <w:b w:val="false"/>
          <w:color w:val="000000"/>
          <w:sz w:val="20"/>
          <w:shd w:fill="FFFFFF" w:val="clear"/>
        </w:rPr>
        <w:t>in the condensed consolidated statements of operations and other comprehensive incom</w:t>
      </w:r>
      <w:r>
        <w:rPr>
          <w:rFonts w:ascii="Times New Roman;sans-serif" w:hAnsi="Times New Roman;sans-serif"/>
          <w:b w:val="false"/>
          <w:color w:val="000000"/>
          <w:sz w:val="20"/>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 Earnings Per Share</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The components of basic and diluted earnings per share </w:t>
      </w:r>
      <w:r>
        <w:rPr>
          <w:rFonts w:ascii="Times New Roman;sans-serif" w:hAnsi="Times New Roman;sans-serif"/>
          <w:b w:val="false"/>
          <w:color w:val="000000"/>
          <w:sz w:val="20"/>
          <w:shd w:fill="FFFFFF" w:val="clear"/>
        </w:rPr>
        <w:t>(“EPS”)</w:t>
      </w:r>
      <w:r>
        <w:rPr>
          <w:color w:val="000000"/>
        </w:rPr>
        <w:t xml:space="preserve"> </w:t>
      </w:r>
      <w:r>
        <w:rPr>
          <w:rFonts w:ascii="Times New Roman;sans-serif" w:hAnsi="Times New Roman;sans-serif"/>
          <w:b w:val="false"/>
          <w:color w:val="000000"/>
          <w:sz w:val="20"/>
        </w:rPr>
        <w:t>were as follows for the three and nine months ended September 30 (in thousands, except per share amounts):</w:t>
      </w:r>
    </w:p>
    <w:tbl>
      <w:tblPr>
        <w:tblW w:w="10205" w:type="dxa"/>
        <w:jc w:val="center"/>
        <w:tblInd w:w="0" w:type="dxa"/>
        <w:tblLayout w:type="fixed"/>
        <w:tblCellMar>
          <w:top w:w="28" w:type="dxa"/>
          <w:left w:w="28" w:type="dxa"/>
          <w:bottom w:w="28" w:type="dxa"/>
          <w:right w:w="28" w:type="dxa"/>
        </w:tblCellMar>
      </w:tblPr>
      <w:tblGrid>
        <w:gridCol w:w="1849"/>
        <w:gridCol w:w="1625"/>
        <w:gridCol w:w="1645"/>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4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outstanding shares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stock-based awards for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outstanding shares of common stock</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Anti-dilutive stock-based awards, contingent earnout shares and warrants excluded from the calculations of diluted EPS were 4.3 million and 4.4 million shares as of September 30,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those discussed in the section titled “Risk Factors” included in our Annual Report on Form 10-K for the year ended December 31, 2023. This discussion and analysis should also be read in conjunction with “Management’s Discussion and Analysis of Financial Condition and Results of Operations”, set forth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Company Overview</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leading distributed gaming operator in the United States (“U.S.”) and a preferred partner for local business owners in the markets we serve. We offer turnkey, full-service gaming solutions to bars, restaurants, convenience stores, truck stops, and fraternal and veteran establishments across the country. Our focus is providing unmatched customer support, guidance, and expertise so our location partners can grow their businesses with incremental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install, maintain, operate and service gaming terminals and related equipment for our location partners as well as redemption devices that have automated teller machine (“ATM”) functionality and stand-alone ATMs. We offer amusement devices, including jukeboxes, dartboards, pool tables, and other entertainment related equipment. These operations provide a complementary source of lead generation for our gaming business by offering a “one-stop” source of additional equipment for our location partners. We also design and manufacture gaming terminals and related equipment. We are continuously evaluating additional opportunities that are complementary to our core business, such as our pending acquisition of the FanDuel Sportsbook &amp; Horse Racing in Collinsville, Illinois, as discussed in Note 10 to the condensed consolidated financial statements.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operate as a distributed gaming operator in the following states:    </w:t>
      </w:r>
    </w:p>
    <w:tbl>
      <w:tblPr>
        <w:tblW w:w="10205" w:type="dxa"/>
        <w:jc w:val="left"/>
        <w:tblInd w:w="0" w:type="dxa"/>
        <w:tblLayout w:type="fixed"/>
        <w:tblCellMar>
          <w:top w:w="28" w:type="dxa"/>
          <w:left w:w="28" w:type="dxa"/>
          <w:bottom w:w="28" w:type="dxa"/>
          <w:right w:w="28" w:type="dxa"/>
        </w:tblCellMar>
      </w:tblPr>
      <w:tblGrid>
        <w:gridCol w:w="309"/>
        <w:gridCol w:w="271"/>
        <w:gridCol w:w="276"/>
        <w:gridCol w:w="109"/>
        <w:gridCol w:w="109"/>
        <w:gridCol w:w="109"/>
        <w:gridCol w:w="603"/>
        <w:gridCol w:w="603"/>
        <w:gridCol w:w="604"/>
        <w:gridCol w:w="109"/>
        <w:gridCol w:w="109"/>
        <w:gridCol w:w="109"/>
        <w:gridCol w:w="708"/>
        <w:gridCol w:w="708"/>
        <w:gridCol w:w="714"/>
        <w:gridCol w:w="109"/>
        <w:gridCol w:w="109"/>
        <w:gridCol w:w="109"/>
        <w:gridCol w:w="1293"/>
        <w:gridCol w:w="1293"/>
        <w:gridCol w:w="1842"/>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Operations Started or Year of Acquisition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Branding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Operations</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ind w:left="0" w:right="0" w:hanging="180"/>
              <w:jc w:val="left"/>
              <w:rPr/>
            </w:pPr>
            <w:r>
              <w:rPr>
                <w:color w:val="000000"/>
              </w:rPr>
              <w:t>•</w:t>
            </w:r>
            <w:r>
              <w:rPr>
                <w:rFonts w:ascii="Times New Roman;sans-serif" w:hAnsi="Times New Roman;sans-serif"/>
                <w:b w:val="false"/>
                <w:color w:val="000000"/>
                <w:sz w:val="20"/>
              </w:rPr>
              <w:t>Establishments with a liquor license (Up to 6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Bars/restaurants/retail</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Gaming cafes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Fraternal organizations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Veterans’ organizations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Truck stops (Up to 6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Large truck stops (Up to 10 gaming terminals)</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Business locations licensed to sell alcoholic beverages for on-premises consumption only, including locations restricted to offering a maximum of 20 gaming terminals</w:t>
            </w:r>
          </w:p>
        </w:tc>
      </w:tr>
      <w:tr>
        <w:trPr/>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Vision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Designs and manufactures gaming terminals and software that are sold to Montana, South Dakota, West Virginia, and Louisiana</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Develops proprietary gaming terminals and related software as well as other ancillary equipment for our distributed gaming routes in Montana, Nevada, Nebraska and Georgia</w:t>
            </w:r>
          </w:p>
        </w:tc>
      </w:tr>
      <w:tr>
        <w:trPr/>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Yellowstone Casino and other local retail/parlor 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Retail gaming locations licensed to sell alcoholic beverages and offering a maximum of 20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Certain locations have attractive food offerings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Currently, we have five parlor locations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38"/>
        <w:gridCol w:w="383"/>
        <w:gridCol w:w="395"/>
        <w:gridCol w:w="109"/>
        <w:gridCol w:w="109"/>
        <w:gridCol w:w="109"/>
        <w:gridCol w:w="600"/>
        <w:gridCol w:w="600"/>
        <w:gridCol w:w="602"/>
        <w:gridCol w:w="109"/>
        <w:gridCol w:w="109"/>
        <w:gridCol w:w="109"/>
        <w:gridCol w:w="509"/>
        <w:gridCol w:w="499"/>
        <w:gridCol w:w="375"/>
        <w:gridCol w:w="109"/>
        <w:gridCol w:w="109"/>
        <w:gridCol w:w="109"/>
        <w:gridCol w:w="1451"/>
        <w:gridCol w:w="1394"/>
        <w:gridCol w:w="1978"/>
      </w:tblGrid>
      <w:tr>
        <w:trPr/>
        <w:tc>
          <w:tcPr>
            <w:tcW w:w="43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Operations Started or Year of Acquisition</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Branding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Operations</w:t>
            </w:r>
          </w:p>
        </w:tc>
      </w:tr>
      <w:tr>
        <w:trPr/>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Century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Non-casino locations where gaming is incidental to the primary business being conducted at the location, including:</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Grocery/drug/convenience stores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Bars/restaurants/taverns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Liquor stores </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Games are generally limited to 15 or fewer gaming terminals with no other forms of gaming activity permitted</w:t>
            </w:r>
          </w:p>
        </w:tc>
      </w:tr>
      <w:tr>
        <w:trPr/>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cash devices in retail locations throughout the state</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Retail establishments include any business location that is open to the public for the sale of goods other than gaming terminals and that possesses a valid sales tax permit</w:t>
            </w:r>
          </w:p>
        </w:tc>
      </w:tr>
      <w:tr>
        <w:trPr/>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Bulldog 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shd w:fill="FFFFFF" w:val="clear"/>
              </w:rPr>
              <w:t>•</w:t>
            </w:r>
            <w:r>
              <w:rPr>
                <w:rFonts w:ascii="Times New Roman;sans-serif" w:hAnsi="Times New Roman;sans-serif"/>
                <w:b w:val="false"/>
                <w:color w:val="000000"/>
                <w:sz w:val="20"/>
              </w:rPr>
              <w:t>Operate gaming terminals which are skill-based coin-operated amusement machines with winnings paid in points that may be redeemed for noncash merchandise, prizes, toys, gift cards, or novelties</w:t>
            </w:r>
          </w:p>
        </w:tc>
      </w:tr>
      <w:tr>
        <w:trPr/>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amusement concessions, including games of chance and games of skill, which we define as gaming terminals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Bars, taverns, and restaurants with a certain class of liquor license are permitted to operate up to four electrical or mechanical games of chance</w:t>
            </w:r>
          </w:p>
        </w:tc>
      </w:tr>
      <w:tr>
        <w:trPr/>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Operate gaming terminals at qualified truck stops</w:t>
            </w:r>
          </w:p>
          <w:p>
            <w:pPr>
              <w:pStyle w:val="TableContents"/>
              <w:bidi w:val="0"/>
              <w:spacing w:lineRule="auto" w:line="240" w:before="0" w:after="0"/>
              <w:ind w:left="0" w:right="0" w:hanging="180"/>
              <w:jc w:val="left"/>
              <w:rPr/>
            </w:pPr>
            <w:r>
              <w:rPr>
                <w:color w:val="000000"/>
              </w:rPr>
              <w:t>•</w:t>
            </w:r>
            <w:r>
              <w:rPr>
                <w:rFonts w:ascii="Times New Roman;sans-serif" w:hAnsi="Times New Roman;sans-serif"/>
                <w:b w:val="false"/>
                <w:color w:val="000000"/>
                <w:sz w:val="20"/>
              </w:rPr>
              <w:t xml:space="preserve">We are live with a partner truck stop </w:t>
            </w:r>
          </w:p>
        </w:tc>
      </w:tr>
    </w:tbl>
    <w:p>
      <w:pPr>
        <w:pStyle w:val="TextBody"/>
        <w:bidi w:val="0"/>
        <w:spacing w:before="0" w:after="0"/>
        <w:ind w:left="0" w:right="0" w:firstLine="90"/>
        <w:jc w:val="left"/>
        <w:rPr/>
      </w:pPr>
      <w:r>
        <w:rPr/>
      </w:r>
    </w:p>
    <w:p>
      <w:pPr>
        <w:pStyle w:val="TextBody"/>
        <w:bidi w:val="0"/>
        <w:spacing w:lineRule="auto" w:line="288" w:before="0" w:after="0"/>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 xml:space="preserve">Macroeconomic Factors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Ongoing interest rate uncertainty, persistent inflation and actual or perceived instability in the U.S. and global banking systems may increase the risk of an economic recession and volatility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not observed material impacts in our business or outlook, outside of observed increases in our costs related to higher wages and increased interest expense on our debt. In 2023 and the first half of 2024, we accelerated certain of our capital expenditures related to gaming machines and related components to manage our supply chain. </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monitor macroeconomic conditions closely and may determine to take certain financial or operational actions in response to such conditions to the extent our business begins to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Components of Performance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revenues</w:t>
      </w:r>
    </w:p>
    <w:p>
      <w:pPr>
        <w:pStyle w:val="TextBody"/>
        <w:bidi w:val="0"/>
        <w:spacing w:lineRule="auto" w:line="345" w:before="160" w:after="283"/>
        <w:jc w:val="both"/>
        <w:rPr/>
      </w:pPr>
      <w:r>
        <w:rPr>
          <w:rFonts w:ascii="Times New Roman;sans-serif" w:hAnsi="Times New Roman;sans-serif"/>
          <w:b w:val="false"/>
          <w:i/>
          <w:color w:val="000000"/>
          <w:sz w:val="20"/>
          <w:shd w:fill="FFFFFF" w:val="clear"/>
        </w:rPr>
        <w:t xml:space="preserve">Net gaming. </w:t>
      </w:r>
      <w:r>
        <w:rPr>
          <w:rFonts w:ascii="Times New Roman;sans-serif" w:hAnsi="Times New Roman;sans-serif"/>
          <w:b w:val="false"/>
          <w:color w:val="000000"/>
          <w:sz w:val="20"/>
          <w:shd w:fill="FFFFFF" w:val="clear"/>
        </w:rPr>
        <w:t xml:space="preserve">Net gaming revenue represents net cash received from gaming activities, which is the difference between gaming wins and losses. Net gaming revenue includes the amounts earned by our </w:t>
      </w:r>
      <w:r>
        <w:rPr>
          <w:rFonts w:ascii="Times New Roman;sans-serif" w:hAnsi="Times New Roman;sans-serif"/>
          <w:b w:val="false"/>
          <w:color w:val="000000"/>
          <w:sz w:val="20"/>
        </w:rPr>
        <w:t>location</w:t>
      </w:r>
      <w:r>
        <w:rPr>
          <w:color w:val="000000"/>
          <w:shd w:fill="FFFFFF" w:val="clear"/>
        </w:rPr>
        <w:t xml:space="preserve"> </w:t>
      </w:r>
      <w:r>
        <w:rPr>
          <w:rFonts w:ascii="Times New Roman;sans-serif" w:hAnsi="Times New Roman;sans-serif"/>
          <w:b w:val="false"/>
          <w:color w:val="000000"/>
          <w:sz w:val="20"/>
          <w:shd w:fill="FFFFFF" w:val="clear"/>
        </w:rPr>
        <w:t>partners and is recognized at the time of gaming play.</w:t>
      </w:r>
    </w:p>
    <w:p>
      <w:pPr>
        <w:pStyle w:val="TextBody"/>
        <w:bidi w:val="0"/>
        <w:spacing w:lineRule="auto" w:line="345" w:before="160" w:after="283"/>
        <w:jc w:val="both"/>
        <w:rPr/>
      </w:pPr>
      <w:r>
        <w:rPr>
          <w:rFonts w:ascii="Times New Roman;sans-serif" w:hAnsi="Times New Roman;sans-serif"/>
          <w:b w:val="false"/>
          <w:i/>
          <w:color w:val="000000"/>
          <w:sz w:val="20"/>
        </w:rPr>
        <w:t xml:space="preserve">Amusement. </w:t>
      </w:r>
      <w:r>
        <w:rPr>
          <w:rFonts w:ascii="Times New Roman;sans-serif" w:hAnsi="Times New Roman;sans-serif"/>
          <w:b w:val="false"/>
          <w:color w:val="000000"/>
          <w:sz w:val="20"/>
        </w:rPr>
        <w:t>Amusement revenue represents amounts collected from amusement devices operated at various location</w:t>
      </w:r>
      <w:r>
        <w:rPr>
          <w:color w:val="000000"/>
          <w:shd w:fill="FFFFFF" w:val="clear"/>
        </w:rPr>
        <w:t xml:space="preserve"> </w:t>
      </w:r>
      <w:r>
        <w:rPr>
          <w:rFonts w:ascii="Times New Roman;sans-serif" w:hAnsi="Times New Roman;sans-serif"/>
          <w:b w:val="false"/>
          <w:color w:val="000000"/>
          <w:sz w:val="20"/>
          <w:shd w:fill="FFFFFF" w:val="clear"/>
        </w:rPr>
        <w:t>partners</w:t>
      </w:r>
      <w:r>
        <w:rPr>
          <w:color w:val="000000"/>
        </w:rPr>
        <w:t xml:space="preserve"> </w:t>
      </w:r>
      <w:r>
        <w:rPr>
          <w:rFonts w:ascii="Times New Roman;sans-serif" w:hAnsi="Times New Roman;sans-serif"/>
          <w:b w:val="false"/>
          <w:color w:val="000000"/>
          <w:sz w:val="20"/>
        </w:rPr>
        <w:t>and is recognized at the point the amusement device is used.</w:t>
      </w:r>
    </w:p>
    <w:p>
      <w:pPr>
        <w:pStyle w:val="TextBody"/>
        <w:bidi w:val="0"/>
        <w:spacing w:lineRule="auto" w:line="345" w:before="160" w:after="283"/>
        <w:jc w:val="both"/>
        <w:rPr/>
      </w:pPr>
      <w:r>
        <w:rPr>
          <w:rFonts w:ascii="Times New Roman;sans-serif" w:hAnsi="Times New Roman;sans-serif"/>
          <w:b w:val="false"/>
          <w:i/>
          <w:color w:val="000000"/>
          <w:sz w:val="20"/>
        </w:rPr>
        <w:t xml:space="preserve">Manufacturing. </w:t>
      </w:r>
      <w:r>
        <w:rPr>
          <w:rFonts w:ascii="Times New Roman;sans-serif" w:hAnsi="Times New Roman;sans-serif"/>
          <w:b w:val="false"/>
          <w:color w:val="000000"/>
          <w:sz w:val="20"/>
        </w:rPr>
        <w:t>Manufacturing revenue represents sales of gaming terminals and software as well as other ancillary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pPr>
      <w:r>
        <w:rPr>
          <w:rFonts w:ascii="Times New Roman;sans-serif" w:hAnsi="Times New Roman;sans-serif"/>
          <w:b w:val="false"/>
          <w:i/>
          <w:color w:val="000000"/>
          <w:sz w:val="20"/>
        </w:rPr>
        <w:t xml:space="preserve">ATM fees and other. </w:t>
      </w:r>
      <w:r>
        <w:rPr>
          <w:rFonts w:ascii="Times New Roman;sans-serif" w:hAnsi="Times New Roman;sans-serif"/>
          <w:b w:val="false"/>
          <w:color w:val="000000"/>
          <w:sz w:val="20"/>
        </w:rPr>
        <w:t>ATM fees and other primarily represents fees charged for the withdrawal of funds from our redemption devices and stand-alone ATMs and is recognized at the time of the ATM transaction.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expenses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revenue. </w:t>
      </w:r>
      <w:r>
        <w:rPr>
          <w:rFonts w:ascii="Times New Roman;sans-serif" w:hAnsi="Times New Roman;sans-serif"/>
          <w:b w:val="false"/>
          <w:color w:val="000000"/>
          <w:sz w:val="20"/>
        </w:rPr>
        <w:t>Cost of revenue consists of (i) taxes on net gaming revenue that is payable to the appropriate jurisdiction (effective July 1, 2024, the tax on net gaming revenue in the State of Illinois increased from 34% to 35%, which is split equally between us and our locations in Illinois), (ii) licenses, permits and other fees required for the operation of gaming terminals and other equipment, (iii) location revenue share, which is governed by local governing bodies and location contracts, (iv) ATM and amusement commissions payable to locations, and (v) ATM and amusement fees.</w:t>
      </w:r>
    </w:p>
    <w:p>
      <w:pPr>
        <w:pStyle w:val="TextBody"/>
        <w:bidi w:val="0"/>
        <w:spacing w:lineRule="auto" w:line="345" w:before="160" w:after="283"/>
        <w:jc w:val="both"/>
        <w:rPr/>
      </w:pPr>
      <w:r>
        <w:rPr>
          <w:rFonts w:ascii="Times New Roman;sans-serif" w:hAnsi="Times New Roman;sans-serif"/>
          <w:b w:val="false"/>
          <w:i/>
          <w:color w:val="000000"/>
          <w:sz w:val="20"/>
        </w:rPr>
        <w:t xml:space="preserve">Cost of manufacturing goods sold. </w:t>
      </w:r>
      <w:r>
        <w:rPr>
          <w:rFonts w:ascii="Times New Roman;sans-serif" w:hAnsi="Times New Roman;sans-serif"/>
          <w:b w:val="false"/>
          <w:color w:val="000000"/>
          <w:sz w:val="20"/>
        </w:rPr>
        <w:t>Cost of manufacturing goods sold consists of costs associated with the sale of gaming terminals and software as well as other ancillary equipment.</w:t>
      </w:r>
    </w:p>
    <w:p>
      <w:pPr>
        <w:pStyle w:val="TextBody"/>
        <w:bidi w:val="0"/>
        <w:spacing w:lineRule="auto" w:line="345" w:before="160" w:after="283"/>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expenses consist of operating expense and general and administrative expense. 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General and administrative expense includes payroll and related expense for account managers, business development managers, marketing, and other corporate personnel. In addition, general and administrative expense also includes marketing, information technology, insurance, rent and professional fees.</w:t>
      </w:r>
    </w:p>
    <w:p>
      <w:pPr>
        <w:pStyle w:val="TextBody"/>
        <w:bidi w:val="0"/>
        <w:spacing w:lineRule="auto" w:line="345" w:before="160" w:after="283"/>
        <w:jc w:val="both"/>
        <w:rPr/>
      </w:pPr>
      <w:r>
        <w:rPr>
          <w:rFonts w:ascii="Times New Roman;sans-serif" w:hAnsi="Times New Roman;sans-serif"/>
          <w:b w:val="false"/>
          <w:i/>
          <w:color w:val="000000"/>
          <w:sz w:val="20"/>
        </w:rPr>
        <w:t xml:space="preserve">Depreciation and amortization of property and equipment. </w:t>
      </w:r>
      <w:r>
        <w:rPr>
          <w:rFonts w:ascii="Times New Roman;sans-serif" w:hAnsi="Times New Roman;sans-serif"/>
          <w:b w:val="false"/>
          <w:color w:val="000000"/>
          <w:sz w:val="20"/>
        </w:rPr>
        <w:t xml:space="preserve">Depreciation is computed using the straight-line method over the estimated useful lives of the individual assets. Leasehold improvements are amortized over the shorter of the useful life or the lease. </w:t>
      </w:r>
    </w:p>
    <w:p>
      <w:pPr>
        <w:pStyle w:val="TextBody"/>
        <w:bidi w:val="0"/>
        <w:spacing w:lineRule="auto" w:line="345" w:before="160" w:after="283"/>
        <w:jc w:val="both"/>
        <w:rPr/>
      </w:pPr>
      <w:r>
        <w:rPr>
          <w:rFonts w:ascii="Times New Roman;sans-serif" w:hAnsi="Times New Roman;sans-serif"/>
          <w:b w:val="false"/>
          <w:i/>
          <w:color w:val="000000"/>
          <w:sz w:val="20"/>
        </w:rPr>
        <w:t xml:space="preserve">Amortization of intangible assets and route and customer acquisition costs. </w:t>
      </w:r>
      <w:r>
        <w:rPr>
          <w:rFonts w:ascii="Times New Roman;sans-serif" w:hAnsi="Times New Roman;sans-serif"/>
          <w:b w:val="false"/>
          <w:color w:val="000000"/>
          <w:sz w:val="20"/>
        </w:rPr>
        <w:t>Route and customer acquisition costs consist of fees paid at the inception of contracts entered into with third parties and our gaming locations, which allows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Location contracts acquired in a business combination are recorded at fair value and then amortized as an intangible asset on a straight-line basis over the expected useful life of 15 years.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intangible assets acquired in a business acquisition are recorded at fair value and then amortized as an intangible asset on a straight-line basis over their estimated 7 to 20-year useful lives.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expense, net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consists of interest on our current credit facilities, amortization of financing fees, accretion of interest on route and customer acquisition costs payable, and interest (income) expense on the interest rate caplets. Interest on the current credit facility is payable monthly on unpaid balances at the variable per annum LIBOR/SOFR rate plus an applicable margin, as defined under the terms of the credit facility, ranging from 1.75% to 2.75% depending on the first lien net leverage ratio.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Income tax expense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consists mainly of taxes payable to federal, state and local authorities. Deferred income taxes are recognized for the tax consequences of temporary differences between the financial statement carrying amounts and the tax basis of the assets and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345" w:before="240" w:after="283"/>
        <w:ind w:left="0" w:right="0" w:firstLine="360"/>
        <w:jc w:val="left"/>
        <w:rPr/>
      </w:pPr>
      <w:r>
        <w:rPr>
          <w:rFonts w:ascii="Times New Roman;sans-serif" w:hAnsi="Times New Roman;sans-serif"/>
          <w:b w:val="false"/>
          <w:color w:val="000000"/>
          <w:sz w:val="20"/>
          <w:shd w:fill="FFFFFF" w:val="clear"/>
        </w:rPr>
        <w:t>The following table summarizes our results of operations on a consolidated basis for the three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shd w:fill="FFFFFF" w:val="clear"/>
        </w:rPr>
        <w:t>September 30, 2024 and 2023:</w:t>
      </w:r>
    </w:p>
    <w:tbl>
      <w:tblPr>
        <w:tblW w:w="10205" w:type="dxa"/>
        <w:jc w:val="center"/>
        <w:tblInd w:w="0" w:type="dxa"/>
        <w:tblLayout w:type="fixed"/>
        <w:tblCellMar>
          <w:top w:w="28" w:type="dxa"/>
          <w:left w:w="28" w:type="dxa"/>
          <w:bottom w:w="28" w:type="dxa"/>
          <w:right w:w="28" w:type="dxa"/>
        </w:tblCellMar>
      </w:tblPr>
      <w:tblGrid>
        <w:gridCol w:w="1833"/>
        <w:gridCol w:w="1428"/>
        <w:gridCol w:w="143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43"/>
        <w:gridCol w:w="273"/>
        <w:gridCol w:w="576"/>
      </w:tblGrid>
      <w:tr>
        <w:trPr/>
        <w:tc>
          <w:tcPr>
            <w:tcW w:w="183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revenues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revenues for the three months ended September 30, 2024 were $302.2 million, an increase of $14.7 million, or 5.1%, compared to the prior-year period. This increase was primarily driven by higher net gaming revenue of $15.8 million, which reflected an increase in gaming locations and terminals. Manufacturing revenue was $1.7 million, a decrease of $1.6 million, or 48.9%, compared to the prior-year period due to lower equipment sales. Net revenues by state are presented below (in thousands):</w:t>
      </w:r>
    </w:p>
    <w:tbl>
      <w:tblPr>
        <w:tblW w:w="7480"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95"/>
        <w:gridCol w:w="235"/>
        <w:gridCol w:w="685"/>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for the three months ended September 30, 2024 was $210.8 million, an increase of $12.1 million, or 6.1%, compared to the prior-year period, driven by higher net gaming revenue,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manufacturing goods sold</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for the three months ended September 30, 2024 was $1.0 million, a decrease of $1.1 million, or 53.4%, compared to the prior-year period driven by lower equipment sales,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for the three months ended September 30, 2024 were $47.9 million, an increase of $2.7 million, or 6.1%, compared to the prior-year period. The increase was attributable to higher payroll-related costs, as we continue to grow our operations, as well as higher stock-based compensation expense, partially offset by lower parts and repair expense.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 for the three months ended September 30, 2024 was $11.0 million, an increase of $1.6 million, or 17.0%, compared to the prior-year period due to an increased number of gaming terminals.</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 for the three months ended September 30, 2024 were $5.8 million, an increase of $0.5 million, or 9.1%, compared to the prior-year period.</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net for the three months ended September 30, 2024 were $3.9 million, an increase of $2.2 million, or 129.9%, compared to the prior-year period. The increase was primarily attributable to higher fair value adjustments associated with the revaluation of contingent consideration liabilities and higher non-recurring expenses related to acquisitions.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Interest expense, net for the three months ended September 30, 2024 was $9.2 million, an increase of $0.7 million, or 8.9%, compared to the prior-year period primarily due to an increase in average outstanding debt, partially offset by the benefit realized on our interest rate caplets. For the three months ended September 30, 2024, the weighted average interest rate, excluding the impact of our interest rate caplets, was approximately 7.6% for both periods</w:t>
      </w:r>
      <w:r>
        <w:rPr>
          <w:rFonts w:ascii="Times New Roman;sans-serif" w:hAnsi="Times New Roman;sans-serif"/>
          <w:b w:val="false"/>
          <w:color w:val="000000"/>
          <w:sz w:val="20"/>
          <w:shd w:fill="FFFFFF" w:val="clear"/>
        </w:rPr>
        <w:t>.</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change in fair value of contingent earnout shares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The change in the fair value of contingent earnout shares for the three months ended September 30, 2024 was a loss of $4.2 million, compared to a loss of $1.6 million the prior-</w:t>
      </w:r>
      <w:r>
        <w:rPr>
          <w:rFonts w:ascii="Times New Roman;sans-serif" w:hAnsi="Times New Roman;sans-serif"/>
          <w:b w:val="false"/>
          <w:color w:val="000000"/>
          <w:sz w:val="20"/>
          <w:shd w:fill="FFFFFF" w:val="clear"/>
        </w:rPr>
        <w:t xml:space="preserve">year period. </w:t>
      </w:r>
      <w:r>
        <w:rPr>
          <w:rFonts w:ascii="Times New Roman;sans-serif" w:hAnsi="Times New Roman;sans-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three months ended September 30, 2024 was $3.6 million, a decrease of $1.1 million, or 22.9%, compared to the prior-year period. The effective tax rate for the three months ended September 30, 2024 was 42.2% compared to 30.7%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pStyle w:val="TextBody"/>
        <w:bidi w:val="0"/>
        <w:spacing w:before="16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240" w:after="283"/>
        <w:ind w:left="0" w:right="0" w:firstLine="360"/>
        <w:jc w:val="left"/>
        <w:rPr/>
      </w:pPr>
      <w:r>
        <w:rPr>
          <w:rFonts w:ascii="Times New Roman;sans-serif" w:hAnsi="Times New Roman;sans-serif"/>
          <w:b w:val="false"/>
          <w:color w:val="000000"/>
          <w:sz w:val="20"/>
          <w:shd w:fill="FFFFFF" w:val="clear"/>
        </w:rPr>
        <w:t xml:space="preserve">The following table summarizes our results of operations on a consolidated basis for the </w:t>
      </w:r>
      <w:r>
        <w:rPr>
          <w:rFonts w:ascii="Times New Roman;sans-serif" w:hAnsi="Times New Roman;sans-serif"/>
          <w:b w:val="false"/>
          <w:color w:val="000000"/>
          <w:sz w:val="20"/>
        </w:rPr>
        <w:t xml:space="preserve">nine months ended </w:t>
      </w:r>
      <w:r>
        <w:rPr>
          <w:rFonts w:ascii="Times New Roman;sans-serif" w:hAnsi="Times New Roman;sans-serif"/>
          <w:b w:val="false"/>
          <w:color w:val="000000"/>
          <w:sz w:val="20"/>
          <w:shd w:fill="FFFFFF" w:val="clear"/>
        </w:rPr>
        <w:t>September 30, 2024 and 2023:</w:t>
      </w:r>
    </w:p>
    <w:tbl>
      <w:tblPr>
        <w:tblW w:w="10205" w:type="dxa"/>
        <w:jc w:val="center"/>
        <w:tblInd w:w="0" w:type="dxa"/>
        <w:tblLayout w:type="fixed"/>
        <w:tblCellMar>
          <w:top w:w="28" w:type="dxa"/>
          <w:left w:w="28" w:type="dxa"/>
          <w:bottom w:w="28" w:type="dxa"/>
          <w:right w:w="28" w:type="dxa"/>
        </w:tblCellMar>
      </w:tblPr>
      <w:tblGrid>
        <w:gridCol w:w="1833"/>
        <w:gridCol w:w="1428"/>
        <w:gridCol w:w="143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43"/>
        <w:gridCol w:w="273"/>
        <w:gridCol w:w="576"/>
      </w:tblGrid>
      <w:tr>
        <w:trPr/>
        <w:tc>
          <w:tcPr>
            <w:tcW w:w="183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%'s)</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4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gaming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fees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 expense shown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(exclusive of depreciation and amortization expense shown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172.1 </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change in fair value of contingent earnout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revenues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net revenues for the nine months ended September 30, 2024 were $913.5 million, an increase of $40.1 million, or 4.6%, compared to the prior-year period. This increase was primarily driven by higher net gaming revenue of $40.2 million, which reflected an increase in gaming locations and terminals. Net revenues by state are presented below (in thousands):</w:t>
      </w:r>
    </w:p>
    <w:tbl>
      <w:tblPr>
        <w:tblW w:w="7475" w:type="dxa"/>
        <w:jc w:val="center"/>
        <w:tblInd w:w="0" w:type="dxa"/>
        <w:tblLayout w:type="fixed"/>
        <w:tblCellMar>
          <w:top w:w="28" w:type="dxa"/>
          <w:left w:w="28" w:type="dxa"/>
          <w:bottom w:w="28" w:type="dxa"/>
          <w:right w:w="28" w:type="dxa"/>
        </w:tblCellMar>
      </w:tblPr>
      <w:tblGrid>
        <w:gridCol w:w="707"/>
        <w:gridCol w:w="621"/>
        <w:gridCol w:w="622"/>
        <w:gridCol w:w="211"/>
        <w:gridCol w:w="826"/>
        <w:gridCol w:w="109"/>
        <w:gridCol w:w="109"/>
        <w:gridCol w:w="109"/>
        <w:gridCol w:w="109"/>
        <w:gridCol w:w="211"/>
        <w:gridCol w:w="826"/>
        <w:gridCol w:w="109"/>
        <w:gridCol w:w="109"/>
        <w:gridCol w:w="109"/>
        <w:gridCol w:w="109"/>
        <w:gridCol w:w="211"/>
        <w:gridCol w:w="722"/>
        <w:gridCol w:w="109"/>
        <w:gridCol w:w="109"/>
        <w:gridCol w:w="109"/>
        <w:gridCol w:w="109"/>
        <w:gridCol w:w="285"/>
        <w:gridCol w:w="240"/>
        <w:gridCol w:w="685"/>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revenues by 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6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45"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for the nine months ended September 30, 2024 was $633.3 million, an increase of $28.7 million, or 4.8%, compared to the prior-year period, driven by higher net gaming revenue, as described above.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manufacturing goods sold</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manufacturing goods sold for the nine months ended September 30, 2024 was $5.3 million, a decrease of $0.3 million, or 6.1%, compared to the prior-year period primarily due to lower manufacturing revenue.</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for the nine months ended September 30, 2024 were $142.1 million, an increase of $9.7 million, or 7.3%, compared to the prior-year period. The increase was attributable to higher payroll-related costs, as we continue to grow our operations, as well as higher stock-based compensation expense, partially offset by lower legal settlements and lower parts and repair expense.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 of property and equipment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 for the nine months ended September 30, 2024 was $32.2 million, an increase of $4.3 million, or 15.5%, compared to the prior-year period due to an increased number of gaming terminals.</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of intangible assets and route and customer acquisition costs</w:t>
      </w:r>
    </w:p>
    <w:p>
      <w:pPr>
        <w:pStyle w:val="TextBody"/>
        <w:bidi w:val="0"/>
        <w:spacing w:lineRule="auto" w:line="345" w:before="1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 for the nine months ended September 30, 2024 were $16.8 million, an increase of $1.0 million, or 6.2%, compared to the prior-year period.</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 net</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net for the nine months ended September 30, 2024 were $13.6 million, an increase of $8.6 million, or 172.1%, compared to the prior-year period. The increase was primarily attributable to higher fair value adjustments associated with the revaluation of contingent consideration liabilities and higher non-recurring expenses related to acquisitions, as well as the impact of a $1.7 million gain recognized in the prior-year period on the convertible note settlement as discussed in Note 4 to the condensed consolidated financial statements.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Interest expense, net for the nine months ended September 30, 2024 was $26.7 million, an increase of $2.2 million, or 8.9%, compared to the prior-year period primarily due to an increase in average outstanding debt and higher interest rates, partially offset by the benefit realized on our interest rate caplets. For the nine months ended September 30, 2024, the weighted average interest rate, excluding the impact of our interest rate caplets, was approximately 7.6% compared to a rate of approximately 7.2% for the prior-year period</w:t>
      </w:r>
      <w:r>
        <w:rPr>
          <w:rFonts w:ascii="Times New Roman;sans-serif" w:hAnsi="Times New Roman;sans-serif"/>
          <w:b w:val="false"/>
          <w:color w:val="000000"/>
          <w:sz w:val="20"/>
          <w:shd w:fill="FFFFFF" w:val="clear"/>
        </w:rPr>
        <w:t>.</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change in fair value of contingent earnout shares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The change in the fair value of contingent earnout shares for the nine months ended September 30, 2024 was a loss of $4.2 million, compared to a loss of $11.1 million the prior-</w:t>
      </w:r>
      <w:r>
        <w:rPr>
          <w:rFonts w:ascii="Times New Roman;sans-serif" w:hAnsi="Times New Roman;sans-serif"/>
          <w:b w:val="false"/>
          <w:color w:val="000000"/>
          <w:sz w:val="20"/>
          <w:shd w:fill="FFFFFF" w:val="clear"/>
        </w:rPr>
        <w:t xml:space="preserve">year period. </w:t>
      </w:r>
      <w:r>
        <w:rPr>
          <w:rFonts w:ascii="Times New Roman;sans-serif" w:hAnsi="Times New Roman;sans-serif"/>
          <w:b w:val="false"/>
          <w:color w:val="000000"/>
          <w:sz w:val="20"/>
        </w:rPr>
        <w:t xml:space="preserve">The change was primarily due to the change in the market value of our Class A-1 common stock, which is the primary input to the valuation of the contingent earnout shares. </w:t>
      </w:r>
    </w:p>
    <w:p>
      <w:pPr>
        <w:pStyle w:val="TextBody"/>
        <w:bidi w:val="0"/>
        <w:spacing w:lineRule="auto" w:line="345"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nine months ended September 30, 2024 was $12.3 million, a decrease of $4.5 million, or 26.7%, compared to the prior-year period. The effective tax rate for the nine months ended September 30, 2024 was 31.3% compared to 36.1% in the prior-year period. Our effective income tax rate can vary from period to period depending on, among other factors, the amount of permanent tax adjustments and discrete items. The change in the fair value of the contingent earnout shares is considered a discrete item for tax purposes and can be the primary driver for the fluctuations in the tax rate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Key Business Metrics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locations and;</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Number of gaming terminals</w:t>
      </w:r>
    </w:p>
    <w:p>
      <w:pPr>
        <w:pStyle w:val="TextBody"/>
        <w:bidi w:val="0"/>
        <w:spacing w:lineRule="auto" w:line="345" w:before="160" w:after="283"/>
        <w:ind w:left="0" w:right="0" w:firstLine="360"/>
        <w:jc w:val="both"/>
        <w:rPr/>
      </w:pPr>
      <w:r>
        <w:rPr>
          <w:color w:val="000000"/>
        </w:rPr>
        <w:t>•</w:t>
      </w:r>
      <w:r>
        <w:rPr>
          <w:rFonts w:ascii="Times New Roman;sans-serif" w:hAnsi="Times New Roman;sans-serif"/>
          <w:b w:val="false"/>
          <w:color w:val="000000"/>
          <w:sz w:val="20"/>
        </w:rPr>
        <w:t>Location hold-per-day</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periodically review and revise our key business metrics to reflect changes in our business.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Number of locations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locations is based on a combination of third-party portal data and data from our internal systems. We utilize this metric to continually monitor growth from existing locations, organic openings, purchased locations, and competitor conversions. Competitor conversions occur when a location chooses to change terminal operators.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our primary locations:</w:t>
      </w:r>
    </w:p>
    <w:tbl>
      <w:tblPr>
        <w:tblW w:w="5901" w:type="dxa"/>
        <w:jc w:val="center"/>
        <w:tblInd w:w="0" w:type="dxa"/>
        <w:tblLayout w:type="fixed"/>
        <w:tblCellMar>
          <w:top w:w="28" w:type="dxa"/>
          <w:left w:w="28" w:type="dxa"/>
          <w:bottom w:w="28" w:type="dxa"/>
          <w:right w:w="28" w:type="dxa"/>
        </w:tblCellMar>
      </w:tblPr>
      <w:tblGrid>
        <w:gridCol w:w="314"/>
        <w:gridCol w:w="276"/>
        <w:gridCol w:w="281"/>
        <w:gridCol w:w="308"/>
        <w:gridCol w:w="308"/>
        <w:gridCol w:w="195"/>
        <w:gridCol w:w="195"/>
        <w:gridCol w:w="195"/>
        <w:gridCol w:w="195"/>
        <w:gridCol w:w="308"/>
        <w:gridCol w:w="308"/>
        <w:gridCol w:w="207"/>
        <w:gridCol w:w="109"/>
        <w:gridCol w:w="109"/>
        <w:gridCol w:w="109"/>
        <w:gridCol w:w="250"/>
        <w:gridCol w:w="250"/>
        <w:gridCol w:w="251"/>
        <w:gridCol w:w="174"/>
        <w:gridCol w:w="174"/>
        <w:gridCol w:w="174"/>
        <w:gridCol w:w="292"/>
        <w:gridCol w:w="235"/>
        <w:gridCol w:w="684"/>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6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Number of gaming terminals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the number of gaming terminals in our primary locations:</w:t>
      </w:r>
    </w:p>
    <w:tbl>
      <w:tblPr>
        <w:tblW w:w="6225" w:type="dxa"/>
        <w:jc w:val="center"/>
        <w:tblInd w:w="0" w:type="dxa"/>
        <w:tblLayout w:type="fixed"/>
        <w:tblCellMar>
          <w:top w:w="28" w:type="dxa"/>
          <w:left w:w="28" w:type="dxa"/>
          <w:bottom w:w="28" w:type="dxa"/>
          <w:right w:w="28" w:type="dxa"/>
        </w:tblCellMar>
      </w:tblPr>
      <w:tblGrid>
        <w:gridCol w:w="314"/>
        <w:gridCol w:w="276"/>
        <w:gridCol w:w="281"/>
        <w:gridCol w:w="360"/>
        <w:gridCol w:w="361"/>
        <w:gridCol w:w="195"/>
        <w:gridCol w:w="195"/>
        <w:gridCol w:w="195"/>
        <w:gridCol w:w="195"/>
        <w:gridCol w:w="360"/>
        <w:gridCol w:w="361"/>
        <w:gridCol w:w="207"/>
        <w:gridCol w:w="109"/>
        <w:gridCol w:w="109"/>
        <w:gridCol w:w="109"/>
        <w:gridCol w:w="308"/>
        <w:gridCol w:w="308"/>
        <w:gridCol w:w="251"/>
        <w:gridCol w:w="174"/>
        <w:gridCol w:w="174"/>
        <w:gridCol w:w="174"/>
        <w:gridCol w:w="285"/>
        <w:gridCol w:w="240"/>
        <w:gridCol w:w="684"/>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6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25,729 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45" w:before="160" w:after="283"/>
        <w:ind w:left="0" w:right="0" w:firstLine="360"/>
        <w:jc w:val="both"/>
        <w:rPr/>
      </w:pPr>
      <w:r>
        <w:rPr>
          <w:rFonts w:ascii="Times New Roman;sans-serif" w:hAnsi="Times New Roman;sans-serif"/>
          <w:b w:val="false"/>
          <w:i/>
          <w:color w:val="000000"/>
          <w:sz w:val="20"/>
        </w:rPr>
        <w:t>Location hold-per-day</w:t>
      </w:r>
      <w:r>
        <w:rPr>
          <w:color w:val="000000"/>
          <w:shd w:fill="FFFFFF" w:val="clear"/>
        </w:rPr>
        <w:t xml:space="preserve"> </w:t>
      </w:r>
    </w:p>
    <w:p>
      <w:pPr>
        <w:pStyle w:val="TextBody"/>
        <w:bidi w:val="0"/>
        <w:spacing w:lineRule="auto" w:line="345"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Location hold-per-day is calculated by dividing net gaming revenue in the period by the average number of locations. Then divide the calculated amount by the number of operational days. We utilize this metric to compare market and location performance on a normalized basis. The percent change in location hold-per-day is the underlying metric we use to determine the change in same-store sales.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The following tables set forth information with respect to our location hold-per-day</w:t>
      </w:r>
      <w:r>
        <w:rPr>
          <w:color w:val="000000"/>
          <w:shd w:fill="FFFFFF" w:val="clear"/>
        </w:rPr>
        <w:t xml:space="preserve"> </w:t>
      </w:r>
      <w:r>
        <w:rPr>
          <w:rFonts w:ascii="Times New Roman;sans-serif" w:hAnsi="Times New Roman;sans-serif"/>
          <w:b w:val="false"/>
          <w:color w:val="000000"/>
          <w:sz w:val="20"/>
        </w:rPr>
        <w:t>in our primary locations for the three and nine months ended:</w:t>
      </w:r>
    </w:p>
    <w:tbl>
      <w:tblPr>
        <w:tblW w:w="5734" w:type="dxa"/>
        <w:jc w:val="center"/>
        <w:tblInd w:w="0" w:type="dxa"/>
        <w:tblLayout w:type="fixed"/>
        <w:tblCellMar>
          <w:top w:w="28" w:type="dxa"/>
          <w:left w:w="28" w:type="dxa"/>
          <w:bottom w:w="28" w:type="dxa"/>
          <w:right w:w="28" w:type="dxa"/>
        </w:tblCellMar>
      </w:tblPr>
      <w:tblGrid>
        <w:gridCol w:w="314"/>
        <w:gridCol w:w="276"/>
        <w:gridCol w:w="281"/>
        <w:gridCol w:w="211"/>
        <w:gridCol w:w="466"/>
        <w:gridCol w:w="109"/>
        <w:gridCol w:w="109"/>
        <w:gridCol w:w="109"/>
        <w:gridCol w:w="109"/>
        <w:gridCol w:w="211"/>
        <w:gridCol w:w="466"/>
        <w:gridCol w:w="109"/>
        <w:gridCol w:w="109"/>
        <w:gridCol w:w="109"/>
        <w:gridCol w:w="109"/>
        <w:gridCol w:w="316"/>
        <w:gridCol w:w="542"/>
        <w:gridCol w:w="162"/>
        <w:gridCol w:w="134"/>
        <w:gridCol w:w="134"/>
        <w:gridCol w:w="134"/>
        <w:gridCol w:w="295"/>
        <w:gridCol w:w="235"/>
        <w:gridCol w:w="685"/>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6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5713" w:type="dxa"/>
        <w:jc w:val="center"/>
        <w:tblInd w:w="0" w:type="dxa"/>
        <w:tblLayout w:type="fixed"/>
        <w:tblCellMar>
          <w:top w:w="28" w:type="dxa"/>
          <w:left w:w="28" w:type="dxa"/>
          <w:bottom w:w="28" w:type="dxa"/>
          <w:right w:w="28" w:type="dxa"/>
        </w:tblCellMar>
      </w:tblPr>
      <w:tblGrid>
        <w:gridCol w:w="314"/>
        <w:gridCol w:w="276"/>
        <w:gridCol w:w="281"/>
        <w:gridCol w:w="211"/>
        <w:gridCol w:w="466"/>
        <w:gridCol w:w="109"/>
        <w:gridCol w:w="109"/>
        <w:gridCol w:w="109"/>
        <w:gridCol w:w="109"/>
        <w:gridCol w:w="211"/>
        <w:gridCol w:w="466"/>
        <w:gridCol w:w="109"/>
        <w:gridCol w:w="109"/>
        <w:gridCol w:w="109"/>
        <w:gridCol w:w="109"/>
        <w:gridCol w:w="373"/>
        <w:gridCol w:w="454"/>
        <w:gridCol w:w="192"/>
        <w:gridCol w:w="144"/>
        <w:gridCol w:w="144"/>
        <w:gridCol w:w="144"/>
        <w:gridCol w:w="240"/>
        <w:gridCol w:w="240"/>
        <w:gridCol w:w="685"/>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Illinois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Nebraska</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6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Adjusted EBITDA and Adjusted </w:t>
      </w:r>
      <w:r>
        <w:rPr>
          <w:rFonts w:ascii="Times New Roman;sans-serif" w:hAnsi="Times New Roman;sans-serif"/>
          <w:b w:val="false"/>
          <w:color w:val="000000"/>
          <w:sz w:val="20"/>
        </w:rPr>
        <w:t>net income</w:t>
      </w:r>
      <w:r>
        <w:rPr>
          <w:color w:val="000000"/>
          <w:shd w:fill="FFFFFF" w:val="clear"/>
        </w:rPr>
        <w:t xml:space="preserve"> </w:t>
      </w:r>
      <w:r>
        <w:rPr>
          <w:rFonts w:ascii="Times New Roman;sans-serif" w:hAnsi="Times New Roman;sans-serif"/>
          <w:b w:val="false"/>
          <w:color w:val="000000"/>
          <w:sz w:val="20"/>
          <w:shd w:fill="FFFFFF" w:val="clear"/>
        </w:rPr>
        <w:t xml:space="preserve">are non-GAAP financial measures, but are key metrics management uses to monitor ongoing core operations. Adjusted EBITDA and Adjusted </w:t>
      </w:r>
      <w:r>
        <w:rPr>
          <w:rFonts w:ascii="Times New Roman;sans-serif" w:hAnsi="Times New Roman;sans-serif"/>
          <w:b w:val="false"/>
          <w:color w:val="000000"/>
          <w:sz w:val="20"/>
        </w:rPr>
        <w:t>net income</w:t>
      </w:r>
      <w:r>
        <w:rPr>
          <w:color w:val="000000"/>
          <w:shd w:fill="FFFFFF" w:val="clear"/>
        </w:rPr>
        <w:t xml:space="preserve"> </w:t>
      </w:r>
      <w:r>
        <w:rPr>
          <w:rFonts w:ascii="Times New Roman;sans-serif" w:hAnsi="Times New Roman;sans-serif"/>
          <w:b w:val="false"/>
          <w:color w:val="000000"/>
          <w:sz w:val="20"/>
          <w:shd w:fill="FFFFFF" w:val="clear"/>
        </w:rPr>
        <w:t xml:space="preserve">exclude the effects of certain non-cash items or represent certain nonrecurring items that are unrelated to core performance. Management believes these non-GAAP financial measures enhance the understanding of our underlying drivers of profitability, trends in our business, and facilitate company-to-company and period-to-period comparisons. Management also believes that these non-GAAP financial measures are used by investors, analysts and other interested parties as measures of financial performance and to evaluate our ability to fund capital expenditures, service debt obligations and meet working capital requirements. </w:t>
      </w:r>
    </w:p>
    <w:p>
      <w:pPr>
        <w:pStyle w:val="TextBody"/>
        <w:bidi w:val="0"/>
        <w:spacing w:lineRule="auto" w:line="288" w:before="180" w:after="283"/>
        <w:jc w:val="left"/>
        <w:rPr/>
      </w:pPr>
      <w:r>
        <w:rPr>
          <w:rFonts w:ascii="Times New Roman;sans-serif" w:hAnsi="Times New Roman;sans-serif"/>
          <w:b/>
          <w:color w:val="000000"/>
          <w:sz w:val="20"/>
        </w:rPr>
        <w:t xml:space="preserve">Adjusted net income </w:t>
      </w:r>
      <w:r>
        <w:rPr>
          <w:rFonts w:ascii="Times New Roman;sans-serif" w:hAnsi="Times New Roman;sans-serif"/>
          <w:b w:val="false"/>
          <w:color w:val="000000"/>
          <w:sz w:val="20"/>
        </w:rPr>
        <w:t xml:space="preserve">is defined as net income plus: </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 xml:space="preserve">Amortization of intangible assets and route and customer acquisition costs </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Stock-based compensation expense</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Loss from unconsolidated affiliates</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Loss on change in fair value of contingent earnout shares</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Other expenses, net which consists of (i) non-cash expenses including the remeasurement of contingent consideration liabilities, (ii) non-recurring lobbying and legal expenses related to distributed gaming expansion in current or prospective markets, and (iii) other non-recurring expenses</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Tax effect of adjustments</w:t>
      </w:r>
    </w:p>
    <w:p>
      <w:pPr>
        <w:pStyle w:val="TextBody"/>
        <w:bidi w:val="0"/>
        <w:spacing w:lineRule="auto" w:line="345" w:before="180" w:after="283"/>
        <w:jc w:val="left"/>
        <w:rPr/>
      </w:pPr>
      <w:r>
        <w:rPr>
          <w:rFonts w:ascii="Times New Roman;sans-serif" w:hAnsi="Times New Roman;sans-serif"/>
          <w:b/>
          <w:color w:val="000000"/>
          <w:sz w:val="20"/>
          <w:shd w:fill="FFFFFF" w:val="clear"/>
        </w:rPr>
        <w:t>Adjusted EBITDA</w:t>
      </w:r>
      <w:r>
        <w:rPr>
          <w:color w:val="000000"/>
          <w:shd w:fill="FFFFFF" w:val="clear"/>
        </w:rPr>
        <w:t xml:space="preserve"> </w:t>
      </w:r>
      <w:r>
        <w:rPr>
          <w:rFonts w:ascii="Times New Roman;sans-serif" w:hAnsi="Times New Roman;sans-serif"/>
          <w:b w:val="false"/>
          <w:color w:val="000000"/>
          <w:sz w:val="20"/>
          <w:shd w:fill="FFFFFF" w:val="clear"/>
        </w:rPr>
        <w:t>is defined as net income plus: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 xml:space="preserve">Amortization of intangible assets and route and customer acquisition costs </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Stock-based compensation expense</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Loss from unconsolidated affiliates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Loss on change in fair value of contingent earnout shares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 xml:space="preserve">Other expenses, net </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Tax effect of adjustments</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Depreciation and amortization of property and equipment</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Interest expense, net</w:t>
      </w:r>
    </w:p>
    <w:p>
      <w:pPr>
        <w:pStyle w:val="TextBody"/>
        <w:bidi w:val="0"/>
        <w:spacing w:lineRule="auto" w:line="345" w:before="60" w:after="283"/>
        <w:ind w:left="0" w:right="0" w:hanging="360"/>
        <w:jc w:val="both"/>
        <w:rPr/>
      </w:pPr>
      <w:r>
        <w:rPr>
          <w:color w:val="000000"/>
        </w:rPr>
        <w:t>•</w:t>
      </w:r>
      <w:r>
        <w:rPr>
          <w:rFonts w:ascii="Times New Roman;sans-serif" w:hAnsi="Times New Roman;sans-serif"/>
          <w:b w:val="false"/>
          <w:color w:val="000000"/>
          <w:sz w:val="20"/>
        </w:rPr>
        <w:t>Emerging markets which reflects the results, on an Adjusted EBITDA basis, for non-core jurisdictions where our operations are developing</w:t>
      </w:r>
    </w:p>
    <w:p>
      <w:pPr>
        <w:pStyle w:val="TextBody"/>
        <w:bidi w:val="0"/>
        <w:spacing w:lineRule="auto" w:line="345" w:before="60" w:after="283"/>
        <w:ind w:left="0" w:right="0" w:hanging="270"/>
        <w:jc w:val="both"/>
        <w:rPr/>
      </w:pPr>
      <w:r>
        <w:rPr>
          <w:color w:val="000000"/>
        </w:rPr>
        <w:t>◦</w:t>
      </w:r>
      <w:r>
        <w:rPr>
          <w:rFonts w:ascii="Times New Roman;sans-serif" w:hAnsi="Times New Roman;sans-serif"/>
          <w:b w:val="false"/>
          <w:color w:val="000000"/>
          <w:sz w:val="20"/>
        </w:rPr>
        <w:t>Markets are no longer considered emerging when we have installed or acquired at least 500 gaming terminals in the jurisdiction, or when 24 months have elapsed from the date we first install or acquire gaming terminals in the jurisdiction, whichever occurs first</w:t>
      </w:r>
    </w:p>
    <w:p>
      <w:pPr>
        <w:pStyle w:val="TextBody"/>
        <w:bidi w:val="0"/>
        <w:spacing w:lineRule="auto" w:line="345" w:before="60" w:after="283"/>
        <w:ind w:left="0" w:right="0" w:hanging="270"/>
        <w:jc w:val="both"/>
        <w:rPr/>
      </w:pPr>
      <w:r>
        <w:rPr>
          <w:color w:val="000000"/>
        </w:rPr>
        <w:t>◦</w:t>
      </w:r>
      <w:r>
        <w:rPr>
          <w:rFonts w:ascii="Times New Roman;sans-serif" w:hAnsi="Times New Roman;sans-serif"/>
          <w:b w:val="false"/>
          <w:color w:val="000000"/>
          <w:sz w:val="20"/>
        </w:rPr>
        <w:t>We currently view Pennsylvania as an emerging market</w:t>
      </w:r>
    </w:p>
    <w:p>
      <w:pPr>
        <w:pStyle w:val="TextBody"/>
        <w:bidi w:val="0"/>
        <w:spacing w:lineRule="auto" w:line="345" w:before="60" w:after="283"/>
        <w:ind w:left="0" w:right="0" w:hanging="270"/>
        <w:jc w:val="both"/>
        <w:rPr/>
      </w:pPr>
      <w:r>
        <w:rPr>
          <w:color w:val="000000"/>
        </w:rPr>
        <w:t>◦</w:t>
      </w:r>
      <w:r>
        <w:rPr>
          <w:rFonts w:ascii="Times New Roman;sans-serif" w:hAnsi="Times New Roman;sans-serif"/>
          <w:b w:val="false"/>
          <w:color w:val="000000"/>
          <w:sz w:val="20"/>
        </w:rPr>
        <w:t>Prior to January 2024, Iowa was considered an emerging market</w:t>
      </w:r>
    </w:p>
    <w:p>
      <w:pPr>
        <w:pStyle w:val="TextBody"/>
        <w:bidi w:val="0"/>
        <w:spacing w:lineRule="auto" w:line="345" w:before="60" w:after="283"/>
        <w:ind w:left="0" w:right="0" w:hanging="270"/>
        <w:jc w:val="both"/>
        <w:rPr/>
      </w:pPr>
      <w:r>
        <w:rPr>
          <w:color w:val="000000"/>
        </w:rPr>
        <w:t>◦</w:t>
      </w:r>
      <w:r>
        <w:rPr>
          <w:rFonts w:ascii="Times New Roman;sans-serif" w:hAnsi="Times New Roman;sans-serif"/>
          <w:b w:val="false"/>
          <w:color w:val="000000"/>
          <w:sz w:val="20"/>
        </w:rPr>
        <w:t>Prior to April 2023, Nebraska was considered an emerging market</w:t>
      </w:r>
    </w:p>
    <w:p>
      <w:pPr>
        <w:pStyle w:val="TextBody"/>
        <w:bidi w:val="0"/>
        <w:spacing w:lineRule="auto" w:line="345" w:before="60" w:after="283"/>
        <w:ind w:left="0" w:right="0" w:firstLine="360"/>
        <w:jc w:val="both"/>
        <w:rPr/>
      </w:pPr>
      <w:r>
        <w:rPr>
          <w:color w:val="000000"/>
        </w:rPr>
        <w:t>•</w:t>
      </w:r>
      <w:r>
        <w:rPr>
          <w:rFonts w:ascii="Times New Roman;sans-serif" w:hAnsi="Times New Roman;sans-serif"/>
          <w:b w:val="false"/>
          <w:color w:val="000000"/>
          <w:sz w:val="20"/>
        </w:rPr>
        <w:t>Income tax expense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i/>
          <w:color w:val="000000"/>
          <w:sz w:val="20"/>
          <w:shd w:fill="FFFFFF" w:val="clear"/>
        </w:rPr>
        <w:t xml:space="preserve">Adjusted </w:t>
      </w:r>
      <w:r>
        <w:rPr>
          <w:rFonts w:ascii="Times New Roman;sans-serif" w:hAnsi="Times New Roman;sans-serif"/>
          <w:b/>
          <w:i/>
          <w:color w:val="000000"/>
          <w:sz w:val="20"/>
        </w:rPr>
        <w:t>net income</w:t>
      </w:r>
      <w:r>
        <w:rPr>
          <w:color w:val="000000"/>
          <w:shd w:fill="FFFFFF" w:val="clear"/>
        </w:rPr>
        <w:t xml:space="preserve"> </w:t>
      </w:r>
      <w:r>
        <w:rPr>
          <w:rFonts w:ascii="Times New Roman;sans-serif" w:hAnsi="Times New Roman;sans-serif"/>
          <w:b/>
          <w:i/>
          <w:color w:val="000000"/>
          <w:sz w:val="20"/>
          <w:shd w:fill="FFFFFF" w:val="clear"/>
        </w:rPr>
        <w:t>and Adjusted EBITDA</w:t>
      </w:r>
    </w:p>
    <w:tbl>
      <w:tblPr>
        <w:tblW w:w="10205" w:type="dxa"/>
        <w:jc w:val="center"/>
        <w:tblInd w:w="0" w:type="dxa"/>
        <w:tblLayout w:type="fixed"/>
        <w:tblCellMar>
          <w:top w:w="28" w:type="dxa"/>
          <w:left w:w="28" w:type="dxa"/>
          <w:bottom w:w="28" w:type="dxa"/>
          <w:right w:w="28" w:type="dxa"/>
        </w:tblCellMar>
      </w:tblPr>
      <w:tblGrid>
        <w:gridCol w:w="1409"/>
        <w:gridCol w:w="1157"/>
        <w:gridCol w:w="1172"/>
        <w:gridCol w:w="211"/>
        <w:gridCol w:w="721"/>
        <w:gridCol w:w="109"/>
        <w:gridCol w:w="109"/>
        <w:gridCol w:w="109"/>
        <w:gridCol w:w="109"/>
        <w:gridCol w:w="211"/>
        <w:gridCol w:w="721"/>
        <w:gridCol w:w="109"/>
        <w:gridCol w:w="109"/>
        <w:gridCol w:w="109"/>
        <w:gridCol w:w="109"/>
        <w:gridCol w:w="109"/>
        <w:gridCol w:w="109"/>
        <w:gridCol w:w="124"/>
        <w:gridCol w:w="124"/>
        <w:gridCol w:w="240"/>
        <w:gridCol w:w="943"/>
        <w:gridCol w:w="124"/>
        <w:gridCol w:w="109"/>
        <w:gridCol w:w="109"/>
        <w:gridCol w:w="109"/>
        <w:gridCol w:w="211"/>
        <w:gridCol w:w="826"/>
        <w:gridCol w:w="109"/>
        <w:gridCol w:w="109"/>
        <w:gridCol w:w="109"/>
        <w:gridCol w:w="109"/>
        <w:gridCol w:w="158"/>
      </w:tblGrid>
      <w:tr>
        <w:trPr/>
        <w:tc>
          <w:tcPr>
            <w:tcW w:w="14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and route and customer acquisition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change in fair value of contingent earnout shares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net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effect of adjustments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markets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141,792 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Adjusted EBITDA for the three</w:t>
      </w:r>
      <w:r>
        <w:rPr>
          <w:color w:val="000000"/>
        </w:rPr>
        <w:t xml:space="preserve"> </w:t>
      </w:r>
      <w:r>
        <w:rPr>
          <w:rFonts w:ascii="Times New Roman;sans-serif" w:hAnsi="Times New Roman;sans-serif"/>
          <w:b w:val="false"/>
          <w:color w:val="000000"/>
          <w:sz w:val="20"/>
        </w:rPr>
        <w:t>months ended</w:t>
      </w:r>
      <w:r>
        <w:rPr>
          <w:color w:val="000000"/>
          <w:shd w:fill="FFFFFF" w:val="clear"/>
        </w:rPr>
        <w:t xml:space="preserve"> </w:t>
      </w:r>
      <w:r>
        <w:rPr>
          <w:rFonts w:ascii="Times New Roman;sans-serif" w:hAnsi="Times New Roman;sans-serif"/>
          <w:b w:val="false"/>
          <w:color w:val="000000"/>
          <w:sz w:val="20"/>
          <w:shd w:fill="FFFFFF" w:val="clear"/>
        </w:rPr>
        <w:t xml:space="preserve">September 30, 2024, was </w:t>
      </w:r>
      <w:r>
        <w:rPr>
          <w:rFonts w:ascii="Times New Roman;sans-serif" w:hAnsi="Times New Roman;sans-serif"/>
          <w:b w:val="false"/>
          <w:color w:val="000000"/>
          <w:sz w:val="20"/>
        </w:rPr>
        <w:t>$45.9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an increase of $1.7 million, or 3.9%</w:t>
      </w:r>
      <w:r>
        <w:rPr>
          <w:rFonts w:ascii="Times New Roman;sans-serif" w:hAnsi="Times New Roman;sans-serif"/>
          <w:b w:val="false"/>
          <w:color w:val="000000"/>
          <w:sz w:val="20"/>
          <w:shd w:fill="FFFFFF" w:val="clear"/>
        </w:rPr>
        <w:t xml:space="preserve">, compared to the prior-year period. Adjusted EBITDA for the </w:t>
      </w:r>
      <w:r>
        <w:rPr>
          <w:rFonts w:ascii="Times New Roman;sans-serif" w:hAnsi="Times New Roman;sans-serif"/>
          <w:b w:val="false"/>
          <w:color w:val="000000"/>
          <w:sz w:val="20"/>
        </w:rPr>
        <w:t>nine months ended</w:t>
      </w:r>
      <w:r>
        <w:rPr>
          <w:color w:val="000000"/>
          <w:shd w:fill="FFFFFF" w:val="clear"/>
        </w:rPr>
        <w:t xml:space="preserve"> </w:t>
      </w:r>
      <w:r>
        <w:rPr>
          <w:rFonts w:ascii="Times New Roman;sans-serif" w:hAnsi="Times New Roman;sans-serif"/>
          <w:b w:val="false"/>
          <w:color w:val="000000"/>
          <w:sz w:val="20"/>
        </w:rPr>
        <w:t>September 30, 2024</w:t>
      </w:r>
      <w:r>
        <w:rPr>
          <w:rFonts w:ascii="Times New Roman;sans-serif" w:hAnsi="Times New Roman;sans-serif"/>
          <w:b w:val="false"/>
          <w:color w:val="000000"/>
          <w:sz w:val="20"/>
          <w:shd w:fill="FFFFFF" w:val="clear"/>
        </w:rPr>
        <w:t xml:space="preserve">, was </w:t>
      </w:r>
      <w:r>
        <w:rPr>
          <w:rFonts w:ascii="Times New Roman;sans-serif" w:hAnsi="Times New Roman;sans-serif"/>
          <w:b w:val="false"/>
          <w:color w:val="000000"/>
          <w:sz w:val="20"/>
        </w:rPr>
        <w:t>$141.8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an increase of $4.9 million, or 3.6%</w:t>
      </w:r>
      <w:r>
        <w:rPr>
          <w:rFonts w:ascii="Times New Roman;sans-serif" w:hAnsi="Times New Roman;sans-serif"/>
          <w:b w:val="false"/>
          <w:color w:val="000000"/>
          <w:sz w:val="20"/>
          <w:shd w:fill="FFFFFF" w:val="clear"/>
        </w:rPr>
        <w:t>, compared to the prior-year</w:t>
      </w:r>
      <w:r>
        <w:rPr>
          <w:color w:val="000000"/>
        </w:rPr>
        <w:t xml:space="preserve"> </w:t>
      </w:r>
      <w:r>
        <w:rPr>
          <w:rFonts w:ascii="Times New Roman;sans-serif" w:hAnsi="Times New Roman;sans-serif"/>
          <w:b w:val="false"/>
          <w:color w:val="000000"/>
          <w:sz w:val="20"/>
        </w:rPr>
        <w:t>period. The increase for both periods was attributable to an increase in the number of locations and gaming terminals.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rPr>
        <w:t xml:space="preserve">We believe that our cash and cash equivalents, cash flows from operations and borrowing availability under the Credit Agreement (as defined below) will be sufficient to meet our capital requirements for the next twelve months. Our primary short-term cash needs are paying operating expenses and contingent earnout payments, purchases of property and equipment, servicing outstanding indebtedness, and funding our Board of Directors approved share repurchase program and near-term acquisitions. As of </w:t>
      </w:r>
      <w:r>
        <w:rPr>
          <w:rFonts w:ascii="Times New Roman;sans-serif" w:hAnsi="Times New Roman;sans-serif"/>
          <w:b w:val="false"/>
          <w:color w:val="000000"/>
          <w:sz w:val="20"/>
          <w:shd w:fill="FFFFFF" w:val="clear"/>
        </w:rPr>
        <w:t>September 30, 2024</w:t>
      </w:r>
      <w:r>
        <w:rPr>
          <w:rFonts w:ascii="Times New Roman;sans-serif" w:hAnsi="Times New Roman;sans-serif"/>
          <w:b w:val="false"/>
          <w:color w:val="000000"/>
          <w:sz w:val="20"/>
        </w:rPr>
        <w:t>, we had $265.1 million in cash and cash equivalents.</w:t>
      </w:r>
    </w:p>
    <w:p>
      <w:pPr>
        <w:pStyle w:val="TextBody"/>
        <w:bidi w:val="0"/>
        <w:spacing w:lineRule="auto" w:line="345"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Senior Secured Credit Facility</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entered into a credit agreement (as amended the “Credit Agreement”)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pStyle w:val="TextBody"/>
        <w:bidi w:val="0"/>
        <w:spacing w:lineRule="auto" w:line="345" w:before="16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$150.0 million revolving credit facility, including a letter of credit facility with a $10.0 million sublimit and a swingline </w:t>
      </w:r>
      <w:r>
        <w:rPr>
          <w:rFonts w:ascii="Times New Roman;sans-serif" w:hAnsi="Times New Roman;sans-serif"/>
          <w:b w:val="false"/>
          <w:color w:val="000000"/>
          <w:sz w:val="20"/>
        </w:rPr>
        <w:t xml:space="preserve">facility with a $10.0 million sublimit, </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a $350.0 million initial term loan facility, and</w:t>
      </w:r>
    </w:p>
    <w:p>
      <w:pPr>
        <w:pStyle w:val="TextBody"/>
        <w:bidi w:val="0"/>
        <w:spacing w:lineRule="auto" w:line="348" w:before="180" w:after="283"/>
        <w:jc w:val="both"/>
        <w:rPr/>
      </w:pPr>
      <w:r>
        <w:rPr>
          <w:color w:val="000000"/>
        </w:rPr>
        <w:t>•</w:t>
      </w:r>
      <w:r>
        <w:rPr>
          <w:rFonts w:ascii="Times New Roman;sans-serif" w:hAnsi="Times New Roman;sans-serif"/>
          <w:b w:val="false"/>
          <w:color w:val="000000"/>
          <w:sz w:val="20"/>
        </w:rPr>
        <w:t xml:space="preserve">a $400.0 million delayed draw term loan facility </w:t>
      </w:r>
      <w:r>
        <w:rPr>
          <w:rFonts w:ascii="Times New Roman;sans-serif" w:hAnsi="Times New Roman;sans-serif"/>
          <w:b w:val="false"/>
          <w:color w:val="000000"/>
          <w:sz w:val="20"/>
          <w:shd w:fill="FFFFFF" w:val="clear"/>
        </w:rPr>
        <w:t>(“DDTL”)</w:t>
      </w:r>
    </w:p>
    <w:p>
      <w:pPr>
        <w:pStyle w:val="TextBody"/>
        <w:bidi w:val="0"/>
        <w:spacing w:lineRule="auto" w:line="34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maturity date of the Credit Agreement is October 22, 2026. </w:t>
      </w:r>
    </w:p>
    <w:p>
      <w:pPr>
        <w:pStyle w:val="TextBody"/>
        <w:bidi w:val="0"/>
        <w:spacing w:lineRule="auto" w:line="348"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September 30, 2024, there remained $273 million of availability under the Credit Agreement and the weighted-average interest rate on our borrowings under the Credit Agreement was approximately 7.6%.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8" w:before="180" w:after="283"/>
        <w:ind w:left="0" w:right="0" w:firstLine="360"/>
        <w:jc w:val="both"/>
        <w:rPr/>
      </w:pPr>
      <w:r>
        <w:rPr>
          <w:rFonts w:ascii="Times New Roman;sans-serif" w:hAnsi="Times New Roman;sans-serif"/>
          <w:b w:val="false"/>
          <w:color w:val="000000"/>
          <w:sz w:val="20"/>
          <w:shd w:fill="FFFFFF" w:val="clear"/>
        </w:rPr>
        <w:t xml:space="preserve">During October 2024, we borrowed an additional $119.0 million on the DDTL under the Credit Agreement, of which $77.5 million was used to pay down the revolving credit facility under the Credit Agreement, $35.0 million is anticipated to be used for a pending business acquisition and the remaining </w:t>
      </w:r>
      <w:r>
        <w:rPr>
          <w:rFonts w:ascii="Times New Roman;sans-serif" w:hAnsi="Times New Roman;sans-serif"/>
          <w:b w:val="false"/>
          <w:color w:val="000000"/>
          <w:sz w:val="20"/>
        </w:rPr>
        <w:t>$6.5 million</w:t>
      </w:r>
      <w:r>
        <w:rPr>
          <w:color w:val="000000"/>
          <w:shd w:fill="FFFFFF" w:val="clear"/>
        </w:rPr>
        <w:t xml:space="preserve"> </w:t>
      </w:r>
      <w:r>
        <w:rPr>
          <w:rFonts w:ascii="Times New Roman;sans-serif" w:hAnsi="Times New Roman;sans-serif"/>
          <w:b w:val="false"/>
          <w:color w:val="000000"/>
          <w:sz w:val="20"/>
          <w:shd w:fill="FFFFFF" w:val="clear"/>
        </w:rPr>
        <w:t xml:space="preserve">was used for general business operations. Our ability to borrow on the DDTL ended on October 22, 2024. </w:t>
      </w:r>
    </w:p>
    <w:p>
      <w:pPr>
        <w:pStyle w:val="TextBody"/>
        <w:bidi w:val="0"/>
        <w:spacing w:lineRule="auto" w:line="348" w:before="180" w:after="283"/>
        <w:ind w:left="0" w:right="0" w:firstLine="360"/>
        <w:jc w:val="both"/>
        <w:rPr/>
      </w:pPr>
      <w:r>
        <w:rPr>
          <w:rFonts w:ascii="Times New Roman;sans-serif" w:hAnsi="Times New Roman;sans-serif"/>
          <w:b w:val="false"/>
          <w:color w:val="000000"/>
          <w:sz w:val="20"/>
          <w:shd w:fill="FFFFFF" w:val="clear"/>
        </w:rPr>
        <w:t xml:space="preserve">We were in compliance with all debt covenants under the Credit Agreement as of </w:t>
      </w:r>
      <w:r>
        <w:rPr>
          <w:rFonts w:ascii="Times New Roman;sans-serif" w:hAnsi="Times New Roman;sans-serif"/>
          <w:b w:val="false"/>
          <w:color w:val="000000"/>
          <w:sz w:val="20"/>
        </w:rPr>
        <w:t>September 30, 2024</w:t>
      </w:r>
      <w:r>
        <w:rPr>
          <w:color w:val="000000"/>
          <w:shd w:fill="FFFFFF" w:val="clear"/>
        </w:rPr>
        <w:t xml:space="preserve"> </w:t>
      </w:r>
      <w:r>
        <w:rPr>
          <w:rFonts w:ascii="Times New Roman;sans-serif" w:hAnsi="Times New Roman;sans-serif"/>
          <w:b w:val="false"/>
          <w:color w:val="000000"/>
          <w:sz w:val="20"/>
          <w:shd w:fill="FFFFFF" w:val="clear"/>
        </w:rPr>
        <w:t>and expect to remain in compliance</w:t>
      </w:r>
      <w:r>
        <w:rPr>
          <w:color w:val="000000"/>
        </w:rPr>
        <w:t xml:space="preserve"> </w:t>
      </w:r>
      <w:r>
        <w:rPr>
          <w:rFonts w:ascii="Times New Roman;sans-serif" w:hAnsi="Times New Roman;sans-serif"/>
          <w:b w:val="false"/>
          <w:color w:val="000000"/>
          <w:sz w:val="20"/>
        </w:rPr>
        <w:t xml:space="preserve">for the next 12 months. </w:t>
      </w:r>
    </w:p>
    <w:p>
      <w:pPr>
        <w:pStyle w:val="TextBody"/>
        <w:bidi w:val="0"/>
        <w:spacing w:lineRule="auto" w:line="34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caplets</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We manage our exposure to some of our interest rate risk through the use of interest rate caplets, which are derivative financial instruments. On January 12, 2022, we hedged the variability of the cash flows attributable to the changes in the 1-month LIBOR/SOFR interest rate on the first $300 million of the term loan under the Credit Agreement by entering into a 4-year series of 48 deferred premium caplets (“caplets</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 xml:space="preserve">. </w:t>
      </w:r>
    </w:p>
    <w:p>
      <w:pPr>
        <w:pStyle w:val="TextBody"/>
        <w:bidi w:val="0"/>
        <w:spacing w:lineRule="auto" w:line="345" w:before="180" w:after="283"/>
        <w:ind w:left="0" w:right="0" w:firstLine="360"/>
        <w:jc w:val="both"/>
        <w:rPr/>
      </w:pPr>
      <w:r>
        <w:rPr>
          <w:rFonts w:ascii="Times New Roman;sans-serif" w:hAnsi="Times New Roman;sans-serif"/>
          <w:b w:val="false"/>
          <w:color w:val="000000"/>
          <w:sz w:val="20"/>
          <w:shd w:fill="FFFFFF" w:val="clear"/>
        </w:rPr>
        <w:t xml:space="preserve">We recognized an </w:t>
      </w:r>
      <w:r>
        <w:rPr>
          <w:rFonts w:ascii="Times New Roman;sans-serif" w:hAnsi="Times New Roman;sans-serif"/>
          <w:b w:val="false"/>
          <w:color w:val="000000"/>
          <w:sz w:val="20"/>
        </w:rPr>
        <w:t>unrealized loss, net of taxes, o</w:t>
      </w:r>
      <w:r>
        <w:rPr>
          <w:rFonts w:ascii="Times New Roman;sans-serif" w:hAnsi="Times New Roman;sans-serif"/>
          <w:b w:val="false"/>
          <w:color w:val="000000"/>
          <w:sz w:val="20"/>
          <w:shd w:fill="FFFFFF" w:val="clear"/>
        </w:rPr>
        <w:t xml:space="preserve">n the change in fair value of the caplets of </w:t>
      </w:r>
      <w:r>
        <w:rPr>
          <w:rFonts w:ascii="Times New Roman;sans-serif" w:hAnsi="Times New Roman;sans-serif"/>
          <w:b w:val="false"/>
          <w:color w:val="000000"/>
          <w:sz w:val="20"/>
        </w:rPr>
        <w:t xml:space="preserve">$4.1 million for both the three and nine months ended </w:t>
      </w:r>
      <w:r>
        <w:rPr>
          <w:rFonts w:ascii="Times New Roman;sans-serif" w:hAnsi="Times New Roman;sans-serif"/>
          <w:b w:val="false"/>
          <w:color w:val="000000"/>
          <w:sz w:val="20"/>
          <w:shd w:fill="FFFFFF" w:val="clear"/>
        </w:rPr>
        <w:t xml:space="preserve">September 30, 2024. In comparison, we recognized an unrealized gain of </w:t>
      </w:r>
      <w:r>
        <w:rPr>
          <w:rFonts w:ascii="Times New Roman;sans-serif" w:hAnsi="Times New Roman;sans-serif"/>
          <w:b w:val="false"/>
          <w:color w:val="000000"/>
          <w:sz w:val="20"/>
        </w:rPr>
        <w:t>$0.1 million</w:t>
      </w:r>
      <w:r>
        <w:rPr>
          <w:color w:val="000000"/>
          <w:shd w:fill="FFFFFF" w:val="clear"/>
        </w:rPr>
        <w:t xml:space="preserve"> </w:t>
      </w:r>
      <w:r>
        <w:rPr>
          <w:rFonts w:ascii="Times New Roman;sans-serif" w:hAnsi="Times New Roman;sans-serif"/>
          <w:b w:val="false"/>
          <w:color w:val="000000"/>
          <w:sz w:val="20"/>
          <w:shd w:fill="FFFFFF" w:val="clear"/>
        </w:rPr>
        <w:t xml:space="preserve">and an unrealized loss of less than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xml:space="preserve">, net of taxes, </w:t>
      </w:r>
      <w:r>
        <w:rPr>
          <w:rFonts w:ascii="Times New Roman;sans-serif" w:hAnsi="Times New Roman;sans-serif"/>
          <w:b w:val="false"/>
          <w:color w:val="000000"/>
          <w:sz w:val="20"/>
        </w:rPr>
        <w:t>for the three and nine months ended September 30, 2023, respectively.</w:t>
      </w:r>
      <w:r>
        <w:rPr>
          <w:color w:val="000000"/>
          <w:shd w:fill="FFFFFF" w:val="clear"/>
        </w:rPr>
        <w:t xml:space="preserve"> </w:t>
      </w:r>
      <w:r>
        <w:rPr>
          <w:rFonts w:ascii="Times New Roman;sans-serif" w:hAnsi="Times New Roman;sans-serif"/>
          <w:b w:val="false"/>
          <w:color w:val="000000"/>
          <w:sz w:val="20"/>
          <w:shd w:fill="FFFFFF" w:val="clear"/>
        </w:rPr>
        <w:t xml:space="preserve">We also recognized interest income on the caplets of </w:t>
      </w:r>
      <w:r>
        <w:rPr>
          <w:rFonts w:ascii="Times New Roman;sans-serif" w:hAnsi="Times New Roman;sans-serif"/>
          <w:b w:val="false"/>
          <w:color w:val="000000"/>
          <w:sz w:val="20"/>
        </w:rPr>
        <w:t>$2.6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$7.7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nine</w:t>
      </w:r>
      <w:r>
        <w:rPr>
          <w:color w:val="000000"/>
          <w:shd w:fill="FFFFFF" w:val="clear"/>
        </w:rPr>
        <w:t xml:space="preserve"> </w:t>
      </w:r>
      <w:r>
        <w:rPr>
          <w:rFonts w:ascii="Times New Roman;sans-serif" w:hAnsi="Times New Roman;sans-serif"/>
          <w:b w:val="false"/>
          <w:color w:val="000000"/>
          <w:sz w:val="20"/>
          <w:shd w:fill="FFFFFF" w:val="clear"/>
        </w:rPr>
        <w:t>m</w:t>
      </w:r>
      <w:r>
        <w:rPr>
          <w:rFonts w:ascii="Times New Roman;sans-serif" w:hAnsi="Times New Roman;sans-serif"/>
          <w:b w:val="false"/>
          <w:color w:val="000000"/>
          <w:sz w:val="20"/>
        </w:rPr>
        <w:t xml:space="preserve">onths ended </w:t>
      </w:r>
      <w:r>
        <w:rPr>
          <w:rFonts w:ascii="Times New Roman;sans-serif" w:hAnsi="Times New Roman;sans-serif"/>
          <w:b w:val="false"/>
          <w:color w:val="000000"/>
          <w:sz w:val="20"/>
          <w:shd w:fill="FFFFFF" w:val="clear"/>
        </w:rPr>
        <w:t xml:space="preserve">September 30, 2024, respectively. In comparison, we recognized interest income on the caplets of </w:t>
      </w:r>
      <w:r>
        <w:rPr>
          <w:rFonts w:ascii="Times New Roman;sans-serif" w:hAnsi="Times New Roman;sans-serif"/>
          <w:b w:val="false"/>
          <w:color w:val="000000"/>
          <w:sz w:val="20"/>
        </w:rPr>
        <w:t>$2.5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$6.7 million</w:t>
      </w:r>
      <w:r>
        <w:rPr>
          <w:color w:val="000000"/>
          <w:shd w:fill="FFFFFF" w:val="clear"/>
        </w:rPr>
        <w:t xml:space="preserve"> </w:t>
      </w:r>
      <w:r>
        <w:rPr>
          <w:rFonts w:ascii="Times New Roman;sans-serif" w:hAnsi="Times New Roman;sans-serif"/>
          <w:b w:val="false"/>
          <w:color w:val="000000"/>
          <w:sz w:val="20"/>
        </w:rPr>
        <w:t xml:space="preserve">for the three and nine months ended </w:t>
      </w:r>
      <w:r>
        <w:rPr>
          <w:rFonts w:ascii="Times New Roman;sans-serif" w:hAnsi="Times New Roman;sans-serif"/>
          <w:b w:val="false"/>
          <w:color w:val="000000"/>
          <w:sz w:val="20"/>
          <w:shd w:fill="FFFFFF" w:val="clear"/>
        </w:rPr>
        <w:t xml:space="preserve">September 30, 2023, respectively. These amounts are reflected in interest expense, net </w:t>
      </w:r>
      <w:r>
        <w:rPr>
          <w:rFonts w:ascii="Times New Roman;sans-serif" w:hAnsi="Times New Roman;sans-serif"/>
          <w:b w:val="false"/>
          <w:color w:val="000000"/>
          <w:sz w:val="20"/>
        </w:rPr>
        <w:t>in the condensed consolidated statements of operations and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net cash provided by or used in operating activities, investing activities and financing activities for the periods indicated and should be read in conjunction with our condensed consolidated financial statements and the notes thereto included in this filing:</w:t>
      </w:r>
    </w:p>
    <w:tbl>
      <w:tblPr>
        <w:tblW w:w="9050" w:type="dxa"/>
        <w:jc w:val="center"/>
        <w:tblInd w:w="0" w:type="dxa"/>
        <w:tblLayout w:type="fixed"/>
        <w:tblCellMar>
          <w:top w:w="28" w:type="dxa"/>
          <w:left w:w="28" w:type="dxa"/>
          <w:bottom w:w="28" w:type="dxa"/>
          <w:right w:w="28" w:type="dxa"/>
        </w:tblCellMar>
      </w:tblPr>
      <w:tblGrid>
        <w:gridCol w:w="1256"/>
        <w:gridCol w:w="1103"/>
        <w:gridCol w:w="1106"/>
        <w:gridCol w:w="211"/>
        <w:gridCol w:w="826"/>
        <w:gridCol w:w="109"/>
        <w:gridCol w:w="109"/>
        <w:gridCol w:w="109"/>
        <w:gridCol w:w="109"/>
        <w:gridCol w:w="211"/>
        <w:gridCol w:w="721"/>
        <w:gridCol w:w="109"/>
        <w:gridCol w:w="109"/>
        <w:gridCol w:w="109"/>
        <w:gridCol w:w="109"/>
        <w:gridCol w:w="211"/>
        <w:gridCol w:w="722"/>
        <w:gridCol w:w="109"/>
        <w:gridCol w:w="109"/>
        <w:gridCol w:w="109"/>
        <w:gridCol w:w="109"/>
        <w:gridCol w:w="343"/>
        <w:gridCol w:w="347"/>
        <w:gridCol w:w="685"/>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6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345"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net cash provided by operating activities was $107.7 million, an increase in cash of $15.7 million compared to the prior-year period due primarily to higher working capital adjustments and higher remeasurements on contingent consideration, partially offset by lower deferred income taxes. </w:t>
      </w:r>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net cash used in investing activities was $90.2 million, a decrease in cash of $54.8 million compared to the prior-year period. The decrease in cash was primarily attributable to the proceeds from the settlement of the convertible notes in the prior year as well as more cash used for business and asset acquisitions, higher deposits paid against a portion of the purchase price on a pending business acquisition and an investment in an equity interest, partially offset by lower purchases of property and equipment. We anticipate our capital expenditures will be approximately $60–65 million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2024, net cash used in financing activities was $14.0 million, an increase in cash of $36.4 million compared to the prior-year period. The change reflects higher net borrowings on our debt, partially offset by higher stock repurchases.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our condensed consolidated financial statements, we applied the same critical accounting policies as described in our Annual Report on Form 10-K for the year ended December 31, 2023, that affect judgments and estimates of amounts recorded for certain assets, liabilities, revenues,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Seasonality</w:t>
      </w:r>
    </w:p>
    <w:p>
      <w:pPr>
        <w:pStyle w:val="TextBody"/>
        <w:bidi w:val="0"/>
        <w:spacing w:lineRule="auto" w:line="345" w:before="18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Holidays, vacation seasons, and sporting events may also cause our results to fluctuate.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345" w:before="16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Market risk represents the risk of loss that may impact our financial position due to adverse changes in financial market prices and rates. Market risk exposure is primarily the result of fluctuations in interest rates. </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rPr>
        <w:t xml:space="preserve">We are exposed to interest rate risk in the ordinary course of business. Borrowings under our senior secured credit facility were $556.3 million as of September 30, 2024. If the underlying interest rates were to increase by 1.0%, or 100 basis points, the increase in interest expense on our floating rate debt would negatively impact future earnings and cash flows by approximately $2.6 million annually, assuming the balance outstanding under the credit facility remained at $556.3 million. </w:t>
      </w:r>
      <w:r>
        <w:rPr>
          <w:rFonts w:ascii="Times New Roman;sans-serif" w:hAnsi="Times New Roman;sans-serif"/>
          <w:b w:val="false"/>
          <w:color w:val="000000"/>
          <w:sz w:val="20"/>
          <w:shd w:fill="FFFFFF" w:val="clear"/>
        </w:rPr>
        <w:t>In order to protect against higher interest rates in the future on our credit facility, we hedged the variability of the cash flows attributable to the changes in the 1-month LIBOR/SOFR interest rate on the first $300 million of the term loan by entering into a 4-year series of 48 deferred premium caplets (“caplets</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on January 12, 2022. The caplets mature at the end of each month and are used to protect our exposure as the 1-month LIBOR/SOFR interest rate exceeded 2%. </w:t>
      </w:r>
    </w:p>
    <w:p>
      <w:pPr>
        <w:pStyle w:val="TextBody"/>
        <w:bidi w:val="0"/>
        <w:spacing w:lineRule="auto" w:line="345" w:before="160" w:after="283"/>
        <w:ind w:left="0" w:right="0" w:firstLine="360"/>
        <w:jc w:val="both"/>
        <w:rPr/>
      </w:pPr>
      <w:r>
        <w:rPr>
          <w:rFonts w:ascii="Times New Roman;sans-serif" w:hAnsi="Times New Roman;sans-serif"/>
          <w:b w:val="false"/>
          <w:color w:val="000000"/>
          <w:sz w:val="20"/>
          <w:shd w:fill="FFFFFF" w:val="clear"/>
        </w:rPr>
        <w:t>C</w:t>
      </w:r>
      <w:r>
        <w:rPr>
          <w:rFonts w:ascii="Times New Roman;sans-serif" w:hAnsi="Times New Roman;sans-serif"/>
          <w:b w:val="false"/>
          <w:color w:val="000000"/>
          <w:sz w:val="20"/>
        </w:rPr>
        <w:t>ash and cash equivalents are held in cash vaults, highly liquid checking and money market accounts, gaming terminals, redemption terminals, ATMs, and amusement equipment. As a result, these amounts are not materially affected by changes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filing of this Form 10-Q for the quarter ended September 30, 2024,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our disclosure controls and procedures were effective at the reasonable assurance level as of September 30, 2024. </w: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during the quarter ended September 30, 2024,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required by this Item is incorporated by reference to the discussion in Note 16, Commitments and Contingencies, of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Class A-1 common stock involves a high degree of risk. You should carefully consider the risk factors described under Part I - Item 1A. “Risk Factors” in our Annual Report on Form 10-K for the year ended December 31, 2023 and our condensed consolidated financial statements and related notes contained in this Quarterly Report on Form 10-Q in analyzing an investment in our Class A-1 common stock. If any such risks occur, our business, financial condition, and results of operations would likely suffer, the trading price of our Class A-1 common stock would decline, and you could lose all or part of your investment. In addition, the risk factors and uncertainties could cause our actual results to differ materially from those projected in our forward-looking statements, whether made in this report or other documents we file with the SEC, or our annual report to stockholders, future press releases, or orally, whether in presentations, responses to questions, or otherwise. Additional risks and uncertainties not currently known to us or those we currently view to be immaterial may also materially adversely affect our business, financial condition, or results of operations.</w:t>
      </w:r>
    </w:p>
    <w:p>
      <w:pPr>
        <w:pStyle w:val="TextBody"/>
        <w:bidi w:val="0"/>
        <w:spacing w:lineRule="auto" w:line="345"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the risk factors described in Item 1A. “Risk Factors” in our Annual Report on Form 10-K for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345" w:before="180" w:after="283"/>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2021, our Board of Directors approved a share repurchase program of up to $200 million shares of our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us to acquire any particular amount of shares, and the repurchase program may be suspended or discontinued at any time at our discretion.</w:t>
      </w:r>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share repurchases were made under our publicly announced program, and there are no other programs under which we repurchase shares. Repurchases under our program, during applicable restricted trading windows that we periodically establish, are executed under the terms of a pre-set trading plan meeting the requirements of Rule 10b5-1(c) of the Securities Exchange Act of 1934, as amended (the “Exchange Act”). </w:t>
      </w:r>
    </w:p>
    <w:p>
      <w:pPr>
        <w:pStyle w:val="TextBody"/>
        <w:bidi w:val="0"/>
        <w:spacing w:before="18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18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share repurchases made during the third quarter of 2024:</w:t>
      </w:r>
    </w:p>
    <w:tbl>
      <w:tblPr>
        <w:tblW w:w="10205" w:type="dxa"/>
        <w:jc w:val="center"/>
        <w:tblInd w:w="0" w:type="dxa"/>
        <w:tblLayout w:type="fixed"/>
        <w:tblCellMar>
          <w:top w:w="28" w:type="dxa"/>
          <w:left w:w="28" w:type="dxa"/>
          <w:bottom w:w="28" w:type="dxa"/>
          <w:right w:w="28" w:type="dxa"/>
        </w:tblCellMar>
      </w:tblPr>
      <w:tblGrid>
        <w:gridCol w:w="857"/>
        <w:gridCol w:w="538"/>
        <w:gridCol w:w="540"/>
        <w:gridCol w:w="109"/>
        <w:gridCol w:w="109"/>
        <w:gridCol w:w="109"/>
        <w:gridCol w:w="571"/>
        <w:gridCol w:w="571"/>
        <w:gridCol w:w="573"/>
        <w:gridCol w:w="109"/>
        <w:gridCol w:w="109"/>
        <w:gridCol w:w="109"/>
        <w:gridCol w:w="488"/>
        <w:gridCol w:w="488"/>
        <w:gridCol w:w="489"/>
        <w:gridCol w:w="109"/>
        <w:gridCol w:w="109"/>
        <w:gridCol w:w="109"/>
        <w:gridCol w:w="1202"/>
        <w:gridCol w:w="1202"/>
        <w:gridCol w:w="1705"/>
      </w:tblGrid>
      <w:tr>
        <w:trPr/>
        <w:tc>
          <w:tcPr>
            <w:tcW w:w="85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approximate dollar value of shares that may yet be purchased under the program (in millions)</w:t>
            </w:r>
          </w:p>
        </w:tc>
      </w:tr>
      <w:tr>
        <w:trPr/>
        <w:tc>
          <w:tcPr>
            <w:tcW w:w="1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2024 - 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$62.9</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2024 - August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176,720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$60.9</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2024 -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$60.5</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585,119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345"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directors or officers (as defined in Rule 16a-1(f) under the Exchange Act) adopted or terminated a Rule 10b5-1 trading arrangement or a non-Rule 10b5-1 trading arrangement (as defined in Item 408(c) of Regulation S-K) during the quarterly period covered by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before="18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68"/>
        <w:gridCol w:w="235"/>
        <w:gridCol w:w="236"/>
        <w:gridCol w:w="109"/>
        <w:gridCol w:w="109"/>
        <w:gridCol w:w="109"/>
        <w:gridCol w:w="2667"/>
        <w:gridCol w:w="2667"/>
        <w:gridCol w:w="3805"/>
      </w:tblGrid>
      <w:tr>
        <w:trPr/>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r>
      <w:tr>
        <w:trPr/>
        <w:tc>
          <w:tcPr>
            <w:tcW w:w="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9" w:type="dxa"/>
            <w:gridSpan w:val="3"/>
            <w:tcBorders/>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9" w:type="dxa"/>
            <w:gridSpan w:val="3"/>
            <w:tcBorders/>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9" w:type="dxa"/>
            <w:gridSpan w:val="3"/>
            <w:tcBorders/>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9" w:type="dxa"/>
            <w:gridSpan w:val="3"/>
            <w:tcBorders/>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9" w:type="dxa"/>
            <w:gridSpan w:val="3"/>
            <w:tcBorders/>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9" w:type="dxa"/>
            <w:gridSpan w:val="3"/>
            <w:tcBorders/>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 xml:space="preserve">Agreement and Plan of Merger, by and among Fairmount Holdings, Inc., Fairmount Merger Sub, Inc., Accel Entertainment, Inc. and Robert V. Vitale, an individual, solely in his capacity as the Shareholder Representative, dated as of July 12, 2024 (Incorporated by reference to Exhibit 10.1 to the Company's Current Report on Form 8-K dated July 15, 2024) </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19302024.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129302024.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19302024.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ccelexhibit32293024.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Inline XBRL File (included in Exhibit 101)</w:t>
            </w:r>
          </w:p>
        </w:tc>
      </w:tr>
    </w:tbl>
    <w:p>
      <w:pPr>
        <w:pStyle w:val="TextBody"/>
        <w:bidi w:val="0"/>
        <w:spacing w:before="0" w:after="0"/>
        <w:ind w:left="0" w:right="0" w:hanging="360"/>
        <w:jc w:val="left"/>
        <w:rPr/>
      </w:pPr>
      <w:r>
        <w:rPr/>
      </w:r>
    </w:p>
    <w:p>
      <w:pPr>
        <w:pStyle w:val="TextBody"/>
        <w:bidi w:val="0"/>
        <w:spacing w:lineRule="auto" w:line="417"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Indicates management contract or compensation plan 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fa1bbe62dbe4bb4a9e64dc7eff97e2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45" w:before="1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585" w:type="dxa"/>
        <w:jc w:val="center"/>
        <w:tblInd w:w="0" w:type="dxa"/>
        <w:tblLayout w:type="fixed"/>
        <w:tblCellMar>
          <w:top w:w="28" w:type="dxa"/>
          <w:left w:w="28" w:type="dxa"/>
          <w:bottom w:w="28" w:type="dxa"/>
          <w:right w:w="28" w:type="dxa"/>
        </w:tblCellMar>
      </w:tblPr>
      <w:tblGrid>
        <w:gridCol w:w="726"/>
        <w:gridCol w:w="640"/>
        <w:gridCol w:w="643"/>
        <w:gridCol w:w="457"/>
        <w:gridCol w:w="457"/>
        <w:gridCol w:w="457"/>
        <w:gridCol w:w="644"/>
        <w:gridCol w:w="644"/>
        <w:gridCol w:w="91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 ENTERTAINMENT,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30, 2024</w:t>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Christie Kozlik</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Christie Kozlik</w:t>
              <w:br/>
              <w:t>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417"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Andrew Rubenstein,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776"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1299"/>
        <w:gridCol w:w="1299"/>
        <w:gridCol w:w="1842"/>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Mathew Ellis, certify that: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Accel Entertainment, Inc.;</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160" w:after="30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655"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1264"/>
        <w:gridCol w:w="1264"/>
        <w:gridCol w:w="179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Executive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Accel Entertainment, Inc. (the “Company”) for the three months ended September 30, 2024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454" w:type="dxa"/>
        <w:jc w:val="left"/>
        <w:tblInd w:w="0" w:type="dxa"/>
        <w:tblLayout w:type="fixed"/>
        <w:tblCellMar>
          <w:top w:w="28" w:type="dxa"/>
          <w:left w:w="28" w:type="dxa"/>
          <w:bottom w:w="28" w:type="dxa"/>
          <w:right w:w="28" w:type="dxa"/>
        </w:tblCellMar>
      </w:tblPr>
      <w:tblGrid>
        <w:gridCol w:w="1425"/>
        <w:gridCol w:w="1253"/>
        <w:gridCol w:w="1776"/>
      </w:tblGrid>
      <w:tr>
        <w:trPr/>
        <w:tc>
          <w:tcPr>
            <w:tcW w:w="142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40" w:after="4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Andrew Rubenstein</w:t>
            </w:r>
          </w:p>
        </w:tc>
      </w:tr>
      <w:tr>
        <w:trPr/>
        <w:tc>
          <w:tcPr>
            <w:tcW w:w="4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Rubenstein</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30, 2024 </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417" w:before="16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Principal Financial Officer</w:t>
      </w:r>
    </w:p>
    <w:p>
      <w:pPr>
        <w:pStyle w:val="TextBody"/>
        <w:bidi w:val="0"/>
        <w:spacing w:lineRule="auto" w:line="345"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Accel Entertainment, Inc. (the “Company”) for the three months ended September 30, 2024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(15 U.S.C. 78m(a) or 78o(d)); and</w:t>
      </w:r>
    </w:p>
    <w:p>
      <w:pPr>
        <w:pStyle w:val="TextBody"/>
        <w:bidi w:val="0"/>
        <w:spacing w:lineRule="auto" w:line="345" w:before="180" w:after="283"/>
        <w:ind w:left="0" w:right="0" w:hanging="58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334" w:type="dxa"/>
        <w:jc w:val="left"/>
        <w:tblInd w:w="0" w:type="dxa"/>
        <w:tblLayout w:type="fixed"/>
        <w:tblCellMar>
          <w:top w:w="28" w:type="dxa"/>
          <w:left w:w="28" w:type="dxa"/>
          <w:bottom w:w="28" w:type="dxa"/>
          <w:right w:w="28" w:type="dxa"/>
        </w:tblCellMar>
      </w:tblPr>
      <w:tblGrid>
        <w:gridCol w:w="1386"/>
        <w:gridCol w:w="1217"/>
        <w:gridCol w:w="1731"/>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ans-serif" w:hAnsi="Times New Roman;sans-serif"/>
                <w:b w:val="false"/>
                <w:i/>
                <w:color w:val="000000"/>
                <w:sz w:val="20"/>
              </w:rPr>
            </w:pPr>
            <w:r>
              <w:rPr>
                <w:rFonts w:ascii="Times New Roman;sans-serif" w:hAnsi="Times New Roman;sans-serif"/>
                <w:b w:val="false"/>
                <w:i/>
                <w:color w:val="000000"/>
                <w:sz w:val="20"/>
              </w:rPr>
              <w:t>/s/ Mathew Ellis</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Mathew Ellis</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lineRule="auto" w:line="417"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October 30, 2024 </w:t>
      </w:r>
    </w:p>
    <w:p>
      <w:pPr>
        <w:pStyle w:val="TextBody"/>
        <w:bidi w:val="0"/>
        <w:spacing w:lineRule="auto" w:line="345"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8991/000169899124000031/agreementandplanofmergerby.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19282</Words>
  <Characters>107816</Characters>
  <CharactersWithSpaces>125777</CharactersWithSpaces>
  <Paragraphs>2636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