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44" w:lineRule="exact"/>
        <w:rPr>
          <w:sz w:val="24"/>
          <w:szCs w:val="24"/>
          <w:color w:val="auto"/>
        </w:rPr>
      </w:pPr>
    </w:p>
    <w:p>
      <w:pPr>
        <w:ind w:left="1900" w:hanging="302"/>
        <w:spacing w:after="0"/>
        <w:tabs>
          <w:tab w:leader="none" w:pos="19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77" w:lineRule="exact"/>
        <w:rPr>
          <w:sz w:val="24"/>
          <w:szCs w:val="24"/>
          <w:color w:val="auto"/>
        </w:rPr>
      </w:pPr>
    </w:p>
    <w:p>
      <w:pPr>
        <w:ind w:left="1700" w:hanging="323"/>
        <w:spacing w:after="0"/>
        <w:tabs>
          <w:tab w:leader="none" w:pos="17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9" w:lineRule="exact"/>
        <w:rPr>
          <w:rFonts w:ascii="MS PGothic" w:cs="MS PGothic" w:eastAsia="MS PGothic" w:hAnsi="MS PGothic"/>
          <w:sz w:val="16"/>
          <w:szCs w:val="16"/>
          <w:color w:val="auto"/>
        </w:rPr>
      </w:pPr>
    </w:p>
    <w:p>
      <w:pPr>
        <w:ind w:left="40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For the transition period from _______ to ______</w:t>
      </w:r>
    </w:p>
    <w:p>
      <w:pPr>
        <w:spacing w:after="0" w:line="68" w:lineRule="exact"/>
        <w:rPr>
          <w:rFonts w:ascii="MS PGothic" w:cs="MS PGothic" w:eastAsia="MS PGothic" w:hAnsi="MS PGothic"/>
          <w:sz w:val="16"/>
          <w:szCs w:val="16"/>
          <w:color w:val="auto"/>
        </w:rPr>
      </w:pPr>
    </w:p>
    <w:p>
      <w:pPr>
        <w:ind w:left="438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Commission File Number 001-38136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2131060</wp:posOffset>
            </wp:positionH>
            <wp:positionV relativeFrom="paragraph">
              <wp:posOffset>85725</wp:posOffset>
            </wp:positionV>
            <wp:extent cx="2888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Accel Entertainment,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2131060</wp:posOffset>
            </wp:positionH>
            <wp:positionV relativeFrom="paragraph">
              <wp:posOffset>57785</wp:posOffset>
            </wp:positionV>
            <wp:extent cx="2888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7" w:lineRule="exact"/>
        <w:rPr>
          <w:sz w:val="24"/>
          <w:szCs w:val="24"/>
          <w:color w:val="auto"/>
        </w:rPr>
      </w:pPr>
    </w:p>
    <w:tbl>
      <w:tblPr>
        <w:tblLayout w:type="fixed"/>
        <w:tblInd w:w="132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2500" w:type="dxa"/>
            <w:vAlign w:val="bottom"/>
            <w:gridSpan w:val="2"/>
          </w:tcPr>
          <w:p>
            <w:pPr>
              <w:spacing w:after="0"/>
              <w:rPr>
                <w:sz w:val="14"/>
                <w:szCs w:val="14"/>
                <w:color w:val="auto"/>
              </w:rPr>
            </w:pPr>
          </w:p>
        </w:tc>
        <w:tc>
          <w:tcPr>
            <w:tcW w:w="2320" w:type="dxa"/>
            <w:vAlign w:val="bottom"/>
            <w:gridSpan w:val="4"/>
          </w:tcPr>
          <w:p>
            <w:pPr>
              <w:jc w:val="center"/>
              <w:ind w:left="1568"/>
              <w:spacing w:after="0"/>
              <w:rPr>
                <w:sz w:val="20"/>
                <w:szCs w:val="20"/>
                <w:color w:val="auto"/>
              </w:rPr>
            </w:pPr>
            <w:r>
              <w:rPr>
                <w:rFonts w:ascii="Arial" w:cs="Arial" w:eastAsia="Arial" w:hAnsi="Arial"/>
                <w:sz w:val="14"/>
                <w:szCs w:val="14"/>
                <w:b w:val="1"/>
                <w:bCs w:val="1"/>
                <w:color w:val="auto"/>
                <w:w w:val="90"/>
              </w:rPr>
              <w:t>98-1350261</w:t>
            </w:r>
          </w:p>
        </w:tc>
        <w:tc>
          <w:tcPr>
            <w:tcW w:w="76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8"/>
        </w:trPr>
        <w:tc>
          <w:tcPr>
            <w:tcW w:w="4700" w:type="dxa"/>
            <w:vAlign w:val="bottom"/>
            <w:gridSpan w:val="7"/>
          </w:tcPr>
          <w:p>
            <w:pPr>
              <w:jc w:val="center"/>
              <w:ind w:right="880"/>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3080" w:type="dxa"/>
            <w:vAlign w:val="bottom"/>
            <w:gridSpan w:val="5"/>
          </w:tcPr>
          <w:p>
            <w:pPr>
              <w:jc w:val="center"/>
              <w:ind w:left="808"/>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255"/>
        </w:trPr>
        <w:tc>
          <w:tcPr>
            <w:tcW w:w="860" w:type="dxa"/>
            <w:vAlign w:val="bottom"/>
          </w:tcPr>
          <w:p>
            <w:pPr>
              <w:spacing w:after="0"/>
              <w:rPr>
                <w:sz w:val="22"/>
                <w:szCs w:val="22"/>
                <w:color w:val="auto"/>
              </w:rPr>
            </w:pPr>
          </w:p>
        </w:tc>
        <w:tc>
          <w:tcPr>
            <w:tcW w:w="3840" w:type="dxa"/>
            <w:vAlign w:val="bottom"/>
            <w:gridSpan w:val="6"/>
          </w:tcPr>
          <w:p>
            <w:pPr>
              <w:spacing w:after="0"/>
              <w:rPr>
                <w:sz w:val="20"/>
                <w:szCs w:val="20"/>
                <w:color w:val="auto"/>
              </w:rPr>
            </w:pPr>
            <w:r>
              <w:rPr>
                <w:rFonts w:ascii="Arial" w:cs="Arial" w:eastAsia="Arial" w:hAnsi="Arial"/>
                <w:sz w:val="14"/>
                <w:szCs w:val="14"/>
                <w:b w:val="1"/>
                <w:bCs w:val="1"/>
                <w:color w:val="auto"/>
              </w:rPr>
              <w:t>140 Tower Drive Burr Ridge, Illinois</w:t>
            </w:r>
          </w:p>
        </w:tc>
        <w:tc>
          <w:tcPr>
            <w:tcW w:w="2320" w:type="dxa"/>
            <w:vAlign w:val="bottom"/>
            <w:gridSpan w:val="4"/>
          </w:tcPr>
          <w:p>
            <w:pPr>
              <w:jc w:val="center"/>
              <w:ind w:left="1568"/>
              <w:spacing w:after="0"/>
              <w:rPr>
                <w:sz w:val="20"/>
                <w:szCs w:val="20"/>
                <w:color w:val="auto"/>
              </w:rPr>
            </w:pPr>
            <w:r>
              <w:rPr>
                <w:rFonts w:ascii="Arial" w:cs="Arial" w:eastAsia="Arial" w:hAnsi="Arial"/>
                <w:sz w:val="14"/>
                <w:szCs w:val="14"/>
                <w:b w:val="1"/>
                <w:bCs w:val="1"/>
                <w:color w:val="auto"/>
                <w:w w:val="92"/>
              </w:rPr>
              <w:t>60527</w:t>
            </w:r>
          </w:p>
        </w:tc>
        <w:tc>
          <w:tcPr>
            <w:tcW w:w="760" w:type="dxa"/>
            <w:vAlign w:val="bottom"/>
          </w:tcPr>
          <w:p>
            <w:pPr>
              <w:spacing w:after="0"/>
              <w:rPr>
                <w:sz w:val="22"/>
                <w:szCs w:val="22"/>
                <w:color w:val="auto"/>
              </w:rPr>
            </w:pPr>
          </w:p>
        </w:tc>
      </w:tr>
      <w:tr>
        <w:trPr>
          <w:trHeight w:val="20"/>
        </w:trPr>
        <w:tc>
          <w:tcPr>
            <w:tcW w:w="86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238"/>
        </w:trPr>
        <w:tc>
          <w:tcPr>
            <w:tcW w:w="4700" w:type="dxa"/>
            <w:vAlign w:val="bottom"/>
            <w:gridSpan w:val="7"/>
          </w:tcPr>
          <w:p>
            <w:pPr>
              <w:jc w:val="center"/>
              <w:ind w:right="88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640" w:type="dxa"/>
            <w:vAlign w:val="bottom"/>
          </w:tcPr>
          <w:p>
            <w:pPr>
              <w:spacing w:after="0"/>
              <w:rPr>
                <w:sz w:val="20"/>
                <w:szCs w:val="20"/>
                <w:color w:val="auto"/>
              </w:rPr>
            </w:pPr>
          </w:p>
        </w:tc>
        <w:tc>
          <w:tcPr>
            <w:tcW w:w="144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w w:val="98"/>
              </w:rPr>
              <w:t>(Zip Code)</w:t>
            </w:r>
          </w:p>
        </w:tc>
      </w:tr>
    </w:tbl>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(630) 972-2235</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58" w:lineRule="exact"/>
        <w:rPr>
          <w:sz w:val="24"/>
          <w:szCs w:val="24"/>
          <w:color w:val="auto"/>
        </w:rPr>
      </w:pPr>
    </w:p>
    <w:tbl>
      <w:tblPr>
        <w:tblLayout w:type="fixed"/>
        <w:tblInd w:w="1240" w:type="dxa"/>
        <w:tblCellMar>
          <w:top w:w="0" w:type="dxa"/>
          <w:left w:w="0" w:type="dxa"/>
          <w:bottom w:w="0" w:type="dxa"/>
          <w:right w:w="0" w:type="dxa"/>
        </w:tblCellMar>
      </w:tblPr>
      <w:tr>
        <w:trPr>
          <w:trHeight w:val="149"/>
        </w:trPr>
        <w:tc>
          <w:tcPr>
            <w:tcW w:w="84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8"/>
              </w:rPr>
              <w:t>Title of Each Class</w:t>
            </w:r>
          </w:p>
        </w:tc>
        <w:tc>
          <w:tcPr>
            <w:tcW w:w="2060" w:type="dxa"/>
            <w:vAlign w:val="bottom"/>
          </w:tcPr>
          <w:p>
            <w:pPr>
              <w:spacing w:after="0"/>
              <w:rPr>
                <w:sz w:val="13"/>
                <w:szCs w:val="13"/>
                <w:color w:val="auto"/>
              </w:rPr>
            </w:pPr>
          </w:p>
        </w:tc>
        <w:tc>
          <w:tcPr>
            <w:tcW w:w="2260" w:type="dxa"/>
            <w:vAlign w:val="bottom"/>
            <w:gridSpan w:val="2"/>
          </w:tcPr>
          <w:p>
            <w:pPr>
              <w:jc w:val="center"/>
              <w:ind w:right="1340"/>
              <w:spacing w:after="0"/>
              <w:rPr>
                <w:sz w:val="20"/>
                <w:szCs w:val="20"/>
                <w:color w:val="auto"/>
              </w:rPr>
            </w:pPr>
            <w:r>
              <w:rPr>
                <w:rFonts w:ascii="Arial" w:cs="Arial" w:eastAsia="Arial" w:hAnsi="Arial"/>
                <w:sz w:val="13"/>
                <w:szCs w:val="13"/>
                <w:b w:val="1"/>
                <w:bCs w:val="1"/>
                <w:color w:val="auto"/>
                <w:w w:val="87"/>
              </w:rPr>
              <w:t>Trading Symbols</w:t>
            </w:r>
          </w:p>
        </w:tc>
        <w:tc>
          <w:tcPr>
            <w:tcW w:w="246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r>
      <w:tr>
        <w:trPr>
          <w:trHeight w:val="207"/>
        </w:trPr>
        <w:tc>
          <w:tcPr>
            <w:tcW w:w="3920" w:type="dxa"/>
            <w:vAlign w:val="bottom"/>
            <w:gridSpan w:val="3"/>
          </w:tcPr>
          <w:p>
            <w:pPr>
              <w:jc w:val="center"/>
              <w:ind w:right="1200"/>
              <w:spacing w:after="0"/>
              <w:rPr>
                <w:sz w:val="20"/>
                <w:szCs w:val="20"/>
                <w:color w:val="auto"/>
              </w:rPr>
            </w:pPr>
            <w:r>
              <w:rPr>
                <w:rFonts w:ascii="Arial" w:cs="Arial" w:eastAsia="Arial" w:hAnsi="Arial"/>
                <w:sz w:val="13"/>
                <w:szCs w:val="13"/>
                <w:color w:val="auto"/>
                <w:w w:val="87"/>
              </w:rPr>
              <w:t>Class A-1 Common Stock, par value $.0001 per share</w:t>
            </w:r>
          </w:p>
        </w:tc>
        <w:tc>
          <w:tcPr>
            <w:tcW w:w="2260" w:type="dxa"/>
            <w:vAlign w:val="bottom"/>
            <w:gridSpan w:val="2"/>
          </w:tcPr>
          <w:p>
            <w:pPr>
              <w:jc w:val="center"/>
              <w:ind w:right="1340"/>
              <w:spacing w:after="0"/>
              <w:rPr>
                <w:sz w:val="20"/>
                <w:szCs w:val="20"/>
                <w:color w:val="auto"/>
              </w:rPr>
            </w:pPr>
            <w:r>
              <w:rPr>
                <w:rFonts w:ascii="Arial" w:cs="Arial" w:eastAsia="Arial" w:hAnsi="Arial"/>
                <w:sz w:val="13"/>
                <w:szCs w:val="13"/>
                <w:color w:val="auto"/>
                <w:w w:val="94"/>
              </w:rPr>
              <w:t>ACEL</w:t>
            </w:r>
          </w:p>
        </w:tc>
        <w:tc>
          <w:tcPr>
            <w:tcW w:w="2460" w:type="dxa"/>
            <w:vAlign w:val="bottom"/>
          </w:tcPr>
          <w:p>
            <w:pPr>
              <w:jc w:val="center"/>
              <w:spacing w:after="0"/>
              <w:rPr>
                <w:sz w:val="20"/>
                <w:szCs w:val="20"/>
                <w:color w:val="auto"/>
              </w:rPr>
            </w:pPr>
            <w:r>
              <w:rPr>
                <w:rFonts w:ascii="Arial" w:cs="Arial" w:eastAsia="Arial" w:hAnsi="Arial"/>
                <w:sz w:val="13"/>
                <w:szCs w:val="13"/>
                <w:color w:val="auto"/>
                <w:w w:val="87"/>
              </w:rPr>
              <w:t>The New York Stock Exchange</w:t>
            </w:r>
          </w:p>
        </w:tc>
      </w:tr>
    </w:tbl>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92" w:lineRule="exact"/>
        <w:rPr>
          <w:sz w:val="24"/>
          <w:szCs w:val="24"/>
          <w:color w:val="auto"/>
        </w:rPr>
      </w:pPr>
    </w:p>
    <w:p>
      <w:pPr>
        <w:ind w:left="340" w:right="2000"/>
        <w:spacing w:after="0" w:line="282"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4" w:lineRule="exact"/>
        <w:rPr>
          <w:sz w:val="24"/>
          <w:szCs w:val="24"/>
          <w:color w:val="auto"/>
        </w:rPr>
      </w:pPr>
    </w:p>
    <w:p>
      <w:pPr>
        <w:jc w:val="both"/>
        <w:ind w:firstLine="324"/>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jc w:val="both"/>
        <w:ind w:firstLine="324"/>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4" w:lineRule="exact"/>
        <w:rPr>
          <w:sz w:val="24"/>
          <w:szCs w:val="24"/>
          <w:color w:val="auto"/>
        </w:rPr>
      </w:pPr>
    </w:p>
    <w:p>
      <w:pPr>
        <w:jc w:val="both"/>
        <w:ind w:firstLine="324"/>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1920" w:type="dxa"/>
        <w:tblCellMar>
          <w:top w:w="0" w:type="dxa"/>
          <w:left w:w="0" w:type="dxa"/>
          <w:bottom w:w="0" w:type="dxa"/>
          <w:right w:w="0" w:type="dxa"/>
        </w:tblCellMar>
      </w:tblPr>
      <w:tr>
        <w:trPr>
          <w:trHeight w:val="199"/>
        </w:trPr>
        <w:tc>
          <w:tcPr>
            <w:tcW w:w="21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08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rPr>
              <w:t>☐</w:t>
            </w:r>
          </w:p>
        </w:tc>
        <w:tc>
          <w:tcPr>
            <w:tcW w:w="3020" w:type="dxa"/>
            <w:vAlign w:val="bottom"/>
          </w:tcPr>
          <w:p>
            <w:pPr>
              <w:ind w:left="940"/>
              <w:spacing w:after="0"/>
              <w:rPr>
                <w:sz w:val="20"/>
                <w:szCs w:val="20"/>
                <w:color w:val="auto"/>
              </w:rPr>
            </w:pPr>
            <w:r>
              <w:rPr>
                <w:rFonts w:ascii="Arial" w:cs="Arial" w:eastAsia="Arial" w:hAnsi="Arial"/>
                <w:sz w:val="13"/>
                <w:szCs w:val="13"/>
                <w:color w:val="auto"/>
              </w:rPr>
              <w:t>Accelerated filer</w:t>
            </w:r>
          </w:p>
        </w:tc>
        <w:tc>
          <w:tcPr>
            <w:tcW w:w="840" w:type="dxa"/>
            <w:vAlign w:val="bottom"/>
          </w:tcPr>
          <w:p>
            <w:pPr>
              <w:ind w:left="7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3"/>
        </w:trPr>
        <w:tc>
          <w:tcPr>
            <w:tcW w:w="2180" w:type="dxa"/>
            <w:vAlign w:val="bottom"/>
          </w:tcPr>
          <w:p>
            <w:pPr>
              <w:spacing w:after="0"/>
              <w:rPr>
                <w:sz w:val="20"/>
                <w:szCs w:val="20"/>
                <w:color w:val="auto"/>
              </w:rPr>
            </w:pPr>
            <w:r>
              <w:rPr>
                <w:rFonts w:ascii="Arial" w:cs="Arial" w:eastAsia="Arial" w:hAnsi="Arial"/>
                <w:sz w:val="13"/>
                <w:szCs w:val="13"/>
                <w:color w:val="auto"/>
              </w:rPr>
              <w:t>Non-accelerated filer</w:t>
            </w:r>
          </w:p>
        </w:tc>
        <w:tc>
          <w:tcPr>
            <w:tcW w:w="208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rPr>
              <w:t>☐</w:t>
            </w:r>
          </w:p>
        </w:tc>
        <w:tc>
          <w:tcPr>
            <w:tcW w:w="3020" w:type="dxa"/>
            <w:vAlign w:val="bottom"/>
          </w:tcPr>
          <w:p>
            <w:pPr>
              <w:ind w:left="940"/>
              <w:spacing w:after="0"/>
              <w:rPr>
                <w:sz w:val="20"/>
                <w:szCs w:val="20"/>
                <w:color w:val="auto"/>
              </w:rPr>
            </w:pPr>
            <w:r>
              <w:rPr>
                <w:rFonts w:ascii="Arial" w:cs="Arial" w:eastAsia="Arial" w:hAnsi="Arial"/>
                <w:sz w:val="13"/>
                <w:szCs w:val="13"/>
                <w:color w:val="auto"/>
              </w:rPr>
              <w:t>Smaller reporting company</w:t>
            </w:r>
          </w:p>
        </w:tc>
        <w:tc>
          <w:tcPr>
            <w:tcW w:w="840" w:type="dxa"/>
            <w:vAlign w:val="bottom"/>
          </w:tcPr>
          <w:p>
            <w:pPr>
              <w:ind w:left="7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2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20" w:type="dxa"/>
            <w:vAlign w:val="bottom"/>
          </w:tcPr>
          <w:p>
            <w:pPr>
              <w:ind w:left="940"/>
              <w:spacing w:after="0"/>
              <w:rPr>
                <w:sz w:val="20"/>
                <w:szCs w:val="20"/>
                <w:color w:val="auto"/>
              </w:rPr>
            </w:pPr>
            <w:r>
              <w:rPr>
                <w:rFonts w:ascii="Arial" w:cs="Arial" w:eastAsia="Arial" w:hAnsi="Arial"/>
                <w:sz w:val="13"/>
                <w:szCs w:val="13"/>
                <w:color w:val="auto"/>
              </w:rPr>
              <w:t>Emerging growth company</w:t>
            </w:r>
          </w:p>
        </w:tc>
        <w:tc>
          <w:tcPr>
            <w:tcW w:w="840" w:type="dxa"/>
            <w:vAlign w:val="bottom"/>
          </w:tcPr>
          <w:p>
            <w:pPr>
              <w:ind w:left="7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00" w:lineRule="exact"/>
        <w:rPr>
          <w:sz w:val="24"/>
          <w:szCs w:val="24"/>
          <w:color w:val="auto"/>
        </w:rPr>
      </w:pPr>
    </w:p>
    <w:p>
      <w:pPr>
        <w:ind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7" w:lineRule="exact"/>
        <w:rPr>
          <w:sz w:val="24"/>
          <w:szCs w:val="24"/>
          <w:color w:val="auto"/>
        </w:rPr>
      </w:pPr>
    </w:p>
    <w:p>
      <w:pPr>
        <w:ind w:right="20" w:firstLine="324"/>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3" w:lineRule="exact"/>
        <w:rPr>
          <w:sz w:val="24"/>
          <w:szCs w:val="24"/>
          <w:color w:val="auto"/>
        </w:rPr>
      </w:pPr>
    </w:p>
    <w:p>
      <w:pPr>
        <w:ind w:firstLine="324"/>
        <w:spacing w:after="0" w:line="214"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3" w:lineRule="exact"/>
        <w:rPr>
          <w:sz w:val="24"/>
          <w:szCs w:val="24"/>
          <w:color w:val="auto"/>
        </w:rPr>
      </w:pPr>
    </w:p>
    <w:p>
      <w:pPr>
        <w:ind w:firstLine="324"/>
        <w:spacing w:after="0" w:line="214"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43" w:lineRule="exact"/>
        <w:rPr>
          <w:sz w:val="24"/>
          <w:szCs w:val="24"/>
          <w:color w:val="auto"/>
        </w:rPr>
      </w:pPr>
    </w:p>
    <w:p>
      <w:pPr>
        <w:ind w:left="340"/>
        <w:spacing w:after="0" w:line="184" w:lineRule="exact"/>
        <w:tabs>
          <w:tab w:leader="none" w:pos="7140" w:val="left"/>
          <w:tab w:leader="none" w:pos="77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4" w:lineRule="exact"/>
        <w:rPr>
          <w:sz w:val="24"/>
          <w:szCs w:val="24"/>
          <w:color w:val="auto"/>
        </w:rPr>
      </w:pPr>
    </w:p>
    <w:p>
      <w:pPr>
        <w:ind w:firstLine="324"/>
        <w:spacing w:after="0" w:line="334" w:lineRule="auto"/>
        <w:rPr>
          <w:sz w:val="20"/>
          <w:szCs w:val="20"/>
          <w:color w:val="auto"/>
        </w:rPr>
      </w:pPr>
      <w:r>
        <w:rPr>
          <w:rFonts w:ascii="Arial" w:cs="Arial" w:eastAsia="Arial" w:hAnsi="Arial"/>
          <w:sz w:val="13"/>
          <w:szCs w:val="13"/>
          <w:color w:val="auto"/>
        </w:rPr>
        <w:t>As of June 30, 2022, the last business day of the registrant’s most recently completed second fiscal quarter, the aggregate market value of the registrant’s Class A ordinary shares outstanding held by non-affiliates of the registrant was approximately $610.3 million based on the closing price of such stock as reported on The New York Stock Exchange on such date.</w:t>
      </w:r>
    </w:p>
    <w:p>
      <w:pPr>
        <w:spacing w:after="0" w:line="4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24, 2023, there were 86,666,703 shares outstanding of the registrant’s Class A-1 Common Stock, par value $.0001 per share.</w:t>
      </w:r>
    </w:p>
    <w:p>
      <w:pPr>
        <w:spacing w:after="0" w:line="123" w:lineRule="exact"/>
        <w:rPr>
          <w:sz w:val="24"/>
          <w:szCs w:val="24"/>
          <w:color w:val="auto"/>
        </w:rPr>
      </w:pPr>
    </w:p>
    <w:p>
      <w:pPr>
        <w:ind w:firstLine="324"/>
        <w:spacing w:after="0" w:line="293" w:lineRule="auto"/>
        <w:rPr>
          <w:sz w:val="20"/>
          <w:szCs w:val="20"/>
          <w:color w:val="auto"/>
        </w:rPr>
      </w:pPr>
      <w:r>
        <w:rPr>
          <w:rFonts w:ascii="Arial" w:cs="Arial" w:eastAsia="Arial" w:hAnsi="Arial"/>
          <w:sz w:val="14"/>
          <w:szCs w:val="14"/>
          <w:color w:val="auto"/>
        </w:rPr>
        <w:t>Portions of the registrant’s definitive Proxy Statement for its 2023 Annual Meeting of Stockholders are incorporated by reference into Part III of this Annual Report on Form 10-K where indicated. Such Proxy Statement will be filed with the Securities and Exchange Commission within 120 days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9980" w:type="dxa"/>
            <w:vAlign w:val="bottom"/>
          </w:tcPr>
          <w:p>
            <w:pPr>
              <w:jc w:val="center"/>
              <w:ind w:right="770"/>
              <w:spacing w:after="0"/>
              <w:rPr>
                <w:sz w:val="20"/>
                <w:szCs w:val="20"/>
                <w:color w:val="auto"/>
              </w:rPr>
            </w:pPr>
            <w:r>
              <w:rPr>
                <w:rFonts w:ascii="Arial" w:cs="Arial" w:eastAsia="Arial" w:hAnsi="Arial"/>
                <w:sz w:val="18"/>
                <w:szCs w:val="18"/>
                <w:b w:val="1"/>
                <w:bCs w:val="1"/>
                <w:color w:val="auto"/>
              </w:rPr>
              <w:t>ACCEL ENTERTAINMENT, INC.</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60" w:type="dxa"/>
            <w:vAlign w:val="bottom"/>
          </w:tcPr>
          <w:p>
            <w:pPr>
              <w:spacing w:after="0"/>
              <w:rPr>
                <w:sz w:val="20"/>
                <w:szCs w:val="20"/>
                <w:color w:val="auto"/>
              </w:rPr>
            </w:pPr>
          </w:p>
        </w:tc>
        <w:tc>
          <w:tcPr>
            <w:tcW w:w="9980" w:type="dxa"/>
            <w:vAlign w:val="bottom"/>
          </w:tcPr>
          <w:p>
            <w:pPr>
              <w:jc w:val="center"/>
              <w:ind w:right="750"/>
              <w:spacing w:after="0"/>
              <w:rPr>
                <w:sz w:val="20"/>
                <w:szCs w:val="20"/>
                <w:color w:val="auto"/>
              </w:rPr>
            </w:pPr>
            <w:r>
              <w:rPr>
                <w:rFonts w:ascii="Arial" w:cs="Arial" w:eastAsia="Arial" w:hAnsi="Arial"/>
                <w:sz w:val="18"/>
                <w:szCs w:val="18"/>
                <w:b w:val="1"/>
                <w:bCs w:val="1"/>
                <w:color w:val="auto"/>
                <w:w w:val="99"/>
              </w:rPr>
              <w:t>ANNUAL REPORT ON FORM 10-K</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1060" w:type="dxa"/>
            <w:vAlign w:val="bottom"/>
          </w:tcPr>
          <w:p>
            <w:pPr>
              <w:spacing w:after="0"/>
              <w:rPr>
                <w:sz w:val="23"/>
                <w:szCs w:val="23"/>
                <w:color w:val="auto"/>
              </w:rPr>
            </w:pPr>
          </w:p>
        </w:tc>
        <w:tc>
          <w:tcPr>
            <w:tcW w:w="9980" w:type="dxa"/>
            <w:vAlign w:val="bottom"/>
          </w:tcPr>
          <w:p>
            <w:pPr>
              <w:jc w:val="center"/>
              <w:ind w:right="750"/>
              <w:spacing w:after="0"/>
              <w:rPr>
                <w:sz w:val="20"/>
                <w:szCs w:val="20"/>
                <w:color w:val="auto"/>
              </w:rPr>
            </w:pPr>
            <w:r>
              <w:rPr>
                <w:rFonts w:ascii="Arial" w:cs="Arial" w:eastAsia="Arial" w:hAnsi="Arial"/>
                <w:sz w:val="18"/>
                <w:szCs w:val="18"/>
                <w:color w:val="auto"/>
                <w:w w:val="95"/>
              </w:rPr>
              <w:t>TABLE OF CONTENTS</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24"/>
        </w:trPr>
        <w:tc>
          <w:tcPr>
            <w:tcW w:w="1060" w:type="dxa"/>
            <w:vAlign w:val="bottom"/>
          </w:tcPr>
          <w:p>
            <w:pPr>
              <w:spacing w:after="0"/>
              <w:rPr>
                <w:sz w:val="24"/>
                <w:szCs w:val="24"/>
                <w:color w:val="auto"/>
              </w:rPr>
            </w:pPr>
          </w:p>
        </w:tc>
        <w:tc>
          <w:tcPr>
            <w:tcW w:w="9980" w:type="dxa"/>
            <w:vAlign w:val="bottom"/>
          </w:tcPr>
          <w:p>
            <w:pPr>
              <w:jc w:val="center"/>
              <w:ind w:right="750"/>
              <w:spacing w:after="0"/>
              <w:rPr>
                <w:sz w:val="20"/>
                <w:szCs w:val="20"/>
                <w:color w:val="auto"/>
              </w:rPr>
            </w:pPr>
            <w:r>
              <w:rPr>
                <w:rFonts w:ascii="Arial" w:cs="Arial" w:eastAsia="Arial" w:hAnsi="Arial"/>
                <w:sz w:val="18"/>
                <w:szCs w:val="18"/>
                <w:b w:val="1"/>
                <w:bCs w:val="1"/>
                <w:color w:val="auto"/>
                <w:w w:val="98"/>
              </w:rPr>
              <w:t>PART I</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color w:val="auto"/>
              </w:rPr>
              <w:t>ITEM 1.</w:t>
            </w:r>
          </w:p>
        </w:tc>
        <w:tc>
          <w:tcPr>
            <w:tcW w:w="9980" w:type="dxa"/>
            <w:vAlign w:val="bottom"/>
          </w:tcPr>
          <w:p>
            <w:pPr>
              <w:ind w:left="280"/>
              <w:spacing w:after="0"/>
              <w:rPr>
                <w:sz w:val="20"/>
                <w:szCs w:val="20"/>
                <w:color w:val="auto"/>
              </w:rPr>
            </w:pPr>
            <w:r>
              <w:rPr>
                <w:rFonts w:ascii="Arial" w:cs="Arial" w:eastAsia="Arial" w:hAnsi="Arial"/>
                <w:sz w:val="18"/>
                <w:szCs w:val="18"/>
                <w:color w:val="auto"/>
              </w:rPr>
              <w:t>BUSINESS</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rPr>
              <w:t>1</w:t>
            </w:r>
          </w:p>
        </w:tc>
      </w:tr>
      <w:tr>
        <w:trPr>
          <w:trHeight w:val="20"/>
        </w:trPr>
        <w:tc>
          <w:tcPr>
            <w:tcW w:w="1060" w:type="dxa"/>
            <w:vAlign w:val="bottom"/>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ITEM 1A.</w:t>
            </w:r>
          </w:p>
        </w:tc>
        <w:tc>
          <w:tcPr>
            <w:tcW w:w="9980" w:type="dxa"/>
            <w:vAlign w:val="bottom"/>
          </w:tcPr>
          <w:p>
            <w:pPr>
              <w:ind w:left="28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10</w:t>
            </w:r>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ITEM 1B.</w:t>
            </w:r>
          </w:p>
        </w:tc>
        <w:tc>
          <w:tcPr>
            <w:tcW w:w="9980" w:type="dxa"/>
            <w:vAlign w:val="bottom"/>
          </w:tcPr>
          <w:p>
            <w:pPr>
              <w:ind w:left="280"/>
              <w:spacing w:after="0"/>
              <w:rPr>
                <w:sz w:val="20"/>
                <w:szCs w:val="20"/>
                <w:color w:val="auto"/>
              </w:rPr>
            </w:pPr>
            <w:r>
              <w:rPr>
                <w:rFonts w:ascii="Arial" w:cs="Arial" w:eastAsia="Arial" w:hAnsi="Arial"/>
                <w:sz w:val="18"/>
                <w:szCs w:val="18"/>
                <w:color w:val="auto"/>
              </w:rPr>
              <w:t>UNRESOLVED STAFF COMMENTS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33</w:t>
            </w:r>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ITEM 2.</w:t>
            </w:r>
          </w:p>
        </w:tc>
        <w:tc>
          <w:tcPr>
            <w:tcW w:w="9980" w:type="dxa"/>
            <w:vAlign w:val="bottom"/>
          </w:tcPr>
          <w:p>
            <w:pPr>
              <w:ind w:left="280"/>
              <w:spacing w:after="0"/>
              <w:rPr>
                <w:sz w:val="20"/>
                <w:szCs w:val="20"/>
                <w:color w:val="auto"/>
              </w:rPr>
            </w:pPr>
            <w:r>
              <w:rPr>
                <w:rFonts w:ascii="Arial" w:cs="Arial" w:eastAsia="Arial" w:hAnsi="Arial"/>
                <w:sz w:val="18"/>
                <w:szCs w:val="18"/>
                <w:color w:val="auto"/>
              </w:rPr>
              <w:t>PROPERTIES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34</w:t>
            </w:r>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ITEM 3.</w:t>
            </w:r>
          </w:p>
        </w:tc>
        <w:tc>
          <w:tcPr>
            <w:tcW w:w="9980" w:type="dxa"/>
            <w:vAlign w:val="bottom"/>
          </w:tcPr>
          <w:p>
            <w:pPr>
              <w:ind w:left="28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34</w:t>
            </w:r>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ITEM 4.</w:t>
            </w:r>
          </w:p>
        </w:tc>
        <w:tc>
          <w:tcPr>
            <w:tcW w:w="9980" w:type="dxa"/>
            <w:vAlign w:val="bottom"/>
          </w:tcPr>
          <w:p>
            <w:pPr>
              <w:ind w:left="28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36</w:t>
            </w:r>
          </w:p>
        </w:tc>
        <w:tc>
          <w:tcPr>
            <w:tcW w:w="20" w:type="dxa"/>
            <w:vAlign w:val="bottom"/>
          </w:tcPr>
          <w:p>
            <w:pPr>
              <w:spacing w:after="0"/>
              <w:rPr>
                <w:sz w:val="21"/>
                <w:szCs w:val="21"/>
                <w:color w:val="auto"/>
              </w:rPr>
            </w:pPr>
          </w:p>
        </w:tc>
      </w:tr>
      <w:tr>
        <w:trPr>
          <w:trHeight w:val="439"/>
        </w:trPr>
        <w:tc>
          <w:tcPr>
            <w:tcW w:w="1060" w:type="dxa"/>
            <w:vAlign w:val="bottom"/>
          </w:tcPr>
          <w:p>
            <w:pPr>
              <w:spacing w:after="0"/>
              <w:rPr>
                <w:sz w:val="24"/>
                <w:szCs w:val="24"/>
                <w:color w:val="auto"/>
              </w:rPr>
            </w:pPr>
          </w:p>
        </w:tc>
        <w:tc>
          <w:tcPr>
            <w:tcW w:w="9980" w:type="dxa"/>
            <w:vAlign w:val="bottom"/>
          </w:tcPr>
          <w:p>
            <w:pPr>
              <w:jc w:val="center"/>
              <w:ind w:right="750"/>
              <w:spacing w:after="0"/>
              <w:rPr>
                <w:sz w:val="20"/>
                <w:szCs w:val="20"/>
                <w:color w:val="auto"/>
              </w:rPr>
            </w:pPr>
            <w:r>
              <w:rPr>
                <w:rFonts w:ascii="Arial" w:cs="Arial" w:eastAsia="Arial" w:hAnsi="Arial"/>
                <w:sz w:val="18"/>
                <w:szCs w:val="18"/>
                <w:b w:val="1"/>
                <w:bCs w:val="1"/>
                <w:color w:val="auto"/>
              </w:rPr>
              <w:t>PART II</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1060" w:type="dxa"/>
            <w:vAlign w:val="bottom"/>
          </w:tcPr>
          <w:p>
            <w:pPr>
              <w:ind w:left="20"/>
              <w:spacing w:after="0"/>
              <w:rPr>
                <w:sz w:val="20"/>
                <w:szCs w:val="20"/>
                <w:color w:val="auto"/>
              </w:rPr>
            </w:pPr>
            <w:r>
              <w:rPr>
                <w:rFonts w:ascii="Arial" w:cs="Arial" w:eastAsia="Arial" w:hAnsi="Arial"/>
                <w:sz w:val="18"/>
                <w:szCs w:val="18"/>
                <w:color w:val="auto"/>
              </w:rPr>
              <w:t>ITEM 5.</w:t>
            </w:r>
          </w:p>
        </w:tc>
        <w:tc>
          <w:tcPr>
            <w:tcW w:w="9980" w:type="dxa"/>
            <w:vAlign w:val="bottom"/>
          </w:tcPr>
          <w:p>
            <w:pPr>
              <w:ind w:left="280"/>
              <w:spacing w:after="0"/>
              <w:rPr>
                <w:sz w:val="20"/>
                <w:szCs w:val="20"/>
                <w:color w:val="auto"/>
              </w:rPr>
            </w:pPr>
            <w:r>
              <w:rPr>
                <w:rFonts w:ascii="Arial" w:cs="Arial" w:eastAsia="Arial" w:hAnsi="Arial"/>
                <w:sz w:val="18"/>
                <w:szCs w:val="18"/>
                <w:color w:val="auto"/>
              </w:rPr>
              <w:t>MARKET FOR REGISTRANT’S COMMON EQUITY, RELATED STOCKHOLDER MATTERS AND ISSUER</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0"/>
        </w:trPr>
        <w:tc>
          <w:tcPr>
            <w:tcW w:w="1060" w:type="dxa"/>
            <w:vAlign w:val="bottom"/>
          </w:tcPr>
          <w:p>
            <w:pPr>
              <w:spacing w:after="0"/>
              <w:rPr>
                <w:sz w:val="16"/>
                <w:szCs w:val="16"/>
                <w:color w:val="auto"/>
              </w:rPr>
            </w:pPr>
          </w:p>
        </w:tc>
        <w:tc>
          <w:tcPr>
            <w:tcW w:w="9980" w:type="dxa"/>
            <w:vAlign w:val="bottom"/>
          </w:tcPr>
          <w:p>
            <w:pPr>
              <w:ind w:left="280"/>
              <w:spacing w:after="0" w:line="190" w:lineRule="exact"/>
              <w:rPr>
                <w:sz w:val="20"/>
                <w:szCs w:val="20"/>
                <w:color w:val="auto"/>
              </w:rPr>
            </w:pPr>
            <w:r>
              <w:rPr>
                <w:rFonts w:ascii="Arial" w:cs="Arial" w:eastAsia="Arial" w:hAnsi="Arial"/>
                <w:sz w:val="18"/>
                <w:szCs w:val="18"/>
                <w:color w:val="auto"/>
              </w:rPr>
              <w:t>PURCHASES OF EQUITY SECURITIES</w:t>
            </w:r>
          </w:p>
        </w:tc>
        <w:tc>
          <w:tcPr>
            <w:tcW w:w="180" w:type="dxa"/>
            <w:vAlign w:val="bottom"/>
            <w:tcBorders>
              <w:bottom w:val="single" w:sz="8" w:color="0000FF"/>
            </w:tcBorders>
            <w:gridSpan w:val="2"/>
          </w:tcPr>
          <w:p>
            <w:pPr>
              <w:jc w:val="right"/>
              <w:spacing w:after="0" w:line="190" w:lineRule="exact"/>
              <w:rPr>
                <w:sz w:val="20"/>
                <w:szCs w:val="20"/>
                <w:color w:val="auto"/>
              </w:rPr>
            </w:pPr>
            <w:r>
              <w:rPr>
                <w:rFonts w:ascii="Arial" w:cs="Arial" w:eastAsia="Arial" w:hAnsi="Arial"/>
                <w:sz w:val="18"/>
                <w:szCs w:val="18"/>
                <w:color w:val="0000FF"/>
                <w:w w:val="79"/>
              </w:rPr>
              <w:t>37</w:t>
            </w:r>
          </w:p>
        </w:tc>
        <w:tc>
          <w:tcPr>
            <w:tcW w:w="20" w:type="dxa"/>
            <w:vAlign w:val="bottom"/>
          </w:tcPr>
          <w:p>
            <w:pPr>
              <w:spacing w:after="0"/>
              <w:rPr>
                <w:sz w:val="16"/>
                <w:szCs w:val="16"/>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ITEM 6.</w:t>
            </w:r>
          </w:p>
        </w:tc>
        <w:tc>
          <w:tcPr>
            <w:tcW w:w="9980" w:type="dxa"/>
            <w:vAlign w:val="bottom"/>
          </w:tcPr>
          <w:p>
            <w:pPr>
              <w:ind w:left="280"/>
              <w:spacing w:after="0"/>
              <w:rPr>
                <w:sz w:val="20"/>
                <w:szCs w:val="20"/>
                <w:color w:val="auto"/>
              </w:rPr>
            </w:pPr>
            <w:r>
              <w:rPr>
                <w:rFonts w:ascii="Arial" w:cs="Arial" w:eastAsia="Arial" w:hAnsi="Arial"/>
                <w:sz w:val="18"/>
                <w:szCs w:val="18"/>
                <w:color w:val="auto"/>
              </w:rPr>
              <w:t>[RESERVED]</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38</w:t>
            </w:r>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ITEM 7.</w:t>
            </w:r>
          </w:p>
        </w:tc>
        <w:tc>
          <w:tcPr>
            <w:tcW w:w="9980" w:type="dxa"/>
            <w:vAlign w:val="bottom"/>
          </w:tcPr>
          <w:p>
            <w:pPr>
              <w:ind w:left="2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ITEM 7A.</w:t>
            </w:r>
          </w:p>
        </w:tc>
        <w:tc>
          <w:tcPr>
            <w:tcW w:w="9980" w:type="dxa"/>
            <w:vAlign w:val="bottom"/>
          </w:tcPr>
          <w:p>
            <w:pPr>
              <w:ind w:left="28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50</w:t>
            </w:r>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ITEM 8.</w:t>
            </w:r>
          </w:p>
        </w:tc>
        <w:tc>
          <w:tcPr>
            <w:tcW w:w="9980" w:type="dxa"/>
            <w:vAlign w:val="bottom"/>
          </w:tcPr>
          <w:p>
            <w:pPr>
              <w:ind w:left="280"/>
              <w:spacing w:after="0"/>
              <w:rPr>
                <w:sz w:val="20"/>
                <w:szCs w:val="20"/>
                <w:color w:val="auto"/>
              </w:rPr>
            </w:pPr>
            <w:r>
              <w:rPr>
                <w:rFonts w:ascii="Arial" w:cs="Arial" w:eastAsia="Arial" w:hAnsi="Arial"/>
                <w:sz w:val="18"/>
                <w:szCs w:val="18"/>
                <w:color w:val="auto"/>
              </w:rPr>
              <w:t>FINANCIAL STATEMENTS AND SUPPLEMENTARY DATA</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50</w:t>
            </w:r>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ITEM 9.</w:t>
            </w:r>
          </w:p>
        </w:tc>
        <w:tc>
          <w:tcPr>
            <w:tcW w:w="9980" w:type="dxa"/>
            <w:vAlign w:val="bottom"/>
          </w:tcPr>
          <w:p>
            <w:pPr>
              <w:ind w:left="28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50</w:t>
            </w:r>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ITEM 9A.</w:t>
            </w:r>
          </w:p>
        </w:tc>
        <w:tc>
          <w:tcPr>
            <w:tcW w:w="9980" w:type="dxa"/>
            <w:vAlign w:val="bottom"/>
          </w:tcPr>
          <w:p>
            <w:pPr>
              <w:ind w:left="28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51</w:t>
            </w:r>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ITEM 9B.</w:t>
            </w:r>
          </w:p>
        </w:tc>
        <w:tc>
          <w:tcPr>
            <w:tcW w:w="9980" w:type="dxa"/>
            <w:vAlign w:val="bottom"/>
          </w:tcPr>
          <w:p>
            <w:pPr>
              <w:ind w:left="28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53</w:t>
            </w:r>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ITEM 9C.</w:t>
            </w:r>
          </w:p>
        </w:tc>
        <w:tc>
          <w:tcPr>
            <w:tcW w:w="9980" w:type="dxa"/>
            <w:vAlign w:val="bottom"/>
          </w:tcPr>
          <w:p>
            <w:pPr>
              <w:ind w:left="28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53</w:t>
            </w:r>
          </w:p>
        </w:tc>
        <w:tc>
          <w:tcPr>
            <w:tcW w:w="20" w:type="dxa"/>
            <w:vAlign w:val="bottom"/>
          </w:tcPr>
          <w:p>
            <w:pPr>
              <w:spacing w:after="0"/>
              <w:rPr>
                <w:sz w:val="21"/>
                <w:szCs w:val="21"/>
                <w:color w:val="auto"/>
              </w:rPr>
            </w:pPr>
          </w:p>
        </w:tc>
      </w:tr>
      <w:tr>
        <w:trPr>
          <w:trHeight w:val="439"/>
        </w:trPr>
        <w:tc>
          <w:tcPr>
            <w:tcW w:w="1060" w:type="dxa"/>
            <w:vAlign w:val="bottom"/>
          </w:tcPr>
          <w:p>
            <w:pPr>
              <w:spacing w:after="0"/>
              <w:rPr>
                <w:sz w:val="24"/>
                <w:szCs w:val="24"/>
                <w:color w:val="auto"/>
              </w:rPr>
            </w:pPr>
          </w:p>
        </w:tc>
        <w:tc>
          <w:tcPr>
            <w:tcW w:w="9980" w:type="dxa"/>
            <w:vAlign w:val="bottom"/>
          </w:tcPr>
          <w:p>
            <w:pPr>
              <w:jc w:val="center"/>
              <w:ind w:right="770"/>
              <w:spacing w:after="0"/>
              <w:rPr>
                <w:sz w:val="20"/>
                <w:szCs w:val="20"/>
                <w:color w:val="auto"/>
              </w:rPr>
            </w:pPr>
            <w:r>
              <w:rPr>
                <w:rFonts w:ascii="Arial" w:cs="Arial" w:eastAsia="Arial" w:hAnsi="Arial"/>
                <w:sz w:val="18"/>
                <w:szCs w:val="18"/>
                <w:b w:val="1"/>
                <w:bCs w:val="1"/>
                <w:color w:val="auto"/>
              </w:rPr>
              <w:t>PART III</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color w:val="auto"/>
              </w:rPr>
              <w:t>ITEM 10.</w:t>
            </w:r>
          </w:p>
        </w:tc>
        <w:tc>
          <w:tcPr>
            <w:tcW w:w="9980" w:type="dxa"/>
            <w:vAlign w:val="bottom"/>
          </w:tcPr>
          <w:p>
            <w:pPr>
              <w:ind w:left="280"/>
              <w:spacing w:after="0"/>
              <w:rPr>
                <w:sz w:val="20"/>
                <w:szCs w:val="20"/>
                <w:color w:val="auto"/>
              </w:rPr>
            </w:pPr>
            <w:r>
              <w:rPr>
                <w:rFonts w:ascii="Arial" w:cs="Arial" w:eastAsia="Arial" w:hAnsi="Arial"/>
                <w:sz w:val="18"/>
                <w:szCs w:val="18"/>
                <w:color w:val="auto"/>
              </w:rPr>
              <w:t>DIRECTORS, EXECUTIVE OFFICERS AND CORPORATE GOVERNANCE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54</w:t>
            </w:r>
          </w:p>
        </w:tc>
        <w:tc>
          <w:tcPr>
            <w:tcW w:w="20" w:type="dxa"/>
            <w:vAlign w:val="bottom"/>
          </w:tcPr>
          <w:p>
            <w:pPr>
              <w:spacing w:after="0"/>
              <w:rPr>
                <w:sz w:val="19"/>
                <w:szCs w:val="19"/>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ITEM 11.</w:t>
            </w:r>
          </w:p>
        </w:tc>
        <w:tc>
          <w:tcPr>
            <w:tcW w:w="9980" w:type="dxa"/>
            <w:vAlign w:val="bottom"/>
          </w:tcPr>
          <w:p>
            <w:pPr>
              <w:ind w:left="280"/>
              <w:spacing w:after="0"/>
              <w:rPr>
                <w:sz w:val="20"/>
                <w:szCs w:val="20"/>
                <w:color w:val="auto"/>
              </w:rPr>
            </w:pPr>
            <w:r>
              <w:rPr>
                <w:rFonts w:ascii="Arial" w:cs="Arial" w:eastAsia="Arial" w:hAnsi="Arial"/>
                <w:sz w:val="18"/>
                <w:szCs w:val="18"/>
                <w:color w:val="auto"/>
              </w:rPr>
              <w:t>EXECUTIVE COMPENSATION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54</w:t>
            </w:r>
          </w:p>
        </w:tc>
        <w:tc>
          <w:tcPr>
            <w:tcW w:w="20" w:type="dxa"/>
            <w:vAlign w:val="bottom"/>
          </w:tcPr>
          <w:p>
            <w:pPr>
              <w:spacing w:after="0"/>
              <w:rPr>
                <w:sz w:val="21"/>
                <w:szCs w:val="21"/>
                <w:color w:val="auto"/>
              </w:rPr>
            </w:pPr>
          </w:p>
        </w:tc>
      </w:tr>
      <w:tr>
        <w:trPr>
          <w:trHeight w:val="276"/>
        </w:trPr>
        <w:tc>
          <w:tcPr>
            <w:tcW w:w="1060" w:type="dxa"/>
            <w:vAlign w:val="bottom"/>
          </w:tcPr>
          <w:p>
            <w:pPr>
              <w:ind w:left="20"/>
              <w:spacing w:after="0"/>
              <w:rPr>
                <w:sz w:val="20"/>
                <w:szCs w:val="20"/>
                <w:color w:val="auto"/>
              </w:rPr>
            </w:pPr>
            <w:r>
              <w:rPr>
                <w:rFonts w:ascii="Arial" w:cs="Arial" w:eastAsia="Arial" w:hAnsi="Arial"/>
                <w:sz w:val="18"/>
                <w:szCs w:val="18"/>
                <w:color w:val="auto"/>
              </w:rPr>
              <w:t>ITEM 12.</w:t>
            </w:r>
          </w:p>
        </w:tc>
        <w:tc>
          <w:tcPr>
            <w:tcW w:w="9980" w:type="dxa"/>
            <w:vAlign w:val="bottom"/>
          </w:tcPr>
          <w:p>
            <w:pPr>
              <w:ind w:left="280"/>
              <w:spacing w:after="0"/>
              <w:rPr>
                <w:sz w:val="20"/>
                <w:szCs w:val="20"/>
                <w:color w:val="auto"/>
              </w:rPr>
            </w:pPr>
            <w:r>
              <w:rPr>
                <w:rFonts w:ascii="Arial" w:cs="Arial" w:eastAsia="Arial" w:hAnsi="Arial"/>
                <w:sz w:val="18"/>
                <w:szCs w:val="18"/>
                <w:color w:val="auto"/>
              </w:rPr>
              <w:t>SECURITY OWNERSHIP OF CERTAIN BENEFICIAL OWNERS AND MANAGEMENT AND RELATED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060" w:type="dxa"/>
            <w:vAlign w:val="bottom"/>
          </w:tcPr>
          <w:p>
            <w:pPr>
              <w:spacing w:after="0"/>
              <w:rPr>
                <w:sz w:val="16"/>
                <w:szCs w:val="16"/>
                <w:color w:val="auto"/>
              </w:rPr>
            </w:pPr>
          </w:p>
        </w:tc>
        <w:tc>
          <w:tcPr>
            <w:tcW w:w="9980" w:type="dxa"/>
            <w:vAlign w:val="bottom"/>
          </w:tcPr>
          <w:p>
            <w:pPr>
              <w:ind w:left="280"/>
              <w:spacing w:after="0" w:line="190" w:lineRule="exact"/>
              <w:rPr>
                <w:sz w:val="20"/>
                <w:szCs w:val="20"/>
                <w:color w:val="auto"/>
              </w:rPr>
            </w:pPr>
            <w:r>
              <w:rPr>
                <w:rFonts w:ascii="Arial" w:cs="Arial" w:eastAsia="Arial" w:hAnsi="Arial"/>
                <w:sz w:val="18"/>
                <w:szCs w:val="18"/>
                <w:color w:val="auto"/>
              </w:rPr>
              <w:t>STOCKHOLDER MATTERS</w:t>
            </w:r>
          </w:p>
        </w:tc>
        <w:tc>
          <w:tcPr>
            <w:tcW w:w="180" w:type="dxa"/>
            <w:vAlign w:val="bottom"/>
            <w:tcBorders>
              <w:bottom w:val="single" w:sz="8" w:color="0000FF"/>
            </w:tcBorders>
            <w:gridSpan w:val="2"/>
          </w:tcPr>
          <w:p>
            <w:pPr>
              <w:jc w:val="right"/>
              <w:spacing w:after="0" w:line="190" w:lineRule="exact"/>
              <w:rPr>
                <w:sz w:val="20"/>
                <w:szCs w:val="20"/>
                <w:color w:val="auto"/>
              </w:rPr>
            </w:pPr>
            <w:r>
              <w:rPr>
                <w:rFonts w:ascii="Arial" w:cs="Arial" w:eastAsia="Arial" w:hAnsi="Arial"/>
                <w:sz w:val="18"/>
                <w:szCs w:val="18"/>
                <w:color w:val="0000FF"/>
                <w:w w:val="79"/>
              </w:rPr>
              <w:t>54</w:t>
            </w:r>
          </w:p>
        </w:tc>
        <w:tc>
          <w:tcPr>
            <w:tcW w:w="20" w:type="dxa"/>
            <w:vAlign w:val="bottom"/>
          </w:tcPr>
          <w:p>
            <w:pPr>
              <w:spacing w:after="0"/>
              <w:rPr>
                <w:sz w:val="16"/>
                <w:szCs w:val="16"/>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ITEM 13.</w:t>
            </w:r>
          </w:p>
        </w:tc>
        <w:tc>
          <w:tcPr>
            <w:tcW w:w="9980" w:type="dxa"/>
            <w:vAlign w:val="bottom"/>
          </w:tcPr>
          <w:p>
            <w:pPr>
              <w:ind w:left="2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54</w:t>
            </w:r>
          </w:p>
        </w:tc>
        <w:tc>
          <w:tcPr>
            <w:tcW w:w="20" w:type="dxa"/>
            <w:vAlign w:val="bottom"/>
          </w:tcPr>
          <w:p>
            <w:pPr>
              <w:spacing w:after="0"/>
              <w:rPr>
                <w:sz w:val="21"/>
                <w:szCs w:val="21"/>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ITEM 14.</w:t>
            </w:r>
          </w:p>
        </w:tc>
        <w:tc>
          <w:tcPr>
            <w:tcW w:w="9980" w:type="dxa"/>
            <w:vAlign w:val="bottom"/>
          </w:tcPr>
          <w:p>
            <w:pPr>
              <w:ind w:left="280"/>
              <w:spacing w:after="0"/>
              <w:rPr>
                <w:sz w:val="20"/>
                <w:szCs w:val="20"/>
                <w:color w:val="auto"/>
              </w:rPr>
            </w:pPr>
            <w:r>
              <w:rPr>
                <w:rFonts w:ascii="Arial" w:cs="Arial" w:eastAsia="Arial" w:hAnsi="Arial"/>
                <w:sz w:val="18"/>
                <w:szCs w:val="18"/>
                <w:color w:val="auto"/>
              </w:rPr>
              <w:t>PRINCIPAL ACCOUNTANT FEES AND SERVICES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54</w:t>
            </w:r>
          </w:p>
        </w:tc>
        <w:tc>
          <w:tcPr>
            <w:tcW w:w="20" w:type="dxa"/>
            <w:vAlign w:val="bottom"/>
          </w:tcPr>
          <w:p>
            <w:pPr>
              <w:spacing w:after="0"/>
              <w:rPr>
                <w:sz w:val="21"/>
                <w:szCs w:val="21"/>
                <w:color w:val="auto"/>
              </w:rPr>
            </w:pPr>
          </w:p>
        </w:tc>
      </w:tr>
      <w:tr>
        <w:trPr>
          <w:trHeight w:val="385"/>
        </w:trPr>
        <w:tc>
          <w:tcPr>
            <w:tcW w:w="1060" w:type="dxa"/>
            <w:vAlign w:val="bottom"/>
          </w:tcPr>
          <w:p>
            <w:pPr>
              <w:spacing w:after="0"/>
              <w:rPr>
                <w:sz w:val="24"/>
                <w:szCs w:val="24"/>
                <w:color w:val="auto"/>
              </w:rPr>
            </w:pPr>
          </w:p>
        </w:tc>
        <w:tc>
          <w:tcPr>
            <w:tcW w:w="9980" w:type="dxa"/>
            <w:vAlign w:val="bottom"/>
          </w:tcPr>
          <w:p>
            <w:pPr>
              <w:jc w:val="center"/>
              <w:ind w:right="770"/>
              <w:spacing w:after="0"/>
              <w:rPr>
                <w:sz w:val="20"/>
                <w:szCs w:val="20"/>
                <w:color w:val="auto"/>
              </w:rPr>
            </w:pPr>
            <w:r>
              <w:rPr>
                <w:rFonts w:ascii="Arial" w:cs="Arial" w:eastAsia="Arial" w:hAnsi="Arial"/>
                <w:sz w:val="18"/>
                <w:szCs w:val="18"/>
                <w:b w:val="1"/>
                <w:bCs w:val="1"/>
                <w:color w:val="auto"/>
              </w:rPr>
              <w:t>PART IV</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rPr>
              <w:t>ITEM 15.</w:t>
            </w:r>
          </w:p>
        </w:tc>
        <w:tc>
          <w:tcPr>
            <w:tcW w:w="9980" w:type="dxa"/>
            <w:vAlign w:val="bottom"/>
          </w:tcPr>
          <w:p>
            <w:pPr>
              <w:ind w:left="280"/>
              <w:spacing w:after="0"/>
              <w:rPr>
                <w:sz w:val="20"/>
                <w:szCs w:val="20"/>
                <w:color w:val="auto"/>
              </w:rPr>
            </w:pPr>
            <w:r>
              <w:rPr>
                <w:rFonts w:ascii="Arial" w:cs="Arial" w:eastAsia="Arial" w:hAnsi="Arial"/>
                <w:sz w:val="18"/>
                <w:szCs w:val="18"/>
                <w:color w:val="auto"/>
              </w:rPr>
              <w:t>EXHIBIT AND FINANCIAL STATEMENT SCHEDULES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55</w:t>
            </w:r>
          </w:p>
        </w:tc>
        <w:tc>
          <w:tcPr>
            <w:tcW w:w="20" w:type="dxa"/>
            <w:vAlign w:val="bottom"/>
          </w:tcPr>
          <w:p>
            <w:pPr>
              <w:spacing w:after="0"/>
              <w:rPr>
                <w:sz w:val="19"/>
                <w:szCs w:val="19"/>
                <w:color w:val="auto"/>
              </w:rPr>
            </w:pP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ITEM 16.</w:t>
            </w:r>
          </w:p>
        </w:tc>
        <w:tc>
          <w:tcPr>
            <w:tcW w:w="9980" w:type="dxa"/>
            <w:vAlign w:val="bottom"/>
          </w:tcPr>
          <w:p>
            <w:pPr>
              <w:ind w:left="280"/>
              <w:spacing w:after="0"/>
              <w:rPr>
                <w:sz w:val="20"/>
                <w:szCs w:val="20"/>
                <w:color w:val="auto"/>
              </w:rPr>
            </w:pPr>
            <w:r>
              <w:rPr>
                <w:rFonts w:ascii="Arial" w:cs="Arial" w:eastAsia="Arial" w:hAnsi="Arial"/>
                <w:sz w:val="18"/>
                <w:szCs w:val="18"/>
                <w:color w:val="auto"/>
              </w:rPr>
              <w:t>FORM 10-K SUMMARY</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57</w:t>
            </w:r>
          </w:p>
        </w:tc>
        <w:tc>
          <w:tcPr>
            <w:tcW w:w="20" w:type="dxa"/>
            <w:vAlign w:val="bottom"/>
          </w:tcPr>
          <w:p>
            <w:pPr>
              <w:spacing w:after="0"/>
              <w:rPr>
                <w:sz w:val="21"/>
                <w:szCs w:val="21"/>
                <w:color w:val="auto"/>
              </w:rPr>
            </w:pPr>
          </w:p>
        </w:tc>
      </w:tr>
      <w:tr>
        <w:trPr>
          <w:trHeight w:val="1067"/>
        </w:trPr>
        <w:tc>
          <w:tcPr>
            <w:tcW w:w="1060" w:type="dxa"/>
            <w:vAlign w:val="bottom"/>
            <w:tcBorders>
              <w:bottom w:val="single" w:sz="8" w:color="9A9A9A"/>
            </w:tcBorders>
          </w:tcPr>
          <w:p>
            <w:pPr>
              <w:spacing w:after="0"/>
              <w:rPr>
                <w:sz w:val="24"/>
                <w:szCs w:val="24"/>
                <w:color w:val="auto"/>
              </w:rPr>
            </w:pPr>
          </w:p>
        </w:tc>
        <w:tc>
          <w:tcPr>
            <w:tcW w:w="9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i w:val="1"/>
          <w:iCs w:val="1"/>
          <w:color w:val="auto"/>
        </w:rPr>
        <w:t>This Annual Report on Form 10-K (the “Form 10-K”) contains forward-looking statements within the meaning of Section 27A of the Securities Act of 1933, as amended (the “Securities Act”), and Section 21E of the Securities Exchange Act of 1934, as amended (the “Exchange Act”). All statements, other than statements of historical fact, contained in this Annual Report on Form 10-K are forward-looking statements, including, but not limited to, statements regarding our strategy, prospects, plans, objectives, future operations, future revenue and earnings, projected margins and expenses, markets for our services, potential acquisitions or strategic alliances, financial position, liquidity, anticipated cash needs and availability, accounting estimates and judgments, and our estimates of number of gaming terminals, locations, Adjusted EBITDA, and capital expenditures. The words “anticipates,” “believes,” “estimates,” “expects,” “intends,” “may,” “plans,” “projects,” “will,” “would,” and similar expressions or the negatives thereof are intended to identify forward-looking statements. However, not all forward-looking statements contain these identifying words. These forward-looking statements represent our current reasonable expectations and involve known and unknown risks, uncertainties and other factors that may cause our actual results, performance and achievements, or industry results, to be materially different from any future results, performance or achievements expressed or implied by such forward-looking statements. We cannot guarantee the accuracy of the forward-looking statements, and you should be aware that results and events could differ materially and adversely from those contained in the forward-looking statements due to a number of factors including, but not limited to, those described in the section entitled “Risk Factors” included in this Annual Report on Form 10-K. Furthermore, such forward-looking statements speak only as of the date of this Annual Report on Form 10-K. Except as required by law, we do not undertake publicly to update or revise these statements, even if experience or future changes make it clear that any projected results expressed in this Annual Report on Form 10-K or future quarterly reports, press releases or company statements will not be realized. In addition, the inclusion of any statement in this Annual Report on Form 10-K does not constitute an admission by us that the events or circumstances described in such statement are material. We qualify all of our forward-looking statements by these cautionary statements. In addition, the industry in which we operate is subject to a high degree of uncertainty and risk due to a variety of factors including those described in the section entitled “Risk Factors.” These and other factors could cause our results to differ materially from those expressed in this Annual Report on Form 10-K.</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Unless otherwise indicated, information contained in this Annual Report on Form 10-K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This information includes a number of assumptions and limitations, and you are cautioned not to give undue weight to such information. In addition, projections, assumptions, and estimates of our future performance and the future performance of the industry in which we operate are necessarily subject to a high degree of uncertainty and risk due to a variety of factors, including those described in the section entitled “Risk Factors” and elsewhere in this Annual Report on Form 10-K. These and other factors could cause results to differ materially from those expressed in the estimates made by third parties and by us.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Unless otherwise indicated or unless the context requires otherwise, all references in this document to “Accel,” the "Company," “our company,” “we,” “us,” “our,” and similar names refer to Accel Entertainment, Inc. and, where appropriate,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We believe we are the leading distributed gaming operator in the United States (“U.S.”) on an Adjusted EBITDA basis, and a preferred partner for local business owners in the markets we serve. Our business primarily consists of the installation, maintenance and operation of gaming terminals, redemption devices that disburse winnings and contain automated teller machine (“ATM”) functionality, and other amusement devices in authorized non-casino locations such as restaurants, bars, taverns, convenience stores, liquor stores, truck stops, and grocery stores.</w:t>
      </w:r>
    </w:p>
    <w:p>
      <w:pPr>
        <w:spacing w:after="0" w:line="103" w:lineRule="exact"/>
        <w:rPr>
          <w:sz w:val="20"/>
          <w:szCs w:val="20"/>
          <w:color w:val="auto"/>
        </w:rPr>
      </w:pPr>
    </w:p>
    <w:p>
      <w:pPr>
        <w:jc w:val="both"/>
        <w:ind w:firstLine="324"/>
        <w:spacing w:after="0" w:line="345" w:lineRule="auto"/>
        <w:rPr>
          <w:sz w:val="20"/>
          <w:szCs w:val="20"/>
          <w:color w:val="auto"/>
        </w:rPr>
      </w:pPr>
      <w:r>
        <w:rPr>
          <w:rFonts w:ascii="Arial" w:cs="Arial" w:eastAsia="Arial" w:hAnsi="Arial"/>
          <w:sz w:val="16"/>
          <w:szCs w:val="16"/>
          <w:color w:val="auto"/>
        </w:rPr>
        <w:t>Our gaming-as-a-service platform provides local businesses with a turnkey, capital efficient gaming solution. We own all of our gaming equipment and manage the entire operating process for our location partners. We also offer our location partners gaming solutions that appeal to players who patronize those businesses. We devote significant resources to location partner retention, and seek to provide prompt, personalized player service and support, which we believe is unparalleled among other distributed gaming operators. Dedicated relationship managers assist location partners with regulatory applications and compliance onboarding, train location partners on how to engage with players and potential players, monitor individual gaming areas for compliance, cleanliness and comfort and recommend potential changes to improve both player gaming experience and overall revenue for each licensed establishment. We also provide weekly gaming revenue reports to our location partners and analyze and compare gaming results within individual licensed establishment partners. This information is used to determine an optimal selection of games, layouts and other ideas to generate foot traffic for ourlocation partners with the goal of generating increased gaming revenue. Further, our in-house collections and security personnel provide highly secure cash transportation and vault management services. Our best-in-class technicians ensure minimal downtime through proactive service and routine maintenance.</w:t>
      </w:r>
    </w:p>
    <w:p>
      <w:pPr>
        <w:spacing w:after="0" w:line="96" w:lineRule="exact"/>
        <w:rPr>
          <w:sz w:val="20"/>
          <w:szCs w:val="20"/>
          <w:color w:val="auto"/>
        </w:rPr>
      </w:pPr>
    </w:p>
    <w:p>
      <w:pPr>
        <w:jc w:val="both"/>
        <w:ind w:firstLine="324"/>
        <w:spacing w:after="0" w:line="325" w:lineRule="auto"/>
        <w:rPr>
          <w:sz w:val="20"/>
          <w:szCs w:val="20"/>
          <w:color w:val="auto"/>
        </w:rPr>
      </w:pPr>
      <w:r>
        <w:rPr>
          <w:rFonts w:ascii="Arial" w:cs="Arial" w:eastAsia="Arial" w:hAnsi="Arial"/>
          <w:sz w:val="17"/>
          <w:szCs w:val="17"/>
          <w:color w:val="auto"/>
        </w:rPr>
        <w:t>In addition to our gaming business, we also install, operate and service redemption devices that have ATM functionality, stand-alone ATMs and amusement devices, including jukeboxes, dartboards, pool tables, and other related entertainment equipment. These operations provide a complementary source of lead generation for our gaming business by offering a “one-stop” source of additional equipment for our location partners. We are also a designer and manufacturer of gaming terminals and related equipment. If we are presented with appropriate opportunities, we may acquire other additional businesses, services, resources, or assets, including hospitality operations, that are accretive to our core gaming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75"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7"/>
          <w:szCs w:val="17"/>
          <w:color w:val="auto"/>
        </w:rPr>
        <w:t>We operate within the U.S. distributed gaming industry, which consists of the installation and service of gaming terminals at non-casino locations. Generally, a gaming terminal is any electronic video game machine that, upon insertion of cash, electronic cards or vouchers, or any combination thereof, is available to play or simulate the play of a video game, including but not limited to video poker and slots, and utilizes a video display and microprocessors in which players may receive free games or credits that can be redeemed for cash or merchandise. We believe that the distributed gaming industry is supported by generally favorable trends, including an increasing number of states contemplating approving gaming to increase tax revenues, broader acceptance in the U.S. of gaming generally, including online and digital gaming, an aging population that appreciates the convenience of gaming entertainment close to home, expected resilience through economic downturns and attractive revenue and return on invested capital profiles when compared to traditional gaming venues, such as casinos. We believe that the distributed gaming industry has witnessed both a growing player base and increased variety of higher quality and well-known game profiles available through gaming terminals.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States in Which We Operate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Illinois</w:t>
      </w:r>
    </w:p>
    <w:p>
      <w:pPr>
        <w:spacing w:after="0" w:line="185" w:lineRule="exact"/>
        <w:rPr>
          <w:sz w:val="20"/>
          <w:szCs w:val="20"/>
          <w:color w:val="auto"/>
        </w:rPr>
      </w:pPr>
    </w:p>
    <w:p>
      <w:pPr>
        <w:jc w:val="both"/>
        <w:ind w:firstLine="324"/>
        <w:spacing w:after="0" w:line="326" w:lineRule="auto"/>
        <w:rPr>
          <w:sz w:val="20"/>
          <w:szCs w:val="20"/>
          <w:color w:val="auto"/>
        </w:rPr>
      </w:pPr>
      <w:r>
        <w:rPr>
          <w:rFonts w:ascii="Arial" w:cs="Arial" w:eastAsia="Arial" w:hAnsi="Arial"/>
          <w:sz w:val="17"/>
          <w:szCs w:val="17"/>
          <w:color w:val="auto"/>
        </w:rPr>
        <w:t>Our operations are based primarily in Illinois. We have been licensed as a terminal operator in Illinois under the Illinois Gaming Act since 2012. We were one of the first terminal operators licensed in Illinois. According to the IGB, approximately 1,403 out of approximately 1,497 municipalities in Illinois permit the operation of gaming terminals. Gaming terminals in Illinois can be played in licensed bars, restaurants, gaming cafes, truck stops, fraternal organizations, veterans’ organizations, and other retail establishments, including some convenience stores, in areas accessible only to players who are 21 years of age or older. Gaming revenue in Illinois from gaming terminals generates significant tax revenue. The Illinois marginal tax rate on gaming is currently 34% and the remaining net terminal income is split evenly with the locations.</w:t>
      </w:r>
    </w:p>
    <w:p>
      <w:pPr>
        <w:spacing w:after="0" w:line="108" w:lineRule="exact"/>
        <w:rPr>
          <w:sz w:val="20"/>
          <w:szCs w:val="20"/>
          <w:color w:val="auto"/>
        </w:rPr>
      </w:pPr>
    </w:p>
    <w:p>
      <w:pPr>
        <w:jc w:val="both"/>
        <w:ind w:firstLine="324"/>
        <w:spacing w:after="0" w:line="344" w:lineRule="auto"/>
        <w:rPr>
          <w:sz w:val="20"/>
          <w:szCs w:val="20"/>
          <w:color w:val="auto"/>
        </w:rPr>
      </w:pPr>
      <w:r>
        <w:rPr>
          <w:rFonts w:ascii="Arial" w:cs="Arial" w:eastAsia="Arial" w:hAnsi="Arial"/>
          <w:sz w:val="16"/>
          <w:szCs w:val="16"/>
          <w:color w:val="auto"/>
        </w:rPr>
        <w:t>The IGB generally oversees gambling and video gaming operations in the state of Illinois. The Illinois Gaming Board (“IGB”) is authorized to issue licenses to distributed gaming operators and has broad disciplinary authority over Illinois’s distributed gaming industry which includes the power to fine operators and licensed establishments for non-compliance with IGB regulations. In addition, Illinois’ governor is empowered to appoint board members to the IGB and select its administrator. Not only do new appointments have the potential to change the composition of the IGB, they can impact current rules, regulations, policies and agendas of the IGB, which may result in increased enforcement measures or further delays in licensing new establishments. The IGB dictates the maximum bet, maximum win, and approves payout percentages for games played on gaming terminals which are required by regulation to exceed 80%. Generally, suppliers have designed gaming terminals to include between approximately 10 and 40 games. Illinois legislation allows licensed establishments to operate up to six gaming terminals, with certain qualifying truck stop licensed establishments allowed to operate up to ten gaming terminals. The maximum wager that may be placed on a gaming terminal is currently $4.00 and the maximum win from a single play is $1,199. All gaming terminals are monitored and controlled by the IGB through a central communications system. The IGB established minimum standards that licensed establishment partner contracts must meet, including limiting the length of contracts to a maximum of eight years with no automatic renewals.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Montana</w:t>
      </w:r>
    </w:p>
    <w:p>
      <w:pPr>
        <w:spacing w:after="0" w:line="212" w:lineRule="exact"/>
        <w:rPr>
          <w:sz w:val="20"/>
          <w:szCs w:val="20"/>
          <w:color w:val="auto"/>
        </w:rPr>
      </w:pPr>
    </w:p>
    <w:p>
      <w:pPr>
        <w:jc w:val="both"/>
        <w:ind w:firstLine="324"/>
        <w:spacing w:after="0" w:line="339" w:lineRule="auto"/>
        <w:rPr>
          <w:sz w:val="20"/>
          <w:szCs w:val="20"/>
          <w:color w:val="auto"/>
        </w:rPr>
      </w:pPr>
      <w:r>
        <w:rPr>
          <w:rFonts w:ascii="Arial" w:cs="Arial" w:eastAsia="Arial" w:hAnsi="Arial"/>
          <w:sz w:val="16"/>
          <w:szCs w:val="16"/>
          <w:color w:val="auto"/>
        </w:rPr>
        <w:t>We were granted a manufacturer, distributor and route operator license in June 2022 by the Gambling Control Division of the Montana Department of Justice through June 2023. The Montana license is perpetual, but is subject to an annual renewal fee. Distributed gaming in Montana is governed by the Montana Video Gaming Machine Control Act and is enforced by the Montana Department of Justice. Under Montana law, gaming operations are limited to business locations licensed to sell alcoholic beverages for on-premises consumption only, with such locations restricted to offering a maximum of 20 slot machines. In Montana, the maximum bet is $2 and the maximum win from a single play is $800. Net terminal income is subject to a 15% state gaming tax and the remaining net terminal income splits with locations are individually negotiated. Our contracts with our locations may include incentives which may take the form of promotional participation or annual bonuses. In addition to our distributed gaming route operations in Montana, we also operate as a Class</w:t>
      </w:r>
    </w:p>
    <w:p>
      <w:pPr>
        <w:spacing w:after="0" w:line="3" w:lineRule="exact"/>
        <w:rPr>
          <w:sz w:val="20"/>
          <w:szCs w:val="20"/>
          <w:color w:val="auto"/>
        </w:rPr>
      </w:pPr>
    </w:p>
    <w:p>
      <w:pPr>
        <w:ind w:firstLine="8"/>
        <w:spacing w:after="0" w:line="324" w:lineRule="auto"/>
        <w:tabs>
          <w:tab w:leader="none" w:pos="227" w:val="left"/>
        </w:tabs>
        <w:numPr>
          <w:ilvl w:val="0"/>
          <w:numId w:val="3"/>
        </w:numPr>
        <w:rPr>
          <w:rFonts w:ascii="Arial" w:cs="Arial" w:eastAsia="Arial" w:hAnsi="Arial"/>
          <w:sz w:val="18"/>
          <w:szCs w:val="18"/>
          <w:color w:val="auto"/>
        </w:rPr>
      </w:pPr>
      <w:r>
        <w:rPr>
          <w:rFonts w:ascii="Arial" w:cs="Arial" w:eastAsia="Arial" w:hAnsi="Arial"/>
          <w:sz w:val="18"/>
          <w:szCs w:val="18"/>
          <w:color w:val="auto"/>
        </w:rPr>
        <w:t>video gaming machine manufacturer that is licensed in Montana, South Dakota, West Virginia, and Louisiana. We develop proprietary gaming terminals and related software for our distributed gaming routes in Montana and Nevada.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w:t>
      </w:r>
    </w:p>
    <w:p>
      <w:pPr>
        <w:spacing w:after="0" w:line="212"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7"/>
          <w:szCs w:val="17"/>
          <w:color w:val="auto"/>
        </w:rPr>
        <w:t>We were granted a two-year terminal operator license from the Nevada Gaming Commission (the “NGC”) in June 2022. This license will be up for renewal in June 2024. Distributed gaming in Nevada is governed by the Nevada Gaming Control Act and is enforced by the Gaming Control Board and the NGC. Nevada law limits distributed gaming operations (also known as “restricted gaming” operations) to certain types of non-casino locations, including grocery stores, drug stores, convenience stores, restaurants, bars, taverns and liquor stores, where gaming is incidental to the primary business being conducted at the location. Games are generally limited to 15 or fewer slot machines with no other forms of gaming activity permitted. The gaming area in bars and taverns typically requires the installation of slot machines into the physical bar (also known as “bar top” slot machines). In Nevada, there are no maximum bet limits and the max payout from a single spin must be less than $250,000. State and local</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0"/>
        <w:spacing w:after="0" w:line="357" w:lineRule="auto"/>
        <w:rPr>
          <w:sz w:val="20"/>
          <w:szCs w:val="20"/>
          <w:color w:val="auto"/>
        </w:rPr>
      </w:pPr>
      <w:r>
        <w:rPr>
          <w:rFonts w:ascii="Arial" w:cs="Arial" w:eastAsia="Arial" w:hAnsi="Arial"/>
          <w:sz w:val="17"/>
          <w:szCs w:val="17"/>
          <w:color w:val="auto"/>
        </w:rPr>
        <w:t>government share of net terminal income is based on a fixed license fee, and the remaining net terminal income splits with locations are individually negotiated. Our contracts with our locations may include incentives, which may take the form of promotional participation or annual bonuses.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Georgia</w:t>
      </w:r>
    </w:p>
    <w:p>
      <w:pPr>
        <w:spacing w:after="0" w:line="198"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7"/>
          <w:szCs w:val="17"/>
          <w:color w:val="auto"/>
        </w:rPr>
        <w:t>One of our consolidated subsidiaries has a Class B Master License in the State of Georgia, which is required to operate coin-operated amusement machines (“COAMs”) in the state. The operation of COAMs in Georgia has been regulated by the Georgia Lottery Corporation (“GLC”) since April 2013. Class B COAMs provide skill-based games with winnings paid in points that may be redeemed for noncash merchandise, prizes, toys, gift cards, or novelties. The most common type of establishment licensees are convenience stores. Licensed establishments are limited to a maximum of nine machines, unless a municipality specifically limits licensed establishments to a maximum of six machines. In addition, any local governing authority may vote to remove coin operated amusement machines from its jurisdiction upon 60 days’ advance notice. Net terminal income is subject to a 10% state gaming tax and the remaining net terminal income is split evenly with the locations.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Nebraska</w:t>
      </w:r>
    </w:p>
    <w:p>
      <w:pPr>
        <w:spacing w:after="0" w:line="198" w:lineRule="exact"/>
        <w:rPr>
          <w:sz w:val="20"/>
          <w:szCs w:val="20"/>
          <w:color w:val="auto"/>
        </w:rPr>
      </w:pPr>
    </w:p>
    <w:p>
      <w:pPr>
        <w:jc w:val="both"/>
        <w:ind w:firstLine="324"/>
        <w:spacing w:after="0" w:line="350" w:lineRule="auto"/>
        <w:rPr>
          <w:sz w:val="20"/>
          <w:szCs w:val="20"/>
          <w:color w:val="auto"/>
        </w:rPr>
      </w:pPr>
      <w:r>
        <w:rPr>
          <w:rFonts w:ascii="Arial" w:cs="Arial" w:eastAsia="Arial" w:hAnsi="Arial"/>
          <w:sz w:val="16"/>
          <w:szCs w:val="16"/>
          <w:color w:val="auto"/>
        </w:rPr>
        <w:t>One of our consolidated subsidiaries was granted a Cash Device Distributor License by the Nebraska Department of Revenue on March 23, 2022. That license was renewed on December 8, 2022 for an annual term expiring on December 31, 2023. A cash device is any mechanical amusement device capable of awarding (a) cash, (b) anything redeemable for cash, or (c) gift cards, credit or other instruments that have a value denominated by reference to an amount of currency. We operate our cash devices in retail establishments throughout the state. A retail establishment includes any business location that is open to the public for the sale of goods other than cash devices and that possesses a valid sales tax permit. Currently, Nebraska does not tax net terminal income on cash devices. The net terminal income split with the retail establishments are individually negotiated.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Iowa</w:t>
      </w:r>
    </w:p>
    <w:p>
      <w:pPr>
        <w:spacing w:after="0" w:line="198"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8"/>
          <w:szCs w:val="18"/>
          <w:color w:val="auto"/>
        </w:rPr>
        <w:t>One of our consolidated subsidiaries is a registered distributor in the State of Iowa, which is required to operate amusement concessions in the state. Amusement concessions are regulated by the Iowa Department of Inspections and Appeals (“IDIA”) under Title III, Chapter 99B of the Iowa Administrative Code. Amusement concessions fall into two broad categories: games of chance and games of skill. Games of chance are games in which the result is determined by chance. An example of a game of chance is when a player aligns objects or balls in a prescribed pattern in order to win. Certain establishments such as bars, taverns, and restaurants with a Class B or Class C liquor license are permitted to operate up to four electrical or mechanical games of chance. The total number of permitted electrical and mechanical games of chance allowed in Iowa is capped at 6,928 devices. Games of skill are games in which the result is determined by the player performing a task, such as directing or throwing objects to designated areas or targets, or by shooting a gun or rifle. We operate both games of chance and games of skill, as well as other amusement equipment and ATMs in Iowa. Cash and coin inserted into a game, or funds in, is subject to a 7% tax (of which 6% is a state tax and 1% is a local tax) and the net terminal income, less the tax, is split evenly with the location.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Pennsylvania</w:t>
      </w:r>
    </w:p>
    <w:p>
      <w:pPr>
        <w:spacing w:after="0" w:line="198" w:lineRule="exact"/>
        <w:rPr>
          <w:sz w:val="20"/>
          <w:szCs w:val="20"/>
          <w:color w:val="auto"/>
        </w:rPr>
      </w:pPr>
    </w:p>
    <w:p>
      <w:pPr>
        <w:jc w:val="both"/>
        <w:ind w:firstLine="324"/>
        <w:spacing w:after="0" w:line="345" w:lineRule="auto"/>
        <w:rPr>
          <w:sz w:val="20"/>
          <w:szCs w:val="20"/>
          <w:color w:val="auto"/>
        </w:rPr>
      </w:pPr>
      <w:r>
        <w:rPr>
          <w:rFonts w:ascii="Arial" w:cs="Arial" w:eastAsia="Arial" w:hAnsi="Arial"/>
          <w:sz w:val="16"/>
          <w:szCs w:val="16"/>
          <w:color w:val="auto"/>
        </w:rPr>
        <w:t>On November 28, 2022, we received a four-year Terminal Operator License in Pennsylvania under the Pennsylvania Race Horse Development and Gaming Act. In November 2017, Pennsylvania’s Governor signed the Pennsylvania Gaming Act. The law authorized, among other forms of gaming, gaming terminals at qualified truck stops. To qualify for gaming, a truck stop must meet requirements that are similar to those in Illinois. We have a binding agreement to install gaming terminals with a partner truck stop establishment in Pennsylvania that has received a conditional license from the PA Board. We are also in discussions with other potential partners who have not yet applied for licensure. We hope to commence gaming operations in Pennsylvania in 2023. We believe the current total potential number of qualified trucks stops to host gaming terminals in Pennsylvania is approximately 100-150 truck stop establishments, although municipalities are able to individually opt out from authorizing distributed gaming. These establishments consist of individually-owned and corporate truck stops that meet current regulatory requirements for gaming terminal installation.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Accel’s Strategic Core Competencies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the following strategic core competencies contribute to our industry leading position:</w:t>
      </w:r>
    </w:p>
    <w:p>
      <w:pPr>
        <w:spacing w:after="0" w:line="194" w:lineRule="exact"/>
        <w:rPr>
          <w:sz w:val="20"/>
          <w:szCs w:val="20"/>
          <w:color w:val="auto"/>
        </w:rPr>
      </w:pPr>
    </w:p>
    <w:p>
      <w:pPr>
        <w:ind w:left="340"/>
        <w:spacing w:after="0" w:line="329" w:lineRule="auto"/>
        <w:rPr>
          <w:sz w:val="20"/>
          <w:szCs w:val="20"/>
          <w:color w:val="auto"/>
        </w:rPr>
      </w:pPr>
      <w:r>
        <w:rPr>
          <w:rFonts w:ascii="Arial" w:cs="Arial" w:eastAsia="Arial" w:hAnsi="Arial"/>
          <w:sz w:val="18"/>
          <w:szCs w:val="18"/>
          <w:b w:val="1"/>
          <w:bCs w:val="1"/>
          <w:color w:val="auto"/>
        </w:rPr>
        <w:t xml:space="preserve">Gaming-as-a-service platform. </w:t>
      </w:r>
      <w:r>
        <w:rPr>
          <w:rFonts w:ascii="Arial" w:cs="Arial" w:eastAsia="Arial" w:hAnsi="Arial"/>
          <w:sz w:val="18"/>
          <w:szCs w:val="18"/>
          <w:color w:val="auto"/>
        </w:rPr>
        <w:t>When compared with traditional gaming businesses such as casinos, Accel believes its distributed gaming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from the following advantages:</w:t>
      </w:r>
    </w:p>
    <w:p>
      <w:pPr>
        <w:spacing w:after="0" w:line="98" w:lineRule="exact"/>
        <w:rPr>
          <w:sz w:val="20"/>
          <w:szCs w:val="20"/>
          <w:color w:val="auto"/>
        </w:rPr>
      </w:pPr>
    </w:p>
    <w:p>
      <w:pPr>
        <w:ind w:left="660" w:hanging="328"/>
        <w:spacing w:after="0" w:line="32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“business-to-business” model secured by long-term, exclusive contracts that are typically renewed, allowing for predictable, highly recurring revenue streams with low churn;</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a scalable business in fast-growing gaming segments that are primarily served by fragmented, sub-scale providers;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state-of-the-art technology-enabled slot machines from leading manufacturers who provide the most captivating titles in slots entertainment;</w:t>
      </w:r>
    </w:p>
    <w:p>
      <w:pPr>
        <w:spacing w:after="0" w:line="196" w:lineRule="exact"/>
        <w:rPr>
          <w:rFonts w:ascii="Arial" w:cs="Arial" w:eastAsia="Arial" w:hAnsi="Arial"/>
          <w:sz w:val="17"/>
          <w:szCs w:val="17"/>
          <w:color w:val="auto"/>
        </w:rPr>
      </w:pPr>
    </w:p>
    <w:p>
      <w:pPr>
        <w:ind w:left="660" w:hanging="328"/>
        <w:spacing w:after="0" w:line="34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lower capital expenses and an asset-light operating model, in each case, when compared to casinos, which typically provide significantly higher capital-intensive offerings such as hotel accommodations, restaurants and stage-based entertainment;</w:t>
      </w:r>
    </w:p>
    <w:p>
      <w:pPr>
        <w:spacing w:after="0" w:line="75" w:lineRule="exact"/>
        <w:rPr>
          <w:rFonts w:ascii="Arial" w:cs="Arial" w:eastAsia="Arial" w:hAnsi="Arial"/>
          <w:sz w:val="18"/>
          <w:szCs w:val="18"/>
          <w:color w:val="auto"/>
        </w:rPr>
      </w:pPr>
    </w:p>
    <w:p>
      <w:pPr>
        <w:ind w:left="660" w:hanging="328"/>
        <w:spacing w:after="0" w:line="34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highly localized footprint that provides more access to gaming and convenience for consumers, as compared to regional casinos that market to players who may live up to several hours away and are thus prone to disruption of their feeder markets; and</w:t>
      </w:r>
    </w:p>
    <w:p>
      <w:pPr>
        <w:spacing w:after="0" w:line="88"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 reporting solutions and analytics, offering insight and advice to help location partners maximize revenues and ultimately grow their businesses;</w:t>
      </w:r>
    </w:p>
    <w:p>
      <w:pPr>
        <w:spacing w:after="0" w:line="102" w:lineRule="exact"/>
        <w:rPr>
          <w:rFonts w:ascii="Arial" w:cs="Arial" w:eastAsia="Arial" w:hAnsi="Arial"/>
          <w:sz w:val="18"/>
          <w:szCs w:val="18"/>
          <w:color w:val="auto"/>
        </w:rPr>
      </w:pPr>
    </w:p>
    <w:p>
      <w:pPr>
        <w:ind w:left="660" w:right="20" w:hanging="328"/>
        <w:spacing w:after="0" w:line="32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marketing, legal, compliance, cash management, financial and technical support systems, all of which remain in-house to boost efficiency and enhance the ability to serve as a premier gaming-as-a-service provider.</w:t>
      </w:r>
    </w:p>
    <w:p>
      <w:pPr>
        <w:spacing w:after="0" w:line="99" w:lineRule="exact"/>
        <w:rPr>
          <w:sz w:val="20"/>
          <w:szCs w:val="20"/>
          <w:color w:val="auto"/>
        </w:rPr>
      </w:pPr>
    </w:p>
    <w:p>
      <w:pPr>
        <w:jc w:val="both"/>
        <w:ind w:left="340"/>
        <w:spacing w:after="0" w:line="341" w:lineRule="auto"/>
        <w:rPr>
          <w:sz w:val="20"/>
          <w:szCs w:val="20"/>
          <w:color w:val="auto"/>
        </w:rPr>
      </w:pPr>
      <w:r>
        <w:rPr>
          <w:rFonts w:ascii="Arial" w:cs="Arial" w:eastAsia="Arial" w:hAnsi="Arial"/>
          <w:sz w:val="16"/>
          <w:szCs w:val="16"/>
          <w:b w:val="1"/>
          <w:bCs w:val="1"/>
          <w:color w:val="auto"/>
        </w:rPr>
        <w:t xml:space="preserve">Strong relationships with location partners. </w:t>
      </w:r>
      <w:r>
        <w:rPr>
          <w:rFonts w:ascii="Arial" w:cs="Arial" w:eastAsia="Arial" w:hAnsi="Arial"/>
          <w:sz w:val="16"/>
          <w:szCs w:val="16"/>
          <w:color w:val="auto"/>
        </w:rPr>
        <w:t>Accel has prioritized establishing strong, lasting relationships with its location partners since its</w:t>
      </w:r>
      <w:r>
        <w:rPr>
          <w:rFonts w:ascii="Arial" w:cs="Arial" w:eastAsia="Arial" w:hAnsi="Arial"/>
          <w:sz w:val="16"/>
          <w:szCs w:val="16"/>
          <w:b w:val="1"/>
          <w:bCs w:val="1"/>
          <w:color w:val="auto"/>
        </w:rPr>
        <w:t xml:space="preserve"> </w:t>
      </w:r>
      <w:r>
        <w:rPr>
          <w:rFonts w:ascii="Arial" w:cs="Arial" w:eastAsia="Arial" w:hAnsi="Arial"/>
          <w:sz w:val="16"/>
          <w:szCs w:val="16"/>
          <w:color w:val="auto"/>
        </w:rPr>
        <w:t>inception. Accel has a dedicated internal sales team and external independent sales agents that drive the sourcing of new gaming locations. When seeking to sign a new location, Accel’s marketing team employs a data-driven sales process to identify and nurture leads using a variety of digital and traditional strategies to drive organic gaming partnerships and preference. Accel engages with its locations through every step of the gaming terminal installation process. This process begins with providing assistance with preparation and submission of a license application to the applicable gaming regulatory board and educating each location on legal and regulatory topics to minimize compliance issues. Accel also assists in the design and construction of gaming areas at its locations. Accel dedicates a relationship manager to each of its locations, who, with support from other Accel personnel, oversees every aspect of partner relationship management and retention. Accel prides itself on providing prompt, reliable service and education, all of which helps to increase referral marketing by its partners. Accel’s relationship managers’ efforts to provide value-added services to their location partners result in consistent pre-renewals long before contracts expire and are a key element of our competitive differentiation that makes Accel a preferred partner of choice. Accel offers cash collection and analytics services for some of its locations to help ensure secure, fast and accurate collection of revenue for its locations. Additionally, Accel’s data team provides information to Accel's treasury department enabling it to deliver efficient, secure, and optimized collection services. These cash collection locations function as a key point of contact for our locations, and Accel believes that this service differentiates it from most of its competitors. Lastly, Accel's skilled technicians assist its locations in the event of any mechanical or software issues with the devices Accel provides. These technicians seek to prevent and solve technical issues with gaming terminals at locations in a timely manner. Accel’s experienced call center strives to solve service issues without the need to dispatch any technician. In the event a technician is required, most customer service issues are addressed the first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340"/>
        <w:spacing w:after="0" w:line="307" w:lineRule="auto"/>
        <w:rPr>
          <w:sz w:val="20"/>
          <w:szCs w:val="20"/>
          <w:color w:val="auto"/>
        </w:rPr>
      </w:pPr>
      <w:r>
        <w:rPr>
          <w:rFonts w:ascii="Arial" w:cs="Arial" w:eastAsia="Arial" w:hAnsi="Arial"/>
          <w:sz w:val="18"/>
          <w:szCs w:val="18"/>
          <w:b w:val="1"/>
          <w:bCs w:val="1"/>
          <w:color w:val="auto"/>
        </w:rPr>
        <w:t xml:space="preserve">Proven track record in executing and integrating acquisitions. </w:t>
      </w:r>
      <w:r>
        <w:rPr>
          <w:rFonts w:ascii="Arial" w:cs="Arial" w:eastAsia="Arial" w:hAnsi="Arial"/>
          <w:sz w:val="18"/>
          <w:szCs w:val="18"/>
          <w:color w:val="auto"/>
        </w:rPr>
        <w:t>Accel continuously evaluates and executes strategic acquisition opportunities. Accel</w:t>
      </w:r>
      <w:r>
        <w:rPr>
          <w:rFonts w:ascii="Arial" w:cs="Arial" w:eastAsia="Arial" w:hAnsi="Arial"/>
          <w:sz w:val="18"/>
          <w:szCs w:val="18"/>
          <w:b w:val="1"/>
          <w:bCs w:val="1"/>
          <w:color w:val="auto"/>
        </w:rPr>
        <w:t xml:space="preserve"> </w:t>
      </w:r>
      <w:r>
        <w:rPr>
          <w:rFonts w:ascii="Arial" w:cs="Arial" w:eastAsia="Arial" w:hAnsi="Arial"/>
          <w:sz w:val="18"/>
          <w:szCs w:val="18"/>
          <w:color w:val="auto"/>
        </w:rPr>
        <w:t>has a successful track record of identifying, acquiring and integrating acquisitions and competitive operators. Accel believes that its industry reputation, scale, proven track record of driving revenue synergies, and access to financial capital enhances its ability to acquire other companies, operators or locations on favorable terms.</w:t>
      </w:r>
    </w:p>
    <w:p>
      <w:pPr>
        <w:spacing w:after="0" w:line="115" w:lineRule="exact"/>
        <w:rPr>
          <w:sz w:val="20"/>
          <w:szCs w:val="20"/>
          <w:color w:val="auto"/>
        </w:rPr>
      </w:pPr>
    </w:p>
    <w:p>
      <w:pPr>
        <w:jc w:val="both"/>
        <w:ind w:left="340"/>
        <w:spacing w:after="0" w:line="348" w:lineRule="auto"/>
        <w:rPr>
          <w:sz w:val="20"/>
          <w:szCs w:val="20"/>
          <w:color w:val="auto"/>
        </w:rPr>
      </w:pPr>
      <w:r>
        <w:rPr>
          <w:rFonts w:ascii="Arial" w:cs="Arial" w:eastAsia="Arial" w:hAnsi="Arial"/>
          <w:sz w:val="16"/>
          <w:szCs w:val="16"/>
          <w:b w:val="1"/>
          <w:bCs w:val="1"/>
          <w:color w:val="auto"/>
        </w:rPr>
        <w:t xml:space="preserve">Diversified revenue base with limited churn. </w:t>
      </w:r>
      <w:r>
        <w:rPr>
          <w:rFonts w:ascii="Arial" w:cs="Arial" w:eastAsia="Arial" w:hAnsi="Arial"/>
          <w:sz w:val="16"/>
          <w:szCs w:val="16"/>
          <w:color w:val="auto"/>
        </w:rPr>
        <w:t>Accel believes that its distributed gaming operations facilitate a low revenue concentration per gaming</w:t>
      </w:r>
      <w:r>
        <w:rPr>
          <w:rFonts w:ascii="Arial" w:cs="Arial" w:eastAsia="Arial" w:hAnsi="Arial"/>
          <w:sz w:val="16"/>
          <w:szCs w:val="16"/>
          <w:b w:val="1"/>
          <w:bCs w:val="1"/>
          <w:color w:val="auto"/>
        </w:rPr>
        <w:t xml:space="preserve"> </w:t>
      </w:r>
      <w:r>
        <w:rPr>
          <w:rFonts w:ascii="Arial" w:cs="Arial" w:eastAsia="Arial" w:hAnsi="Arial"/>
          <w:sz w:val="16"/>
          <w:szCs w:val="16"/>
          <w:color w:val="auto"/>
        </w:rPr>
        <w:t>location, and that its low-limit slots are more resilient to economic downturn as consumers typically continue to engage in locally convenient, lower cost forms of entertainment in such circumstances. While Accel experiences business disruptions each year due to business failures or natural disasters affecting gaming locations, many of these sites reopen in subsequent years under new owners. Accel believes it is best-positioned to reengage with those locations because of its reputation and leading market position. Accel’s gaming terminals are geographically diversified, limiting systemic risk due to local weather patterns or regional economic downturns. We believe that Accel’s recent expansion into Montana, Nevada, and Nebraska and future expansion into other states will further help to further diversify its distributed gaming portfolio.</w:t>
      </w:r>
    </w:p>
    <w:p>
      <w:pPr>
        <w:spacing w:after="0" w:line="90" w:lineRule="exact"/>
        <w:rPr>
          <w:sz w:val="20"/>
          <w:szCs w:val="20"/>
          <w:color w:val="auto"/>
        </w:rPr>
      </w:pPr>
    </w:p>
    <w:p>
      <w:pPr>
        <w:jc w:val="both"/>
        <w:ind w:left="340"/>
        <w:spacing w:after="0" w:line="305" w:lineRule="auto"/>
        <w:rPr>
          <w:sz w:val="20"/>
          <w:szCs w:val="20"/>
          <w:color w:val="auto"/>
        </w:rPr>
      </w:pPr>
      <w:r>
        <w:rPr>
          <w:rFonts w:ascii="Arial" w:cs="Arial" w:eastAsia="Arial" w:hAnsi="Arial"/>
          <w:sz w:val="18"/>
          <w:szCs w:val="18"/>
          <w:b w:val="1"/>
          <w:bCs w:val="1"/>
          <w:color w:val="auto"/>
        </w:rPr>
        <w:t xml:space="preserve">Deep industry and vendor relationships. </w:t>
      </w:r>
      <w:r>
        <w:rPr>
          <w:rFonts w:ascii="Arial" w:cs="Arial" w:eastAsia="Arial" w:hAnsi="Arial"/>
          <w:sz w:val="18"/>
          <w:szCs w:val="18"/>
          <w:color w:val="auto"/>
        </w:rPr>
        <w:t>Accel’s leading market position has led to strong relationships within its industry and with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suppliers. Accel has successfully integrated multiple other operators and believes this successful roll-up strategy positions it well with potential additional local operators who could benefit from Accel’s gaming-as-a-service platform. In addition, Accel’s industry leadership permits it to seek and obtain favorable pricing and supply of key gaming machines. Due to its ability to procure machines and parts easily, Accel is able to rotate machines quickly to gaming locations where they are best utilized within its operating footprint. Accel believes that by providing premium, high-quality equipment, it gives its location partners a competitive advantage by limiting downtime to maximize revenue and player retention. This results in longer, more effective usage and greater lifetimes for Accel’s gaming terminals.</w:t>
      </w:r>
    </w:p>
    <w:p>
      <w:pPr>
        <w:spacing w:after="0" w:line="116" w:lineRule="exact"/>
        <w:rPr>
          <w:sz w:val="20"/>
          <w:szCs w:val="20"/>
          <w:color w:val="auto"/>
        </w:rPr>
      </w:pPr>
    </w:p>
    <w:p>
      <w:pPr>
        <w:jc w:val="both"/>
        <w:ind w:left="340"/>
        <w:spacing w:after="0" w:line="327" w:lineRule="auto"/>
        <w:rPr>
          <w:sz w:val="20"/>
          <w:szCs w:val="20"/>
          <w:color w:val="auto"/>
        </w:rPr>
      </w:pPr>
      <w:r>
        <w:rPr>
          <w:rFonts w:ascii="Arial" w:cs="Arial" w:eastAsia="Arial" w:hAnsi="Arial"/>
          <w:sz w:val="17"/>
          <w:szCs w:val="17"/>
          <w:b w:val="1"/>
          <w:bCs w:val="1"/>
          <w:color w:val="auto"/>
        </w:rPr>
        <w:t xml:space="preserve">Digital and data analytics team that helps location partners capture gaming revenue. </w:t>
      </w:r>
      <w:r>
        <w:rPr>
          <w:rFonts w:ascii="Arial" w:cs="Arial" w:eastAsia="Arial" w:hAnsi="Arial"/>
          <w:sz w:val="17"/>
          <w:szCs w:val="17"/>
          <w:color w:val="auto"/>
        </w:rPr>
        <w:t>Accel’s digital and data analytics team studies the gaming</w:t>
      </w:r>
      <w:r>
        <w:rPr>
          <w:rFonts w:ascii="Arial" w:cs="Arial" w:eastAsia="Arial" w:hAnsi="Arial"/>
          <w:sz w:val="17"/>
          <w:szCs w:val="17"/>
          <w:b w:val="1"/>
          <w:bCs w:val="1"/>
          <w:color w:val="auto"/>
        </w:rPr>
        <w:t xml:space="preserve"> </w:t>
      </w:r>
      <w:r>
        <w:rPr>
          <w:rFonts w:ascii="Arial" w:cs="Arial" w:eastAsia="Arial" w:hAnsi="Arial"/>
          <w:sz w:val="17"/>
          <w:szCs w:val="17"/>
          <w:color w:val="auto"/>
        </w:rPr>
        <w:t>terminal market and location performance to provide insight and advice to maximize gaming revenue. The team actively monitors machine optimization, service analytics, game popularity analytics, marketing and player behavior to identify new opportunities and provide insights to maximize gaming revenues. Typical suggestions might involve adding new games, switching machines, adding machines or changing machine location within a location. The digital and data analytics team also seeks to improve the quality of customer service and satisfaction by monitoring service calls to identify trends and solutions with the goal of optimizing response time to decrease periods of machine downtime.</w:t>
      </w:r>
    </w:p>
    <w:p>
      <w:pPr>
        <w:spacing w:after="0" w:line="103" w:lineRule="exact"/>
        <w:rPr>
          <w:sz w:val="20"/>
          <w:szCs w:val="20"/>
          <w:color w:val="auto"/>
        </w:rPr>
      </w:pPr>
    </w:p>
    <w:p>
      <w:pPr>
        <w:jc w:val="both"/>
        <w:ind w:left="340"/>
        <w:spacing w:after="0" w:line="303" w:lineRule="auto"/>
        <w:rPr>
          <w:sz w:val="20"/>
          <w:szCs w:val="20"/>
          <w:color w:val="auto"/>
        </w:rPr>
      </w:pPr>
      <w:r>
        <w:rPr>
          <w:rFonts w:ascii="Arial" w:cs="Arial" w:eastAsia="Arial" w:hAnsi="Arial"/>
          <w:sz w:val="18"/>
          <w:szCs w:val="18"/>
          <w:b w:val="1"/>
          <w:bCs w:val="1"/>
          <w:color w:val="auto"/>
        </w:rPr>
        <w:t>Dedicated marketing, legal and compliance function that assists location partners to remain in regulatory compliance</w:t>
      </w:r>
      <w:r>
        <w:rPr>
          <w:rFonts w:ascii="Arial" w:cs="Arial" w:eastAsia="Arial" w:hAnsi="Arial"/>
          <w:sz w:val="18"/>
          <w:szCs w:val="18"/>
          <w:color w:val="auto"/>
        </w:rPr>
        <w:t>. Accel's marketing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sales efforts are subject to the rules and regulations of the regulatory gaming bodies and municipal laws and regulations in the jurisdictions where we do business. These rules generally require sales agent registration, include prohibitions related to inducements and restrict certain advertising and promotional activities. Accel’s legal and compliance team provides support and resources related to location regulatory compliance, which includes sending compliance reminders and industry updates to location partners on a regular basis. It does not dispense legal advice to location partners, but may recommend that location partners obtain legal counsel in certain instances. In addition, the legal and compliance team occasionally participates in lobbying measures, which includes working with gaming regulators and trade associations to encourage legislation and regulation that may be favorable to the distributed gaming industry. Accel also regularly works with regulators in other states as they explore the legalization of gaming terminals.</w:t>
      </w:r>
    </w:p>
    <w:p>
      <w:pPr>
        <w:spacing w:after="0" w:line="119" w:lineRule="exact"/>
        <w:rPr>
          <w:sz w:val="20"/>
          <w:szCs w:val="20"/>
          <w:color w:val="auto"/>
        </w:rPr>
      </w:pPr>
    </w:p>
    <w:p>
      <w:pPr>
        <w:jc w:val="both"/>
        <w:ind w:left="340"/>
        <w:spacing w:after="0" w:line="309" w:lineRule="auto"/>
        <w:rPr>
          <w:sz w:val="20"/>
          <w:szCs w:val="20"/>
          <w:color w:val="auto"/>
        </w:rPr>
      </w:pPr>
      <w:r>
        <w:rPr>
          <w:rFonts w:ascii="Arial" w:cs="Arial" w:eastAsia="Arial" w:hAnsi="Arial"/>
          <w:sz w:val="18"/>
          <w:szCs w:val="18"/>
          <w:b w:val="1"/>
          <w:bCs w:val="1"/>
          <w:color w:val="auto"/>
        </w:rPr>
        <w:t xml:space="preserve">Management team. </w:t>
      </w:r>
      <w:r>
        <w:rPr>
          <w:rFonts w:ascii="Arial" w:cs="Arial" w:eastAsia="Arial" w:hAnsi="Arial"/>
          <w:sz w:val="18"/>
          <w:szCs w:val="18"/>
          <w:color w:val="auto"/>
        </w:rPr>
        <w:t>Accel’s executive management team has many years of experience and industry knowledge. Accel’s President,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co-founder, Andy Rubenstein, has led the Company since its inception in 2009, and its other executive officers have approximately 65 years of combined gaming industry experience. When Accel acquired Century in 2022, Accel added an experienced management team that has been in the distributed gaming business since 1989. Accel believes that its industry-leading management team has a reputation for integrity and compelling customer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Accel’s Growth Opportunities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Accel’s key growth strategies include its plans to:</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Grow in current markets both organically and inorganically</w:t>
      </w:r>
    </w:p>
    <w:p>
      <w:pPr>
        <w:spacing w:after="0" w:line="202" w:lineRule="exact"/>
        <w:rPr>
          <w:sz w:val="20"/>
          <w:szCs w:val="20"/>
          <w:color w:val="auto"/>
        </w:rPr>
      </w:pPr>
    </w:p>
    <w:p>
      <w:pPr>
        <w:jc w:val="both"/>
        <w:ind w:left="340"/>
        <w:spacing w:after="0" w:line="324" w:lineRule="auto"/>
        <w:rPr>
          <w:sz w:val="20"/>
          <w:szCs w:val="20"/>
          <w:color w:val="auto"/>
        </w:rPr>
      </w:pPr>
      <w:r>
        <w:rPr>
          <w:rFonts w:ascii="Arial" w:cs="Arial" w:eastAsia="Arial" w:hAnsi="Arial"/>
          <w:sz w:val="17"/>
          <w:szCs w:val="17"/>
          <w:color w:val="auto"/>
        </w:rPr>
        <w:t>We believe that there is potential for further growth in the markets we serve. We have been successful in the past growing organically by signing competitors’ locations and continue to identify prospects for engagement after current contracts with other partners expire. We also strive to further optimize revenues for gaming terminals we currently operate through refined data analysis, marketing and other initiatives. We seek to increase distribution possibilities through corporate partners who operate multiple locations, such as chain stores. We believe that these corporate businesses tend to favor larger operators who have substantial compliance infrastructures in addition to leading service capabilities. While such locations have been “second movers” in choosing to adopt video gaming, partnering with reputable operators such as Accel could render deployment of gaming terminals more attractive. Our ability to succeed in implementing our growth strategy will depend to some degree upon our ability to grow inorganically. As such, we continue to pursue expansion and acquisition opportunities in gaming and related businesses. We may also realize the benefits of potential municipal ordinance changes that would permit our business to operate in new municipalities.</w:t>
      </w:r>
    </w:p>
    <w:p>
      <w:pPr>
        <w:spacing w:after="0" w:line="105" w:lineRule="exact"/>
        <w:rPr>
          <w:sz w:val="20"/>
          <w:szCs w:val="20"/>
          <w:color w:val="auto"/>
        </w:rPr>
      </w:pPr>
    </w:p>
    <w:p>
      <w:pPr>
        <w:jc w:val="both"/>
        <w:ind w:left="340"/>
        <w:spacing w:after="0" w:line="330" w:lineRule="auto"/>
        <w:rPr>
          <w:sz w:val="20"/>
          <w:szCs w:val="20"/>
          <w:color w:val="auto"/>
        </w:rPr>
      </w:pPr>
      <w:r>
        <w:rPr>
          <w:rFonts w:ascii="Arial" w:cs="Arial" w:eastAsia="Arial" w:hAnsi="Arial"/>
          <w:sz w:val="17"/>
          <w:szCs w:val="17"/>
          <w:b w:val="1"/>
          <w:bCs w:val="1"/>
          <w:color w:val="auto"/>
        </w:rPr>
        <w:t xml:space="preserve">Expand into new states that allow distributed gaming that we do not operate in. </w:t>
      </w:r>
      <w:r>
        <w:rPr>
          <w:rFonts w:ascii="Arial" w:cs="Arial" w:eastAsia="Arial" w:hAnsi="Arial"/>
          <w:sz w:val="17"/>
          <w:szCs w:val="17"/>
          <w:color w:val="auto"/>
        </w:rPr>
        <w:t>Accel is evaluating whether to expand its gaming operations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strategic acquisitions or otherwise in other, more mature gaming jurisdictions where gaming terminals are currently legal, such as Louisiana, Oregon, South Dakota and West Virginia. Accel may seek approval to operate in these states and Accel believes it would be a favored entrant into any such states given its track record of success and compliance in the states in which it currently operates.</w:t>
      </w:r>
    </w:p>
    <w:p>
      <w:pPr>
        <w:spacing w:after="0" w:line="99" w:lineRule="exact"/>
        <w:rPr>
          <w:sz w:val="20"/>
          <w:szCs w:val="20"/>
          <w:color w:val="auto"/>
        </w:rPr>
      </w:pPr>
    </w:p>
    <w:p>
      <w:pPr>
        <w:jc w:val="both"/>
        <w:ind w:left="340"/>
        <w:spacing w:after="0" w:line="313" w:lineRule="auto"/>
        <w:rPr>
          <w:sz w:val="20"/>
          <w:szCs w:val="20"/>
          <w:color w:val="auto"/>
        </w:rPr>
      </w:pPr>
      <w:r>
        <w:rPr>
          <w:rFonts w:ascii="Arial" w:cs="Arial" w:eastAsia="Arial" w:hAnsi="Arial"/>
          <w:sz w:val="18"/>
          <w:szCs w:val="18"/>
          <w:b w:val="1"/>
          <w:bCs w:val="1"/>
          <w:color w:val="auto"/>
        </w:rPr>
        <w:t xml:space="preserve">Expand into new states that are considering distributed gaming. </w:t>
      </w:r>
      <w:r>
        <w:rPr>
          <w:rFonts w:ascii="Arial" w:cs="Arial" w:eastAsia="Arial" w:hAnsi="Arial"/>
          <w:sz w:val="18"/>
          <w:szCs w:val="18"/>
          <w:color w:val="auto"/>
        </w:rPr>
        <w:t>Various states and other jurisdictions have proposed legislation permitting gaming</w:t>
      </w:r>
      <w:r>
        <w:rPr>
          <w:rFonts w:ascii="Arial" w:cs="Arial" w:eastAsia="Arial" w:hAnsi="Arial"/>
          <w:sz w:val="18"/>
          <w:szCs w:val="18"/>
          <w:b w:val="1"/>
          <w:bCs w:val="1"/>
          <w:color w:val="auto"/>
        </w:rPr>
        <w:t xml:space="preserve"> </w:t>
      </w:r>
      <w:r>
        <w:rPr>
          <w:rFonts w:ascii="Arial" w:cs="Arial" w:eastAsia="Arial" w:hAnsi="Arial"/>
          <w:sz w:val="18"/>
          <w:szCs w:val="18"/>
          <w:color w:val="auto"/>
        </w:rPr>
        <w:t>terminals or other forms of gaming in the past. These states include Indiana, Kansas, Maine, Michigan, Missouri, Mississippi, New Mexico, New York, New Jersey, New Hampshire, North Carolina, Ohio, Virginia and Wyoming. Accel believes it would be a favored entrant into any such states given its track record of success and compliance in the states in which it currently operates..</w:t>
      </w:r>
    </w:p>
    <w:p>
      <w:pPr>
        <w:spacing w:after="0" w:line="95" w:lineRule="exact"/>
        <w:rPr>
          <w:sz w:val="20"/>
          <w:szCs w:val="20"/>
          <w:color w:val="auto"/>
        </w:rPr>
      </w:pPr>
    </w:p>
    <w:p>
      <w:pPr>
        <w:jc w:val="both"/>
        <w:ind w:left="340"/>
        <w:spacing w:after="0" w:line="322" w:lineRule="auto"/>
        <w:rPr>
          <w:sz w:val="20"/>
          <w:szCs w:val="20"/>
          <w:color w:val="auto"/>
        </w:rPr>
      </w:pPr>
      <w:r>
        <w:rPr>
          <w:rFonts w:ascii="Arial" w:cs="Arial" w:eastAsia="Arial" w:hAnsi="Arial"/>
          <w:sz w:val="17"/>
          <w:szCs w:val="17"/>
          <w:b w:val="1"/>
          <w:bCs w:val="1"/>
          <w:color w:val="auto"/>
        </w:rPr>
        <w:t xml:space="preserve">Expand player rewards program to further drive growth. </w:t>
      </w:r>
      <w:r>
        <w:rPr>
          <w:rFonts w:ascii="Arial" w:cs="Arial" w:eastAsia="Arial" w:hAnsi="Arial"/>
          <w:sz w:val="17"/>
          <w:szCs w:val="17"/>
          <w:color w:val="auto"/>
        </w:rPr>
        <w:t>As part of its gaming-as-a-service suite of offerings, Accel is considering offering a</w:t>
      </w:r>
      <w:r>
        <w:rPr>
          <w:rFonts w:ascii="Arial" w:cs="Arial" w:eastAsia="Arial" w:hAnsi="Arial"/>
          <w:sz w:val="17"/>
          <w:szCs w:val="17"/>
          <w:b w:val="1"/>
          <w:bCs w:val="1"/>
          <w:color w:val="auto"/>
        </w:rPr>
        <w:t xml:space="preserve"> </w:t>
      </w:r>
      <w:r>
        <w:rPr>
          <w:rFonts w:ascii="Arial" w:cs="Arial" w:eastAsia="Arial" w:hAnsi="Arial"/>
          <w:sz w:val="17"/>
          <w:szCs w:val="17"/>
          <w:color w:val="auto"/>
        </w:rPr>
        <w:t>player rewards program for players in Illinois. The anticipated terms of the program will provide for players to accumulate points each time they use Accel’s products and may provide points that can be redeemed for rewards. Accel believes this program will result in increased brand loyalty from licensed establishment partners by rewarding players for using Accel’s gaming terminals. Although player rewards programs are permitted under the Illinois Gaming Act, applicable regulations have not been enacted, and the IGB has not approved any player rewards programs for any terminal operator. Accel has not applied to the IGB to establish any such program, but expects to apply in the event of applicable regulation enactment. Century has an established proprietary player reward and tracking system. In Montana, the system is called iRewards and, in the Nevada market, it is called Gambler's Bonus Cash for Play. Both programs work similarly in that they track the player's activity and award points based on that play. Both are a cardless system that allows the players to log on directly to the system at the gaming terminal. Once logged in, the player can redeem accumulated points immediately and interact with bonus games awarded by the respective system. Players may get promoted to higher levels of rewards based on their annual play. These higher levels allow the player to earn more points per play, increase their daily redemption amount, and be eligible for certain promotions associate with their level.</w:t>
      </w:r>
    </w:p>
    <w:p>
      <w:pPr>
        <w:spacing w:after="0" w:line="106" w:lineRule="exact"/>
        <w:rPr>
          <w:sz w:val="20"/>
          <w:szCs w:val="20"/>
          <w:color w:val="auto"/>
        </w:rPr>
      </w:pPr>
    </w:p>
    <w:p>
      <w:pPr>
        <w:jc w:val="both"/>
        <w:ind w:left="340"/>
        <w:spacing w:after="0" w:line="355" w:lineRule="auto"/>
        <w:rPr>
          <w:sz w:val="20"/>
          <w:szCs w:val="20"/>
          <w:color w:val="auto"/>
        </w:rPr>
      </w:pPr>
      <w:r>
        <w:rPr>
          <w:rFonts w:ascii="Arial" w:cs="Arial" w:eastAsia="Arial" w:hAnsi="Arial"/>
          <w:sz w:val="16"/>
          <w:szCs w:val="16"/>
          <w:b w:val="1"/>
          <w:bCs w:val="1"/>
          <w:color w:val="auto"/>
        </w:rPr>
        <w:t xml:space="preserve">Expand ancillary service offerings to our locations. </w:t>
      </w:r>
      <w:r>
        <w:rPr>
          <w:rFonts w:ascii="Arial" w:cs="Arial" w:eastAsia="Arial" w:hAnsi="Arial"/>
          <w:sz w:val="16"/>
          <w:szCs w:val="16"/>
          <w:color w:val="auto"/>
        </w:rPr>
        <w:t>While distributing and servicing amusement devices such as jukeboxes, dartboards, pool tables,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ancillary equipment, such as redemption devices and stand-alone ATMs, is not the primary focus of our business, Accel believes that these services provide a key point for ongoing customer contact and enhances its image as a “one-stop shop” for entertainment devices. Accel has observed that our locations appreciate these services and continue to rely on Accel to provide them. Providing these services can also serve as a point of initial contact with potential partners who may decide to avail themselves later of Accel’s primary gaming services. As a result, Accel</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spacing w:after="0" w:line="324" w:lineRule="auto"/>
        <w:rPr>
          <w:sz w:val="20"/>
          <w:szCs w:val="20"/>
          <w:color w:val="auto"/>
        </w:rPr>
      </w:pPr>
      <w:r>
        <w:rPr>
          <w:rFonts w:ascii="Arial" w:cs="Arial" w:eastAsia="Arial" w:hAnsi="Arial"/>
          <w:sz w:val="18"/>
          <w:szCs w:val="18"/>
          <w:color w:val="auto"/>
        </w:rPr>
        <w:t>intends to continue prioritizing the installation of these devices and equipment. Accel may consider adding hospitality and related services to support its distributed gaming businesses as allowed in the jurisdictions in which we operate.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202"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Accel installs cutting-edge software and multi-game gaming terminals, at each location, from leading manufacturers such as Light &amp; Wonder, Inc. (formerly known as Scientific Games International), WMS (owned by Light &amp; Wonder, Inc.), IGT, Bally (owned by Light &amp; Wonder, Inc.), Aristocrat and Novomatic. Under agreements with these manufacturers, Accel is able to provide 32 different types of gaming terminal models and 288 different games to its location partners. Accel believes its efforts to procure gaming terminals from various sources better enables it to meet the needs of location partners and players.</w:t>
      </w:r>
    </w:p>
    <w:p>
      <w:pPr>
        <w:spacing w:after="0" w:line="120"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Accel purchases gaming terminals in upright, slant and bar-top varieties, as well as designs and manufactures gaming terminals. Games include different varieties of slots, poker, and keno games. Accel routinely meets with existing and potential manufacturers in the market to discuss performance, service trends, and feedback from location partners and players. Accel purchases gaming terminals from certain suppliers under master purchase agreements and purchase orders. Under these master purchase agreements with certain suppliers, pricing is determined by quantities purchased for delivery over defined periods. Accel generally pays its suppliers within 90 days after the date of invoice.</w:t>
      </w:r>
    </w:p>
    <w:p>
      <w:pPr>
        <w:spacing w:after="0" w:line="105"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Accel also purchases redemption devices, amusement devices and stand-alone ATMs from reputable suppliers such as NRT, Touch Tunes, Arachnid, and Diamond.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Accel competes on the basis of the responsiveness of its services to players, and the popularity, content, features, quality, functionality, accuracy and reliability of its products. In markets with regulated net terminal income splits, Accel generally does not consider pricing to be a factor in our distributed gaming business as all minimum and maximum wagers are mandated by the applicable governing bodies and revenue splits with our locations are regulated by law. Accel believes most of these locations focus on player appeal, customer service and reputation when making their decisions to collaborate with terminal operators in these regulated markets. In markets with negotiated net terminal income splits, Accel believes pricing is a key driver as all revenue splits are negotiated. Accel's focus on player appeal, customer service and reputation are also key factors impacting competition in markets with negotiated net terminal income splits.</w:t>
      </w:r>
    </w:p>
    <w:p>
      <w:pPr>
        <w:spacing w:after="0" w:line="122"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8"/>
          <w:szCs w:val="18"/>
          <w:color w:val="auto"/>
        </w:rPr>
        <w:t>Accel faces particularly robust competition from other forms of gaming. The distributed gaming industry is characterized by an increasingly high degree of competition among a large number of participants on both a local and national level, including casinos, Internet gaming, sports betting, sweepstakes and poker machines not located in casinos, horse racetracks (including those featuring slot machines and/or table games), fantasy sports, real money iGaming, and other forms of gaming. In addition, Internet-based lotteries, sweepstakes, and fantasy sports, and Internet-based or mobile-based gaming platforms, which allow their customers to wager on a wide variety of sporting events and/or play casino games from home or in non-casino settings and could divert players from using Accel’s products in its locations. Even Internet wagering services that may be illegal under federal and state law but operate from overseas locations, may nevertheless sometimes be accessible to domestic gamblers and divert players from visiting location partners to play on Accel’s gaming terminals.</w:t>
      </w:r>
    </w:p>
    <w:p>
      <w:pPr>
        <w:spacing w:after="0" w:line="123" w:lineRule="exact"/>
        <w:rPr>
          <w:sz w:val="20"/>
          <w:szCs w:val="20"/>
          <w:color w:val="auto"/>
        </w:rPr>
      </w:pPr>
    </w:p>
    <w:p>
      <w:pPr>
        <w:jc w:val="both"/>
        <w:ind w:firstLine="324"/>
        <w:spacing w:after="0" w:line="326" w:lineRule="auto"/>
        <w:rPr>
          <w:sz w:val="20"/>
          <w:szCs w:val="20"/>
          <w:color w:val="auto"/>
        </w:rPr>
      </w:pPr>
      <w:r>
        <w:rPr>
          <w:rFonts w:ascii="Arial" w:cs="Arial" w:eastAsia="Arial" w:hAnsi="Arial"/>
          <w:sz w:val="17"/>
          <w:szCs w:val="17"/>
          <w:color w:val="auto"/>
        </w:rPr>
        <w:t>The availability of other forms of gaming could increase substantially in the future. Voters and state legislatures may seek to supplement traditional sources of tax revenue by authorizing or expanding gaming. In addition, jurisdictions are considering or have already recently legalized, implemented and expanded gaming, and there are proposals across the country that would legalize Internet poker and other varieties of Internet gaming in a number of states and at the federal level. Established gaming jurisdictions could also award additional gaming licenses or permit the expansion or relocation of existing gaming operations, including gaming terminals. While Accel believes it is well positioned to take advantage of certain of these opportunities, expansion of gaming in other jurisdictions, both legal and illegal, could further compete with its gaming terminals.</w:t>
      </w:r>
    </w:p>
    <w:p>
      <w:pPr>
        <w:spacing w:after="0" w:line="108" w:lineRule="exact"/>
        <w:rPr>
          <w:sz w:val="20"/>
          <w:szCs w:val="20"/>
          <w:color w:val="auto"/>
        </w:rPr>
      </w:pPr>
    </w:p>
    <w:p>
      <w:pPr>
        <w:jc w:val="both"/>
        <w:ind w:right="20" w:firstLine="324"/>
        <w:spacing w:after="0" w:line="324" w:lineRule="auto"/>
        <w:rPr>
          <w:sz w:val="20"/>
          <w:szCs w:val="20"/>
          <w:color w:val="auto"/>
        </w:rPr>
      </w:pPr>
      <w:r>
        <w:rPr>
          <w:rFonts w:ascii="Arial" w:cs="Arial" w:eastAsia="Arial" w:hAnsi="Arial"/>
          <w:sz w:val="18"/>
          <w:szCs w:val="18"/>
          <w:color w:val="auto"/>
        </w:rPr>
        <w:t>In addition to competition from other forms of gaming and entertainment and the expansion thereof, Accel’s business faces significant competition from suppliers and other terminal operators, stand-alone ATMs, jukeboxes, dartboards, pool tables,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other related entertainment machines. Accel’s operations also face competition from many forms of leisure and entertainment activities, including shopping, athletic events, television and movies, concerts, and travel.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02" w:lineRule="exact"/>
        <w:rPr>
          <w:sz w:val="20"/>
          <w:szCs w:val="20"/>
          <w:color w:val="auto"/>
        </w:rPr>
      </w:pPr>
    </w:p>
    <w:p>
      <w:pPr>
        <w:jc w:val="both"/>
        <w:ind w:firstLine="324"/>
        <w:spacing w:after="0" w:line="357" w:lineRule="auto"/>
        <w:rPr>
          <w:sz w:val="20"/>
          <w:szCs w:val="20"/>
          <w:color w:val="auto"/>
        </w:rPr>
      </w:pPr>
      <w:r>
        <w:rPr>
          <w:rFonts w:ascii="Arial" w:cs="Arial" w:eastAsia="Arial" w:hAnsi="Arial"/>
          <w:sz w:val="17"/>
          <w:szCs w:val="17"/>
          <w:color w:val="auto"/>
        </w:rPr>
        <w:t>Accel owns or has rights to use the trademarks, service marks or trade names that it uses or will use in conjunction with the operation of its business. In the highly competitive gaming industry, trademarks, service marks, trade names and logos are important to the success of its business.</w:t>
      </w:r>
    </w:p>
    <w:p>
      <w:pPr>
        <w:spacing w:after="0" w:line="80"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As of December 31, 2022, Accel owned 125 registered trademarks and 126 registered domain names. Accel also relies on software or technologies that it licenses from third parties. These licenses may not continue to be available to Accel on commercially reasonable terms in the future and as a result, Accel may be required to obtain substitute software or technologies.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Accel’s results of operations can fluctuate due to seasonal trends and other factors. For example, our operations in colder climates typically experience lower revenues in the summer when players typically spend less time indoors, and higher revenues in cold weather, specifically between February and April, when players will typically spend more time indoors. Holidays, vacation seasons and sporting events may also cause Accel’s revenues to fluctuate in the jurisdictions in which it operates.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02"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8"/>
          <w:szCs w:val="18"/>
          <w:color w:val="auto"/>
        </w:rPr>
        <w:t>Accel believes that human capital management, including attracting, developing and retaining a high-quality workforce is critical to our long-term success. Our board of directors is charged with oversight of human capital management. We strive to promote a welcoming workplace that fosters partnership with location owners and encourage our employees to bring their best ideas to work every day. As of December 31, 2022, Accel employs approximately 1,300 people nationwide, and protecting the safety, health, and well-being of our employees is a top priority. We strive to achieve an injury-free work environment and continue to have zero tolerance for unsafe work conditions for our frontline employees who continue to move, support and sell our products and services.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Accel’s human capital management focuses on the following priorities: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Recruitment and Management</w:t>
      </w:r>
    </w:p>
    <w:p>
      <w:pPr>
        <w:spacing w:after="0" w:line="185"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Accel seeks to provide employees with rewarding work, professional growth and educational opportunities. We place an emphasis on training and development for all levels of our workforce to ensure that people of every background have the tools to reach their full potential. All new employees participate in a structured on-boarding experience to provide broad exposure and understanding of all parts of the business and organization before starting their functional training. Formal new hire training ranges from 2 weeks to 6 months, depending on the employee's job function. We utilize continuous coaching conversations that we believe helps all employees and managers work more effectively together. For further growth and development of our workforce, we broadly make available skill training and development to increase individual productivity. We also offer employee development programs and training opportunities, including our:</w:t>
      </w:r>
    </w:p>
    <w:p>
      <w:pPr>
        <w:spacing w:after="0" w:line="12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Executive Development Program: This program focuses on accelerating the leadership development of high-potential employees while they</w:t>
      </w:r>
    </w:p>
    <w:p>
      <w:pPr>
        <w:spacing w:after="0" w:line="74" w:lineRule="exact"/>
        <w:rPr>
          <w:rFonts w:ascii="Arial" w:cs="Arial" w:eastAsia="Arial" w:hAnsi="Arial"/>
          <w:sz w:val="17"/>
          <w:szCs w:val="17"/>
          <w:color w:val="auto"/>
        </w:rPr>
      </w:pPr>
    </w:p>
    <w:p>
      <w:pPr>
        <w:ind w:left="660"/>
        <w:spacing w:after="0" w:line="324" w:lineRule="auto"/>
        <w:rPr>
          <w:rFonts w:ascii="Arial" w:cs="Arial" w:eastAsia="Arial" w:hAnsi="Arial"/>
          <w:sz w:val="17"/>
          <w:szCs w:val="17"/>
          <w:color w:val="auto"/>
        </w:rPr>
      </w:pPr>
      <w:r>
        <w:rPr>
          <w:rFonts w:ascii="Arial" w:cs="Arial" w:eastAsia="Arial" w:hAnsi="Arial"/>
          <w:sz w:val="18"/>
          <w:szCs w:val="18"/>
          <w:color w:val="auto"/>
        </w:rPr>
        <w:t>remain in their current roles. The goal of this program is to prepare the participants for promotion or a strategic lateral movement within 12 months of graduation.</w:t>
      </w:r>
    </w:p>
    <w:p>
      <w:pPr>
        <w:spacing w:after="0" w:line="102" w:lineRule="exact"/>
        <w:rPr>
          <w:rFonts w:ascii="Arial" w:cs="Arial" w:eastAsia="Arial" w:hAnsi="Arial"/>
          <w:sz w:val="17"/>
          <w:szCs w:val="17"/>
          <w:color w:val="auto"/>
        </w:rPr>
      </w:pPr>
    </w:p>
    <w:p>
      <w:pPr>
        <w:ind w:left="660" w:hanging="328"/>
        <w:spacing w:after="0" w:line="32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Development Program: This program focuses on creating opportunity and exposure for a broader cross-functional team, while they also remain in their current roles. In this program, individuals focus on individual development and team engagement.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 programs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324"/>
        <w:spacing w:after="0" w:line="324" w:lineRule="auto"/>
        <w:rPr>
          <w:sz w:val="20"/>
          <w:szCs w:val="20"/>
          <w:color w:val="auto"/>
        </w:rPr>
      </w:pPr>
      <w:r>
        <w:rPr>
          <w:rFonts w:ascii="Arial" w:cs="Arial" w:eastAsia="Arial" w:hAnsi="Arial"/>
          <w:sz w:val="18"/>
          <w:szCs w:val="18"/>
          <w:color w:val="auto"/>
        </w:rPr>
        <w:t>Accel provides compensation and benefits programs designed to support our employees’ health, wealth and life. We seek to provide comprehensive, competitive and equitable pay and benefits to our employees. Our initiatives in this area include offering the following:</w:t>
      </w:r>
    </w:p>
    <w:p>
      <w:pPr>
        <w:spacing w:after="0" w:line="103" w:lineRule="exact"/>
        <w:rPr>
          <w:sz w:val="20"/>
          <w:szCs w:val="20"/>
          <w:color w:val="auto"/>
        </w:rPr>
      </w:pPr>
    </w:p>
    <w:p>
      <w:pPr>
        <w:jc w:val="both"/>
        <w:ind w:left="660" w:hanging="328"/>
        <w:spacing w:after="0" w:line="31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Comprehensive benefits program that provides our employees and their families with the flexibility to choose their preferred medical, dental and vision plans. Our benefits program is designed to help keep our employees and their families healthy and provide important protection in the event of illness or injury.</w:t>
      </w:r>
    </w:p>
    <w:p>
      <w:pPr>
        <w:spacing w:after="0" w:line="115"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company bonus initiative that is applicable to all eligible employees. The program is focused on rewarding employees for company performance and the contributions that each employee has in delivering those results.</w:t>
      </w:r>
    </w:p>
    <w:p>
      <w:pPr>
        <w:spacing w:after="0" w:line="102"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Paid time off program that balances the needs of our employee population and offers wellness days to supplement our national paid holiday schedule.</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401(k) company match program supports our employees to achieve their financial goals.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assistance program that provides free and confidential counseling to all employees and their families.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Military leave benefits that support employees whose family members are on active duty or who need to care for a service member.</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Support for our employees’ health and wellness goals through free access to our full-scale gym at our headquarters office.</w:t>
      </w:r>
    </w:p>
    <w:p>
      <w:pPr>
        <w:spacing w:after="0" w:line="184" w:lineRule="exact"/>
        <w:rPr>
          <w:rFonts w:ascii="Arial" w:cs="Arial" w:eastAsia="Arial" w:hAnsi="Arial"/>
          <w:sz w:val="18"/>
          <w:szCs w:val="18"/>
          <w:color w:val="auto"/>
        </w:rPr>
      </w:pPr>
    </w:p>
    <w:p>
      <w:pPr>
        <w:ind w:left="660" w:hanging="328"/>
        <w:spacing w:after="0" w:line="34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ACES, a peer-to-peer employee recognition program, rewards individuals who exceed expectations and consistently demonstrate Accel's core values.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Culture</w:t>
      </w:r>
    </w:p>
    <w:p>
      <w:pPr>
        <w:spacing w:after="0" w:line="198" w:lineRule="exact"/>
        <w:rPr>
          <w:sz w:val="20"/>
          <w:szCs w:val="20"/>
          <w:color w:val="auto"/>
        </w:rPr>
      </w:pPr>
    </w:p>
    <w:p>
      <w:pPr>
        <w:jc w:val="both"/>
        <w:ind w:right="20" w:firstLine="324"/>
        <w:spacing w:after="0" w:line="357" w:lineRule="auto"/>
        <w:rPr>
          <w:sz w:val="20"/>
          <w:szCs w:val="20"/>
          <w:color w:val="auto"/>
        </w:rPr>
      </w:pPr>
      <w:r>
        <w:rPr>
          <w:rFonts w:ascii="Arial" w:cs="Arial" w:eastAsia="Arial" w:hAnsi="Arial"/>
          <w:sz w:val="17"/>
          <w:szCs w:val="17"/>
          <w:color w:val="auto"/>
        </w:rPr>
        <w:t>Each employee shapes Accel’s culture through behaviors and practices. We ask everyone to lead with our core values and behave according to our Code of Conduct. Our Code of Conduct features the fundamental behaviors that help anchor, inform and guide us and applies to all employees.</w:t>
      </w:r>
    </w:p>
    <w:p>
      <w:pPr>
        <w:spacing w:after="0" w:line="80"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Our core values and Code of Conduct are aligned with our deep commitment to partnerships with local business owners and our goal of always delivering the best service to our customers and an entertaining experience for our players.</w:t>
      </w:r>
    </w:p>
    <w:p>
      <w:pPr>
        <w:spacing w:after="0" w:line="103"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7"/>
          <w:szCs w:val="17"/>
          <w:color w:val="auto"/>
        </w:rPr>
        <w:t>Accel is an equal opportunity employer. We prohibit unlawful discrimination on the basis of gender, race, color, religion, age, citizenship, sexual orientation, gender identity, gender expression, marital status, pregnancy, national origin, ancestry, physical or mental disability or condition, or any other protected class under applicable federal, state, or local laws. We also prohibit unlawful discrimination based on the perception that anyone has any of those characteristics, or is associated with a person who has or is perceived as having any of those characteristics.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0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 xml:space="preserve">Our principal executive offices are located at 140 Tower Drive, Burr Ridge, Illinois 60527, and our telephone number is (630) 972-2235. Our website is </w:t>
      </w:r>
      <w:r>
        <w:rPr>
          <w:rFonts w:ascii="Arial" w:cs="Arial" w:eastAsia="Arial" w:hAnsi="Arial"/>
          <w:sz w:val="18"/>
          <w:szCs w:val="18"/>
          <w:u w:val="single" w:color="auto"/>
          <w:color w:val="auto"/>
        </w:rPr>
        <w:t>www.accelentertainment.com</w:t>
      </w:r>
      <w:r>
        <w:rPr>
          <w:rFonts w:ascii="Arial" w:cs="Arial" w:eastAsia="Arial" w:hAnsi="Arial"/>
          <w:sz w:val="18"/>
          <w:szCs w:val="18"/>
          <w:color w:val="auto"/>
        </w:rPr>
        <w:t>. The information contained on our website or that can be accessed through our website is not part of, and is not incorporated by reference into, this Annual Report on Form 10-K or in any other report or document we file with the Securities and Exchange Commission (the “SEC”).</w:t>
      </w:r>
    </w:p>
    <w:p>
      <w:pPr>
        <w:spacing w:after="0" w:line="11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We file reports with the SEC, including Annual Reports on Form 10-K, Quarterly Reports on Form 10-Q, Current Reports on Form 8-K, and any other filings required by the SEC. Through our website, we make available free of charge our Annual Reports on Form 10-K, Quarterly Reports on Form 10-Q, Current Reports on Form 8-K, and all amendments to those reports, as soon as reasonably practicable after we electronically file such material with, or furnish it to, the SEC.</w:t>
      </w:r>
    </w:p>
    <w:p>
      <w:pPr>
        <w:spacing w:after="0" w:line="115"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The SEC maintains an Internet site (</w:t>
      </w:r>
      <w:r>
        <w:rPr>
          <w:rFonts w:ascii="Arial" w:cs="Arial" w:eastAsia="Arial" w:hAnsi="Arial"/>
          <w:sz w:val="18"/>
          <w:szCs w:val="18"/>
          <w:i w:val="1"/>
          <w:iCs w:val="1"/>
          <w:color w:val="auto"/>
        </w:rPr>
        <w:t>www.sec.gov</w:t>
      </w:r>
      <w:r>
        <w:rPr>
          <w:rFonts w:ascii="Arial" w:cs="Arial" w:eastAsia="Arial" w:hAnsi="Arial"/>
          <w:sz w:val="18"/>
          <w:szCs w:val="18"/>
          <w:color w:val="auto"/>
        </w:rPr>
        <w:t>) that contains reports, proxy and information statements, and other information regarding issuers that file electronically with the SEC.</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firstLine="324"/>
        <w:spacing w:after="0" w:line="354" w:lineRule="auto"/>
        <w:rPr>
          <w:sz w:val="20"/>
          <w:szCs w:val="20"/>
          <w:color w:val="auto"/>
        </w:rPr>
      </w:pPr>
      <w:r>
        <w:rPr>
          <w:rFonts w:ascii="Arial" w:cs="Arial" w:eastAsia="Arial" w:hAnsi="Arial"/>
          <w:sz w:val="16"/>
          <w:szCs w:val="16"/>
          <w:color w:val="auto"/>
        </w:rPr>
        <w:t>You should carefully consider the risk factors set forth below as well as the other information contained in this Annual Report on Form 10-K, including our consolidated financial statements and related notes. Any of the following risks could materially and adversely affect our business, financial condition, results of operations and cash flows. The risks described below are not the only risks facing us. Additional risks and uncertainties not currently known to us or those we currently view to be immaterial may also materially adversely affect our business, financial condition, or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0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 before making an investment decision regarding our common stock</w:t>
      </w:r>
    </w:p>
    <w:p>
      <w:pPr>
        <w:spacing w:after="0" w:line="11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results are likely to vary significantly and be unpredictable.</w:t>
      </w:r>
    </w:p>
    <w:p>
      <w:pPr>
        <w:spacing w:after="0" w:line="198"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depends on our ability to offer new and innovative products and services that fulfill the needs of location partners and create strong and sustained player appeal.</w:t>
      </w:r>
    </w:p>
    <w:p>
      <w:pPr>
        <w:spacing w:after="0" w:line="102"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dependent on relationships with key manufacturers, developers and third parties to obtain gaming terminals, amusement machines, and related supplies, programs, and technologies for our business on acceptable terms.</w:t>
      </w:r>
    </w:p>
    <w:p>
      <w:pPr>
        <w:spacing w:after="0" w:line="102" w:lineRule="exact"/>
        <w:rPr>
          <w:rFonts w:ascii="Arial" w:cs="Arial" w:eastAsia="Arial" w:hAnsi="Arial"/>
          <w:sz w:val="18"/>
          <w:szCs w:val="18"/>
          <w:color w:val="auto"/>
        </w:rPr>
      </w:pPr>
    </w:p>
    <w:p>
      <w:pPr>
        <w:ind w:left="660" w:right="20" w:hanging="328"/>
        <w:spacing w:after="0" w:line="32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results of operations may be negatively impacted by slow growth in demand for gaming terminals and by the slow growth of new gaming jurisdictions and related regulations.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depend heavily on our ability to win, maintain and renew contracts with location partners.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economic conditions or decreased discretionary spending may adversely impact our business.</w:t>
      </w:r>
    </w:p>
    <w:p>
      <w:pPr>
        <w:spacing w:after="0" w:line="198"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operate in existing markets or expand into new jurisdictions could be adversely affected by difficulties, delays, or failures by us or our stakeholders in obtaining or maintaining required licenses or approvals.</w:t>
      </w:r>
    </w:p>
    <w:p>
      <w:pPr>
        <w:spacing w:after="0" w:line="102"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geographically concentrated, which subjects us to greater risks from changes in local or regional conditions. Our revenue growth and future success depends on our ability to expand into new markets, which may not occur as anticipated or at all.</w:t>
      </w:r>
    </w:p>
    <w:p>
      <w:pPr>
        <w:spacing w:after="0" w:line="102" w:lineRule="exact"/>
        <w:rPr>
          <w:rFonts w:ascii="Arial" w:cs="Arial" w:eastAsia="Arial" w:hAnsi="Arial"/>
          <w:sz w:val="18"/>
          <w:szCs w:val="18"/>
          <w:color w:val="auto"/>
        </w:rPr>
      </w:pPr>
    </w:p>
    <w:p>
      <w:pPr>
        <w:jc w:val="both"/>
        <w:ind w:left="660" w:hanging="328"/>
        <w:spacing w:after="0" w:line="364"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industry is highly competitive and we must accurately predict, prepare for and respond promptly to technological and market developments and changing end-customer needs, including by acquiring and integrating other businesses, products and technologies that address a fast-changing technology and threat landscape and that achieve sufficient market acceptance, in order to maintain or improve our competitive position.</w:t>
      </w:r>
    </w:p>
    <w:p>
      <w:pPr>
        <w:spacing w:after="0" w:line="80" w:lineRule="exact"/>
        <w:rPr>
          <w:rFonts w:ascii="Arial" w:cs="Arial" w:eastAsia="Arial" w:hAnsi="Arial"/>
          <w:sz w:val="16"/>
          <w:szCs w:val="16"/>
          <w:color w:val="auto"/>
        </w:rPr>
      </w:pPr>
    </w:p>
    <w:p>
      <w:pPr>
        <w:ind w:left="660" w:hanging="328"/>
        <w:spacing w:after="0" w:line="395"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subject to strict government regulations that are constantly evolving and may be amended, repealed, or subject to new interpretations, which may limit existing operations, have an adverse impact on the ability to grow or may expose us to fines or other penalties.</w:t>
      </w:r>
    </w:p>
    <w:p>
      <w:pPr>
        <w:spacing w:after="0" w:line="55" w:lineRule="exact"/>
        <w:rPr>
          <w:rFonts w:ascii="Arial" w:cs="Arial" w:eastAsia="Arial" w:hAnsi="Arial"/>
          <w:sz w:val="16"/>
          <w:szCs w:val="16"/>
          <w:color w:val="auto"/>
        </w:rPr>
      </w:pPr>
    </w:p>
    <w:p>
      <w:pPr>
        <w:jc w:val="both"/>
        <w:ind w:left="660" w:hanging="328"/>
        <w:spacing w:after="0" w:line="343"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identified material weaknesses in our internal control over financial reporting and if remediation of these material weaknesses is not effective, or if we fail to develop and maintain an effective system of disclosure controls and internal control over financial reporting, our ability to</w:t>
      </w:r>
    </w:p>
    <w:p>
      <w:pPr>
        <w:jc w:val="both"/>
        <w:ind w:left="660"/>
        <w:spacing w:after="0" w:line="310" w:lineRule="auto"/>
        <w:rPr>
          <w:rFonts w:ascii="Arial" w:cs="Arial" w:eastAsia="Arial" w:hAnsi="Arial"/>
          <w:sz w:val="16"/>
          <w:szCs w:val="16"/>
          <w:color w:val="auto"/>
        </w:rPr>
      </w:pPr>
      <w:r>
        <w:rPr>
          <w:rFonts w:ascii="Arial" w:cs="Arial" w:eastAsia="Arial" w:hAnsi="Arial"/>
          <w:sz w:val="18"/>
          <w:szCs w:val="18"/>
          <w:color w:val="auto"/>
        </w:rPr>
        <w:t>produce timely and accurate financial statements or comply with applicable laws and regulations could be impaired and our reputation and business could be adversely affected. In addition, the presence of material weaknesses increases the risk of material misstatement of the consolidated financial statements.</w:t>
      </w:r>
    </w:p>
    <w:p>
      <w:pPr>
        <w:spacing w:after="0" w:line="115"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depends on the protection of intellectual property and proprietary information.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Gaming opponents persist in their efforts to curtail the expansion of legalized gaming, which, if successful, could limit our growth of operations.</w:t>
      </w:r>
    </w:p>
    <w:p>
      <w:pPr>
        <w:spacing w:after="0" w:line="221" w:lineRule="exact"/>
        <w:rPr>
          <w:rFonts w:ascii="Arial" w:cs="Arial" w:eastAsia="Arial" w:hAnsi="Arial"/>
          <w:sz w:val="16"/>
          <w:szCs w:val="16"/>
          <w:color w:val="auto"/>
        </w:rPr>
      </w:pPr>
    </w:p>
    <w:p>
      <w:pPr>
        <w:ind w:left="660" w:hanging="328"/>
        <w:spacing w:after="0" w:line="324"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depends on the security and integrity of the systems and products offered, and security breaches or other disruptions could compromise certain information and expose us to liability.</w:t>
      </w:r>
    </w:p>
    <w:p>
      <w:pPr>
        <w:spacing w:after="0" w:line="102" w:lineRule="exact"/>
        <w:rPr>
          <w:rFonts w:ascii="Arial" w:cs="Arial" w:eastAsia="Arial" w:hAnsi="Arial"/>
          <w:sz w:val="18"/>
          <w:szCs w:val="18"/>
          <w:color w:val="auto"/>
        </w:rPr>
      </w:pPr>
    </w:p>
    <w:p>
      <w:pPr>
        <w:ind w:left="660" w:hanging="328"/>
        <w:spacing w:after="0" w:line="324"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level of indebtedness and its related variable interest rate, and any increase thereto, could adversely affect results of operations, cash flows and financial condition.</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Certain stockholders own a significant portion of common stock and they may have interests that differ from those of other stockholders.</w:t>
      </w:r>
    </w:p>
    <w:p>
      <w:pPr>
        <w:spacing w:after="0" w:line="196" w:lineRule="exact"/>
        <w:rPr>
          <w:rFonts w:ascii="Arial" w:cs="Arial" w:eastAsia="Arial" w:hAnsi="Arial"/>
          <w:sz w:val="17"/>
          <w:szCs w:val="17"/>
          <w:color w:val="auto"/>
        </w:rPr>
      </w:pPr>
    </w:p>
    <w:p>
      <w:pPr>
        <w:ind w:left="660" w:hanging="328"/>
        <w:spacing w:after="0" w:line="34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continued effect of the COVID-19 pandemic is uncertain and cannot be predicted. The COVID-19 pandemic could worsen, or its effects may be prolonged, which could lead to a materially adverse effect on our business and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Accel’s ability to operate in existing markets or expand into new jurisdictions could be adversely affected by difficulties, delays, or failures by Accel or its stakeholders in obtaining or maintaining required licenses or approvals.</w:t>
      </w:r>
    </w:p>
    <w:p>
      <w:pPr>
        <w:spacing w:after="0" w:line="116" w:lineRule="exact"/>
        <w:rPr>
          <w:sz w:val="20"/>
          <w:szCs w:val="20"/>
          <w:color w:val="auto"/>
        </w:rPr>
      </w:pPr>
    </w:p>
    <w:p>
      <w:pPr>
        <w:jc w:val="both"/>
        <w:ind w:firstLine="324"/>
        <w:spacing w:after="0" w:line="326" w:lineRule="auto"/>
        <w:rPr>
          <w:sz w:val="20"/>
          <w:szCs w:val="20"/>
          <w:color w:val="auto"/>
        </w:rPr>
      </w:pPr>
      <w:r>
        <w:rPr>
          <w:rFonts w:ascii="Arial" w:cs="Arial" w:eastAsia="Arial" w:hAnsi="Arial"/>
          <w:sz w:val="17"/>
          <w:szCs w:val="17"/>
          <w:color w:val="auto"/>
        </w:rPr>
        <w:t>Accel operates only in jurisdictions where gaming is legal. The gaming industry is subject to extensive governmental regulation by federal, state, and local governments, which customarily includes some form of licensing or regulatory screening of operators, suppliers, manufacturers and distributors and their applicable affiliates, their major stockholders, officers, directors and key employees. In addition, certain gaming products and technologies must be certified or approved in certain jurisdictions in which Accel operates, and these regulatory requirements vary from jurisdiction to jurisdiction. The scope of the approvals required can be extensive. Regulators review many facets of an applicant or holder of a license, including its financial stability, integrity and business experience. While the regulatory requirements vary by jurisdiction, most require:</w:t>
      </w:r>
    </w:p>
    <w:p>
      <w:pPr>
        <w:spacing w:after="0" w:line="12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licenses and/or permits;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documentation of qualifications, including evidence of financial stability;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required approvals for companies who design, assemble, supply or distribute gaming equipment and services;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individual suitability of officers, directors, major equity holders, lenders, key employees and business partners.</w:t>
      </w:r>
    </w:p>
    <w:p>
      <w:pPr>
        <w:spacing w:after="0" w:line="212" w:lineRule="exact"/>
        <w:rPr>
          <w:sz w:val="20"/>
          <w:szCs w:val="20"/>
          <w:color w:val="auto"/>
        </w:rPr>
      </w:pPr>
    </w:p>
    <w:p>
      <w:pPr>
        <w:jc w:val="both"/>
        <w:ind w:firstLine="324"/>
        <w:spacing w:after="0" w:line="343" w:lineRule="auto"/>
        <w:rPr>
          <w:sz w:val="20"/>
          <w:szCs w:val="20"/>
          <w:color w:val="auto"/>
        </w:rPr>
      </w:pPr>
      <w:r>
        <w:rPr>
          <w:rFonts w:ascii="Arial" w:cs="Arial" w:eastAsia="Arial" w:hAnsi="Arial"/>
          <w:sz w:val="16"/>
          <w:szCs w:val="16"/>
          <w:color w:val="auto"/>
        </w:rPr>
        <w:t>Accel may not be able to obtain or maintain all necessary registrations, licenses, permits or approvals, or could experience delays related to the licensing process which could adversely affect its operations and ability to retain key employees. If Accel fails to obtain a license required in a particular jurisdiction for games and gaming terminals, hardware or software or have such license revoked, it will not be able to expand into, or continue doing business in, such jurisdiction. Any delay, difficulty or failure by Accel to obtain or retain a required license or approval in one jurisdiction could negatively impact the ability to obtain or retain required licenses and approvals in other jurisdictions, or affect eligibility for a license in other jurisdictions, which can negatively affect opportunities for growth. For example, if Accel’s license to operate in Illinois is not renewed as a result of a failure to satisfy suitability requirements or otherwise, its ability to obtain or maintain a license in Montana, Nevada, Nebraska, Pennsylvania, Georgia or Pennsylvania may be harmed. Unexpected changes or concessions required by local, state or federal regulatory authorities could involve significant additional costs and delay. The necessary permits, licenses and approvals may not be obtained within the anticipated time frames, or at all. Additionally, licenses, approvals or findings of suitability may be revoked, suspended or conditioned at any time. If a license, approval or finding of suitability is required by a regulatory authority and Accel fails to seek or does not receive the necessary approval, license or finding of suitability, or if it is granted and subsequently revoked, it could have an adverse effect on Accel’s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7"/>
          <w:szCs w:val="17"/>
          <w:color w:val="auto"/>
        </w:rPr>
        <w:t>For example, Accel has received a terminal operator license from the Pennsylvania Gaming Control Board (the “PA Board”). While Accel does not expect that the composition of the PA Board will change in the near term, there can be no assurances with respect thereto, and any changes in composition to the PA Board could alter existing interpretations or enforcement of the Pennsylvania Gaming Act. In Illinois, Accel was granted its original license to conduct business as a terminal operator by the Illinois Gaming Board (the “IGB”) in 2012, and has most recently had its license renewed until March 2026. The Company was also granted a manufacturer, distributor and route operator license by the Gambling Control Division of the Montana Department of Justice through June 2023. The Montana license is renewable annually. Additionally, in Nevada, Accel was granted a two-year terminal operator license from the Nevada Gaming Commission (the “NGC”) in June 2022. This license will be up for renewal in June 2024. The Company was also granted a cash device distributor license by the Nebraska Department of Revenue in March 2022 that will be up for renewal in December 2023. The renewal of each license is subject to certain licensing requirements. In addition, the renewal of the Illinois and the Nevada licenses are subject to, among other things, continued satisfaction of suitability requirements.</w:t>
      </w:r>
    </w:p>
    <w:p>
      <w:pPr>
        <w:spacing w:after="0" w:line="12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addition to any licensing requirements, some of Accel’s location partners are required to be licensed, and delays in or failure to obtain approvals of these licenses may adversely affect results of operations, cash flows and financial condition. Accel and certain of its affiliates, major stockholders (generally persons and entities beneficially owning a specified percentage (typically 5% or more) of equity securities), directors, officers and key employees are subject to extensive background investigations, personal and financial disclosure obligations and suitability standards in its businesses. Certain jurisdictions may require the same from Accel’s lenders or key business partners. The failure of these individuals and business entities to submit to such background checks and provide required disclosure, or delayed review or denial of application resulting from such submissions, could jeopardize Accel’s ability to obtain or maintain licensure in such jurisdictions. Any delay, difficulty, or failure by any of Accel’s major stockholders, directors, officers, key employees, products or technology, to obtain or retain a required license or approval in one jurisdiction could negatively impact its licensure in other jurisdictions, which can ultimately negatively affect opportunities for growth. In addition, the failure of Accel’s officers, directors, key employees or business partners, equity holders, or lenders to obtain or maintain licenses in one or more jurisdictions may require Accel to modify or terminate its relationship with such officers, directors, key employees or business partners, equity holders, or lenders, or forego doing business in such jurisdiction. The licensing procedures and background investigations of the authorities that regulate Accel’s businesses may inhibit potential investors from becoming significant stockholders, inhibit existing stockholders from retaining or increasing their ownership, or inhibit existing stockholders from selling their shares to potential investors who are found unsuitable to hold Accel stock by gaming authorities or whose stock ownership may adversely affect Accel’s ability to obtain, maintain, renew or qualify for a license, contract, franchise or other regulatory approval from a gaming authority.</w:t>
      </w:r>
    </w:p>
    <w:p>
      <w:pPr>
        <w:spacing w:after="0" w:line="117"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If Accel fails to manage its growth effectively, Accel may be unable to execute its business plan or maintain high levels of service and customer satisfaction.</w:t>
      </w:r>
    </w:p>
    <w:p>
      <w:pPr>
        <w:spacing w:after="0" w:line="116"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7"/>
          <w:szCs w:val="17"/>
          <w:color w:val="auto"/>
        </w:rPr>
        <w:t>Accel has experienced, and expects to continue to experience, rapid growth, which has placed, and may continue to place, significant demands on its management and its operational and financial resources. Accel has also experienced significant growth in the number of location partners and players, and in the amount of data that it supports. Additionally, Accel’s organizational structure will become more complex as it scales its operational, financial and management controls to support additional jurisdictions as well as its reporting systems and procedures.</w:t>
      </w:r>
    </w:p>
    <w:p>
      <w:pPr>
        <w:spacing w:after="0" w:line="113" w:lineRule="exact"/>
        <w:rPr>
          <w:sz w:val="20"/>
          <w:szCs w:val="20"/>
          <w:color w:val="auto"/>
        </w:rPr>
      </w:pPr>
    </w:p>
    <w:p>
      <w:pPr>
        <w:jc w:val="both"/>
        <w:ind w:firstLine="324"/>
        <w:spacing w:after="0" w:line="326" w:lineRule="auto"/>
        <w:rPr>
          <w:sz w:val="20"/>
          <w:szCs w:val="20"/>
          <w:color w:val="auto"/>
        </w:rPr>
      </w:pPr>
      <w:r>
        <w:rPr>
          <w:rFonts w:ascii="Arial" w:cs="Arial" w:eastAsia="Arial" w:hAnsi="Arial"/>
          <w:sz w:val="17"/>
          <w:szCs w:val="17"/>
          <w:color w:val="auto"/>
        </w:rPr>
        <w:t>To manage growth in operations and personnel, Accel will need to continue to grow and improve its operational, financial, and management controls and reporting systems and procedures. Accel may require significant capital expenditures and the allocation of valuable management resources to grow and change in these areas without undermining its culture, which has been central to growth so far. Accel’s expansion has placed, and expected future growth will continue to place, a significant strain on management, customer experience, data analytics, sales and marketing, administrative, financial, and other resources. If Accel fails to manage its anticipated growth and change in a manner consistent with its reputation, the quality of its services may suffer, which could negatively affect its brand and reputation and harm its ability to attract location partners and players.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Accel’s success depends on its ability to offer new and innovative products and services that fulfill the needs of location partners and create strong and sustained player appeal.</w:t>
      </w:r>
    </w:p>
    <w:p>
      <w:pPr>
        <w:spacing w:after="0" w:line="103" w:lineRule="exact"/>
        <w:rPr>
          <w:sz w:val="20"/>
          <w:szCs w:val="20"/>
          <w:color w:val="auto"/>
        </w:rPr>
      </w:pPr>
    </w:p>
    <w:p>
      <w:pPr>
        <w:jc w:val="both"/>
        <w:ind w:firstLine="324"/>
        <w:spacing w:after="0" w:line="325" w:lineRule="auto"/>
        <w:rPr>
          <w:sz w:val="20"/>
          <w:szCs w:val="20"/>
          <w:color w:val="auto"/>
        </w:rPr>
      </w:pPr>
      <w:r>
        <w:rPr>
          <w:rFonts w:ascii="Arial" w:cs="Arial" w:eastAsia="Arial" w:hAnsi="Arial"/>
          <w:sz w:val="17"/>
          <w:szCs w:val="17"/>
          <w:color w:val="auto"/>
        </w:rPr>
        <w:t>Accel’s success depends upon its ability to fulfill the needs of location partners and players by offering new and innovative products and services on a timely basis. Consumer preferences for games are usually cyclical and difficult to predict, and even the most successful content remains popular for only limited periods of time, unless refreshed with new content or otherwise enhanced. If Accel fails to accurately anticipate the needs of location and player preferences, it could lose business to competitors, which would adversely affect Accel’s results of operations, cash flows and financial condition. Accel may not have the financial resources needed to introduce new products or services on a timely basis or at all.</w:t>
      </w:r>
    </w:p>
    <w:p>
      <w:pPr>
        <w:spacing w:after="0" w:line="107"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7"/>
          <w:szCs w:val="17"/>
          <w:color w:val="auto"/>
        </w:rPr>
        <w:t>Accel’s business depends on content for gaming terminals, stand-alone ATMs, redemption devices, and amusement devices that is developed by third-party suppliers. Accel believes that creative and appealing game content results in more players visiting its location partners, which offers more revenue for location partners and provides them with a competitive advantage, which in turn enhances Accel’s revenue and ability to attract new business and to retain existing business. The success of such content is dependent on these suppliers’ ability to anticipate changes in consumer tastes, preferences and requirements and deliver to Accel in sufficient quantities and on a timely basis a desirable, high-quality and price-competitive mix of products. Accel’s suppliers’ products may fail to meet the needs of location partners due to changes in consumer preference or Accel’s suppliers may be unable to maintain a sufficient inventory to satisfy the requirements of location partners. In addition, suppliers must obtain regulatory approvals for new products, and such approvals may be delayed or denied. Accordingly, Accel may not be able to sustain the success of its existing game content or effectively obtain from third parties their products and services that will be widely accepted both by location partners and players.</w:t>
      </w:r>
    </w:p>
    <w:p>
      <w:pPr>
        <w:spacing w:after="0" w:line="109"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Accel’s suppliers may also increase their prices due to increasing demand for their products from Accel’s competitors. Further, because there exists a limited number of suppliers in the distributed gaming business, an increase in supplier pricing may limit Accel’s ability to seek alternate sources of gaming content and may result in increased operating expenses. See “</w:t>
      </w:r>
      <w:r>
        <w:rPr>
          <w:rFonts w:ascii="Arial" w:cs="Arial" w:eastAsia="Arial" w:hAnsi="Arial"/>
          <w:sz w:val="18"/>
          <w:szCs w:val="18"/>
          <w:i w:val="1"/>
          <w:iCs w:val="1"/>
          <w:color w:val="auto"/>
        </w:rPr>
        <w:t>Risk Factors — Accel is dependent on relationships with key manufacturers, developers and</w:t>
      </w:r>
      <w:r>
        <w:rPr>
          <w:rFonts w:ascii="Arial" w:cs="Arial" w:eastAsia="Arial" w:hAnsi="Arial"/>
          <w:sz w:val="18"/>
          <w:szCs w:val="18"/>
          <w:color w:val="auto"/>
        </w:rPr>
        <w:t xml:space="preserve"> </w:t>
      </w:r>
      <w:r>
        <w:rPr>
          <w:rFonts w:ascii="Arial" w:cs="Arial" w:eastAsia="Arial" w:hAnsi="Arial"/>
          <w:sz w:val="18"/>
          <w:szCs w:val="18"/>
          <w:i w:val="1"/>
          <w:iCs w:val="1"/>
          <w:color w:val="auto"/>
        </w:rPr>
        <w:t>third parties to obtain gaming terminals, amusement machines, and related supplies, programs, and technologies for its business on acceptable terms</w:t>
      </w:r>
      <w:r>
        <w:rPr>
          <w:rFonts w:ascii="Arial" w:cs="Arial" w:eastAsia="Arial" w:hAnsi="Arial"/>
          <w:sz w:val="18"/>
          <w:szCs w:val="18"/>
          <w:color w:val="auto"/>
        </w:rPr>
        <w:t>” for</w:t>
      </w:r>
      <w:r>
        <w:rPr>
          <w:rFonts w:ascii="Arial" w:cs="Arial" w:eastAsia="Arial" w:hAnsi="Arial"/>
          <w:sz w:val="18"/>
          <w:szCs w:val="18"/>
          <w:i w:val="1"/>
          <w:iCs w:val="1"/>
          <w:color w:val="auto"/>
        </w:rPr>
        <w:t xml:space="preserve"> </w:t>
      </w:r>
      <w:r>
        <w:rPr>
          <w:rFonts w:ascii="Arial" w:cs="Arial" w:eastAsia="Arial" w:hAnsi="Arial"/>
          <w:sz w:val="18"/>
          <w:szCs w:val="18"/>
          <w:color w:val="auto"/>
        </w:rPr>
        <w:t>more information.</w:t>
      </w:r>
    </w:p>
    <w:p>
      <w:pPr>
        <w:spacing w:after="0" w:line="120"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b w:val="1"/>
          <w:bCs w:val="1"/>
          <w:i w:val="1"/>
          <w:iCs w:val="1"/>
          <w:color w:val="auto"/>
        </w:rPr>
        <w:t>Accel is dependent on relationships with key manufacturers, developers and third parties to obtain gaming terminals, amusement machines, and related supplies, programs, and technologies for its business on acceptable terms.</w:t>
      </w:r>
    </w:p>
    <w:p>
      <w:pPr>
        <w:spacing w:after="0" w:line="103" w:lineRule="exact"/>
        <w:rPr>
          <w:sz w:val="20"/>
          <w:szCs w:val="20"/>
          <w:color w:val="auto"/>
        </w:rPr>
      </w:pPr>
    </w:p>
    <w:p>
      <w:pPr>
        <w:jc w:val="both"/>
        <w:ind w:firstLine="324"/>
        <w:spacing w:after="0" w:line="322" w:lineRule="auto"/>
        <w:rPr>
          <w:sz w:val="20"/>
          <w:szCs w:val="20"/>
          <w:color w:val="auto"/>
        </w:rPr>
      </w:pPr>
      <w:r>
        <w:rPr>
          <w:rFonts w:ascii="Arial" w:cs="Arial" w:eastAsia="Arial" w:hAnsi="Arial"/>
          <w:sz w:val="17"/>
          <w:szCs w:val="17"/>
          <w:color w:val="auto"/>
        </w:rPr>
        <w:t>The supply of Accel’s gaming terminals, stand-alone ATMs, redemption devices and amusement devices depend upon the manufacture, development, assembly, design, maintenance and repair of such products by certain key providers, as well as regulatory approval for these products. Accel’s operating results could be adversely affected by an interruption or cessation in the supply of these items, a serious quality assurance lapse, including as a result of the insolvency of any key provider, or regulatory issues related to key providers’ products or required licenses. Additionally, certain components of our gaming terminals are sourced from China, where the initial outbreaks of the COVID-19 occurred and where other widespread public health problems and the country’s responses thereto, have led to quarantines, shutdowns, shipping or logistics changes, or other disruptions that could impair our ability to obtain gaming terminals and their components. Accel has achieved significant cost savings through centralized purchasing of equipment and non-equipment. However, as a result, Accel is exposed to the credit and other risks of having a small number of key suppliers. In addition, during 2022, Accel had to accelerate certain of its capital expenditures related to gaming machine components to manage its supply chain, resulting in higher capital expenditures for the year than Accel had originally anticipated. While Accel makes every effort to evaluate counterparties prior to entering into long-term and other significant procurement contracts, it cannot predict the impact on suppliers of the current economic environment and other developments in their respective businesses. Insolvency, financial difficulties, supply chain delays, regulatory issues or other factors may result in Accel’s suppliers not being able to fulfill the terms of their agreements. Further, such factors may render suppliers unwilling to extend contracts that provide favorable terms to Accel or may force them to seek to renegotiate existing contracts.</w:t>
      </w:r>
    </w:p>
    <w:p>
      <w:pPr>
        <w:spacing w:after="0" w:line="108" w:lineRule="exact"/>
        <w:rPr>
          <w:sz w:val="20"/>
          <w:szCs w:val="20"/>
          <w:color w:val="auto"/>
        </w:rPr>
      </w:pPr>
    </w:p>
    <w:p>
      <w:pPr>
        <w:jc w:val="both"/>
        <w:ind w:right="20" w:firstLine="324"/>
        <w:spacing w:after="0" w:line="324" w:lineRule="auto"/>
        <w:rPr>
          <w:sz w:val="20"/>
          <w:szCs w:val="20"/>
          <w:color w:val="auto"/>
        </w:rPr>
      </w:pPr>
      <w:r>
        <w:rPr>
          <w:rFonts w:ascii="Arial" w:cs="Arial" w:eastAsia="Arial" w:hAnsi="Arial"/>
          <w:sz w:val="18"/>
          <w:szCs w:val="18"/>
          <w:color w:val="auto"/>
        </w:rPr>
        <w:t>Failure of key suppliers to meet their delivery commitments could result in Accel being in breach of and subsequently losing contracts with key location partners. Although Accel believes it has alternative sources of supply for the equipment and other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supplies used in its business, the limited number of suppliers in the distributed gaming business could lead to delays in the delivery of products or components, and possible resultant breaches of contracts that it is party to with location partners, increases in the prices it must pay for products or components, problems with product quality or components coming to the end of their life and other concerns. Accel may be unable to find adequate replacements for suppliers within a reasonable time frame, on favorable commercial terms or at all.</w:t>
      </w:r>
    </w:p>
    <w:p>
      <w:pPr>
        <w:spacing w:after="0" w:line="119"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8"/>
          <w:szCs w:val="18"/>
          <w:color w:val="auto"/>
        </w:rPr>
        <w:t>Certain of Accel’s products and services, including a Player Rewards Program that Accel intends to implement, include know-your-customer programs or technologies supplied by third parties. These programs and technologies could be an important aspect of products and services because they can confirm certain information with respect to players and prospective players, such as age, identity and location. Payment processing programs and technologies, typically provided by third parties, are also a necessary feature of Accel’s products and services. In the event that these products and technologies are not made available to Accel on acceptable terms, or in the event that they are defective, Accel’s results of operations, cash flows and financial condition may be materially adversely affected.</w:t>
      </w:r>
    </w:p>
    <w:p>
      <w:pPr>
        <w:spacing w:after="0" w:line="12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Accel’s future results of operations may be negatively impacted by slow growth in demand for gaming terminals and by the slow growth of new gaming jurisdictions.</w:t>
      </w:r>
    </w:p>
    <w:p>
      <w:pPr>
        <w:spacing w:after="0" w:line="10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Slow growth or declines in the demand for gaming terminals could reduce the demand for Accel’s services and negatively impact results of operations, cash flows and financial condition. Moreover, even with the expansion of gaming into new jurisdictions, the opening of new locations and the addition of new gaming terminals and amusement machines in existing locations, demand for Accel’s services could decline due to the desires of location partners, unfavorable economic conditions, failure to obtain regulatory approvals and the availability of financing. Accordingly, Accel may not be successful in placing additional gaming terminals or amusement machines with additional locations.</w:t>
      </w:r>
    </w:p>
    <w:p>
      <w:pPr>
        <w:spacing w:after="0" w:line="103" w:lineRule="exact"/>
        <w:rPr>
          <w:sz w:val="20"/>
          <w:szCs w:val="20"/>
          <w:color w:val="auto"/>
        </w:rPr>
      </w:pPr>
    </w:p>
    <w:p>
      <w:pPr>
        <w:jc w:val="both"/>
        <w:spacing w:after="0" w:line="340" w:lineRule="auto"/>
        <w:rPr>
          <w:sz w:val="20"/>
          <w:szCs w:val="20"/>
          <w:color w:val="auto"/>
        </w:rPr>
      </w:pPr>
      <w:r>
        <w:rPr>
          <w:rFonts w:ascii="Arial" w:cs="Arial" w:eastAsia="Arial" w:hAnsi="Arial"/>
          <w:sz w:val="18"/>
          <w:szCs w:val="18"/>
          <w:b w:val="1"/>
          <w:bCs w:val="1"/>
          <w:i w:val="1"/>
          <w:iCs w:val="1"/>
          <w:color w:val="auto"/>
        </w:rPr>
        <w:t>Accel depends heavily on its ability to win, maintain and renew contracts with its location partners, and it could lose substantial revenue if it is unable to renew certain of its contracts on substantially similar terms or at all.</w:t>
      </w:r>
    </w:p>
    <w:p>
      <w:pPr>
        <w:spacing w:after="0" w:line="89"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Accel’s contracts with its location partners generally contain initial multi-year terms. Contracts entered into with Illinois-based location partners prior to February 2018 typically contain automatic renewal provisions that provide the individual partner with an option to terminate within a specified time frame. As a result of the IGB rule changes, contracts entered into after February 2018 do not contain renewal provisions, automatic or otherwise. At the end of a contract term, location partners may choose to extend their engagement by signing a new contract or may sign with a competitor terminal operator, in their sole discretion.</w:t>
      </w:r>
    </w:p>
    <w:p>
      <w:pPr>
        <w:spacing w:after="0" w:line="120"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While Accel has historically experienced high rates of contract extension or renewal, these rule changes may lead to declines in contract extension or renewal. The termination, expiration or failure to renew one or more of its contracts with its location partners could cause it to lose substantial revenue, which could have an adverse effect on its ability to win or renew other contracts or pursue growth initiatives.</w:t>
      </w:r>
    </w:p>
    <w:p>
      <w:pPr>
        <w:spacing w:after="0" w:line="116" w:lineRule="exact"/>
        <w:rPr>
          <w:sz w:val="20"/>
          <w:szCs w:val="20"/>
          <w:color w:val="auto"/>
        </w:rPr>
      </w:pPr>
    </w:p>
    <w:p>
      <w:pPr>
        <w:jc w:val="both"/>
        <w:ind w:firstLine="324"/>
        <w:spacing w:after="0" w:line="374" w:lineRule="auto"/>
        <w:rPr>
          <w:sz w:val="20"/>
          <w:szCs w:val="20"/>
          <w:color w:val="auto"/>
        </w:rPr>
      </w:pPr>
      <w:r>
        <w:rPr>
          <w:rFonts w:ascii="Arial" w:cs="Arial" w:eastAsia="Arial" w:hAnsi="Arial"/>
          <w:sz w:val="17"/>
          <w:szCs w:val="17"/>
          <w:color w:val="auto"/>
        </w:rPr>
        <w:t>In addition, Accel may not be able to obtain new or renewed contracts with location partners that contain terms that are as favorable as Accel’s current terms in its current contracts, and any less favorable contract terms or diminution in scope could negatively impact Accel’s business.</w:t>
      </w:r>
    </w:p>
    <w:p>
      <w:pPr>
        <w:spacing w:after="0" w:line="52"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8"/>
          <w:szCs w:val="18"/>
          <w:color w:val="auto"/>
        </w:rPr>
        <w:t>Additionally, Accel’s revenue, business, result of operations, cash flows and financial condition could be negatively affected if its location partners sell or merge themselves or their locations with other entities. Upon the sale or merger of such locations, Accel’s location partners could choose to no longer partner with Accel and decide to contract with its competitors.</w:t>
      </w:r>
    </w:p>
    <w:p>
      <w:pPr>
        <w:spacing w:after="0" w:line="122" w:lineRule="exact"/>
        <w:rPr>
          <w:sz w:val="20"/>
          <w:szCs w:val="20"/>
          <w:color w:val="auto"/>
        </w:rPr>
      </w:pPr>
    </w:p>
    <w:p>
      <w:pPr>
        <w:jc w:val="both"/>
        <w:spacing w:after="0" w:line="310" w:lineRule="auto"/>
        <w:rPr>
          <w:sz w:val="20"/>
          <w:szCs w:val="20"/>
          <w:color w:val="auto"/>
        </w:rPr>
      </w:pPr>
      <w:r>
        <w:rPr>
          <w:rFonts w:ascii="Arial" w:cs="Arial" w:eastAsia="Arial" w:hAnsi="Arial"/>
          <w:sz w:val="18"/>
          <w:szCs w:val="18"/>
          <w:b w:val="1"/>
          <w:bCs w:val="1"/>
          <w:i w:val="1"/>
          <w:iCs w:val="1"/>
          <w:color w:val="auto"/>
        </w:rPr>
        <w:t>Unfavorable economic conditions or decreased discretionary spending due to other factors such as terrorist activity or threat thereof, epidemics, pandemics or other public health issues, civil unrest or other economic or political uncertainties, may adversely affect Accel’s business, results of operations, cash flows and financial condition.</w:t>
      </w:r>
    </w:p>
    <w:p>
      <w:pPr>
        <w:spacing w:after="0" w:line="129" w:lineRule="exact"/>
        <w:rPr>
          <w:sz w:val="20"/>
          <w:szCs w:val="20"/>
          <w:color w:val="auto"/>
        </w:rPr>
      </w:pPr>
    </w:p>
    <w:p>
      <w:pPr>
        <w:jc w:val="both"/>
        <w:ind w:firstLine="324"/>
        <w:spacing w:after="0" w:line="340" w:lineRule="auto"/>
        <w:rPr>
          <w:sz w:val="20"/>
          <w:szCs w:val="20"/>
          <w:color w:val="auto"/>
        </w:rPr>
      </w:pPr>
      <w:r>
        <w:rPr>
          <w:rFonts w:ascii="Arial" w:cs="Arial" w:eastAsia="Arial" w:hAnsi="Arial"/>
          <w:sz w:val="18"/>
          <w:szCs w:val="18"/>
          <w:color w:val="auto"/>
        </w:rPr>
        <w:t>Unfavorable economic conditions, including recession, economic slowdown, decreased liquidity in the financial markets, decreased availability of credit, rising interest rates and labor shortages, or inflation or stagflation, could have a negative effect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on Accel’s business. Unfavorable economic conditions could cause location partners to shut down or ultimately declare bankruptcy, which could adversely affect Accel’s business. Unfavorable economic conditions may also result in volatility in the credit and equity markets. For example, U.S. capital and credit markets may be adversely affected by the conflict between Russia and Ukraine, and the possibility of a wider European or global conflict, and global sanctions imposed in response thereto. The difficulty or inability of location partners to generate or obtain adequate levels of capital to finance their ongoing operations may cause some to close or ultimately declare bankruptcy. Accel cannot fully predict the effects that unfavorable social, political and economic conditions and economic uncertainties and decreased discretionary spending could have on its business.</w:t>
      </w:r>
    </w:p>
    <w:p>
      <w:pPr>
        <w:spacing w:after="0" w:line="121"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7"/>
          <w:szCs w:val="17"/>
          <w:color w:val="auto"/>
        </w:rPr>
        <w:t>Accel’s revenue is largely driven by players’ disposable incomes and level of gaming activity. Unfavorable economic conditions may reduce the disposable incomes of players at location partners and may result in fewer players visiting location partners, reduced play levels, and lower amounts spent per visit, adversely affecting Accel’s results of operations and cash flows. Adverse changes in discretionary consumer spending or consumer preferences, which may result in fewer players visiting location partners and reduced frequency of visits and play levels, could also be driven by an unstable job market, outbreaks (or fear of outbreaks) of contagious diseases, such as the COVID-19 pandemic, inflation, stagflation, rising interest rates or other factors. Socio-political factors such as terrorist activity or threat thereof, civil unrest or other economic or political uncertainties that contribute to consumer unease may also result in decreased discretionary spending by players and have a negative effect on Accel.</w:t>
      </w:r>
    </w:p>
    <w:p>
      <w:pPr>
        <w:spacing w:after="0" w:line="124" w:lineRule="exact"/>
        <w:rPr>
          <w:sz w:val="20"/>
          <w:szCs w:val="20"/>
          <w:color w:val="auto"/>
        </w:rPr>
      </w:pPr>
    </w:p>
    <w:p>
      <w:pPr>
        <w:jc w:val="both"/>
        <w:spacing w:after="0" w:line="340" w:lineRule="auto"/>
        <w:rPr>
          <w:sz w:val="20"/>
          <w:szCs w:val="20"/>
          <w:color w:val="auto"/>
        </w:rPr>
      </w:pPr>
      <w:r>
        <w:rPr>
          <w:rFonts w:ascii="Arial" w:cs="Arial" w:eastAsia="Arial" w:hAnsi="Arial"/>
          <w:sz w:val="18"/>
          <w:szCs w:val="18"/>
          <w:b w:val="1"/>
          <w:bCs w:val="1"/>
          <w:i w:val="1"/>
          <w:iCs w:val="1"/>
          <w:color w:val="auto"/>
        </w:rPr>
        <w:t>Accel’s revenue growth and future success depends on its ability to expand into new markets, which may not occur as anticipated or at all. In addition, Accel may expand into new businesses, which may subject it to additional risks.</w:t>
      </w:r>
    </w:p>
    <w:p>
      <w:pPr>
        <w:spacing w:after="0" w:line="102" w:lineRule="exact"/>
        <w:rPr>
          <w:sz w:val="20"/>
          <w:szCs w:val="20"/>
          <w:color w:val="auto"/>
        </w:rPr>
      </w:pPr>
    </w:p>
    <w:p>
      <w:pPr>
        <w:jc w:val="both"/>
        <w:ind w:firstLine="324"/>
        <w:spacing w:after="0" w:line="321" w:lineRule="auto"/>
        <w:rPr>
          <w:sz w:val="20"/>
          <w:szCs w:val="20"/>
          <w:color w:val="auto"/>
        </w:rPr>
      </w:pPr>
      <w:r>
        <w:rPr>
          <w:rFonts w:ascii="Arial" w:cs="Arial" w:eastAsia="Arial" w:hAnsi="Arial"/>
          <w:sz w:val="17"/>
          <w:szCs w:val="17"/>
          <w:color w:val="auto"/>
        </w:rPr>
        <w:t>Accel’s future success and growth depend in large part on the successful addition of new locations as partners (whether through organic growth, conversion from competitors or partner relationships) and on the entry into new markets. Over the past few years, Accel has entered new jurisdictions such as Pennsylvania, Georgia, Iowa, Nebraska, Montana and Nevada. These markets are newer to Accel and its success depends in part on displacing entrenched competitors who are familiar with these markets and are known to players. In many cases, Accel is attempting to enter into or expand its presence in these newer markets and where the appeal and success of gaming terminals and other forms of entertainment has not yet been proven. In some cases, Accel may need to develop or expand its sales channels and leverage the relationships with its location partners in order to execute this strategy. There can be no assurance that video gaming will have success with new location partners or in new markets, or that it will succeed in capturing a significant or even acceptable market share in any new markets, including Pennsylvania, Georgia, Nebraska and Iowa. In addition, it is possible that Accel will not be able to commence operations in the Pennsylvania market due to regulatory or other concerns. See “</w:t>
      </w:r>
      <w:r>
        <w:rPr>
          <w:rFonts w:ascii="Arial" w:cs="Arial" w:eastAsia="Arial" w:hAnsi="Arial"/>
          <w:sz w:val="17"/>
          <w:szCs w:val="17"/>
          <w:i w:val="1"/>
          <w:iCs w:val="1"/>
          <w:color w:val="auto"/>
        </w:rPr>
        <w:t>— Accel is subject to strict government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regulations that are constantly evolving and may be amended, repealed, or subject to new interpretations, which may limit existing operations, have an adverse impact on the ability to grow or may expose Accel to fines or other penalties.” </w:t>
      </w:r>
      <w:r>
        <w:rPr>
          <w:rFonts w:ascii="Arial" w:cs="Arial" w:eastAsia="Arial" w:hAnsi="Arial"/>
          <w:sz w:val="17"/>
          <w:szCs w:val="17"/>
          <w:color w:val="auto"/>
        </w:rPr>
        <w:t>If Accel fails to successfully expand into these markets, it may have</w:t>
      </w:r>
      <w:r>
        <w:rPr>
          <w:rFonts w:ascii="Arial" w:cs="Arial" w:eastAsia="Arial" w:hAnsi="Arial"/>
          <w:sz w:val="17"/>
          <w:szCs w:val="17"/>
          <w:i w:val="1"/>
          <w:iCs w:val="1"/>
          <w:color w:val="auto"/>
        </w:rPr>
        <w:t xml:space="preserve"> </w:t>
      </w:r>
      <w:r>
        <w:rPr>
          <w:rFonts w:ascii="Arial" w:cs="Arial" w:eastAsia="Arial" w:hAnsi="Arial"/>
          <w:sz w:val="17"/>
          <w:szCs w:val="17"/>
          <w:color w:val="auto"/>
        </w:rPr>
        <w:t>difficulty growing its business and may lose business to its competitors.</w:t>
      </w:r>
    </w:p>
    <w:p>
      <w:pPr>
        <w:spacing w:after="0" w:line="130"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In addition, if Accel is presented with appropriate opportunities, Accel may expand beyond its core gaming business by acquiring other additional businesses, services, resources, or assets, including hospitality operations, that it believes will be accretive to its core business, which may subject Accel to additional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Accel’s business is geographically concentrated, which subjects it to greater risks from changes in local or regional conditions.</w:t>
      </w:r>
    </w:p>
    <w:p>
      <w:pPr>
        <w:spacing w:after="0" w:line="212"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Accel currently installs gaming terminals and amusement devices in locations primarily in Illinois, Montana and Nevada. Due to this geographic concentration, Accel’s results of operations, cash flows and financial condition are subject to greater risks from changes in local and regional conditions, such as:</w:t>
      </w:r>
    </w:p>
    <w:p>
      <w:pPr>
        <w:spacing w:after="0" w:line="12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local or regional economic conditions and unemployment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local and state laws and regulations, including gaming laws and regulations;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decline in the number of residents in or near, or visitors to, location partners;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local or regional competitive environment;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weather conditions and natural disasters (including weather or road conditions that limit access to locations).</w:t>
      </w:r>
    </w:p>
    <w:p>
      <w:pPr>
        <w:spacing w:after="0" w:line="212"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8"/>
          <w:szCs w:val="18"/>
          <w:color w:val="auto"/>
        </w:rPr>
        <w:t>Accel largely depends on local markets of each location for players. Local competitive risks and the failure of location partners to attract a sufficient number of guests, players and other visitors in these locations could adversely affect Accel’s business. As a result of the geographic concentration of Accel’s businesses, it faces a greater risk of a negative impact on its results of operations, cash flows and financial condition in the event that Illinois is more severely impacted by any such adverse condition, as compared to other areas in the United States. Accel is subject to similar concentration risks in Georgia, Iowa, and Nebraska, and if Accel is successful in expanding its operations into Pennsylvania, or other gaming jurisdictions, it may also face similar concentration risk there.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Accel fails to offer a high-quality experience, its business and reputation may suffer.</w:t>
      </w:r>
    </w:p>
    <w:p>
      <w:pPr>
        <w:spacing w:after="0" w:line="198" w:lineRule="exact"/>
        <w:rPr>
          <w:sz w:val="20"/>
          <w:szCs w:val="20"/>
          <w:color w:val="auto"/>
        </w:rPr>
      </w:pPr>
    </w:p>
    <w:p>
      <w:pPr>
        <w:jc w:val="both"/>
        <w:ind w:firstLine="324"/>
        <w:spacing w:after="0" w:line="322" w:lineRule="auto"/>
        <w:rPr>
          <w:sz w:val="20"/>
          <w:szCs w:val="20"/>
          <w:color w:val="auto"/>
        </w:rPr>
      </w:pPr>
      <w:r>
        <w:rPr>
          <w:rFonts w:ascii="Arial" w:cs="Arial" w:eastAsia="Arial" w:hAnsi="Arial"/>
          <w:sz w:val="17"/>
          <w:szCs w:val="17"/>
          <w:color w:val="auto"/>
        </w:rPr>
        <w:t>Once Accel installs gaming terminals and amusement machines in location partners, those location partners rely on support from Accel to resolve any related issues. High-quality user and location education and customer service to the licensed establishments have been key to Accel’s brand and is important for the successful marketing and sale of its products and services and to increase the number of gaming terminals and amusement machines at its locations. The importance of high-quality customer service to its locations will increase as Accel expands its business and pursues new location partners and potentially expands into new jurisdictions. For instance, if Accel does not help its location partners quickly resolve issues, whether those issues are regulatory, technical, or data related, and provide an effective ongoing level of support, its ability to retain or renew contracts with its location partners could suffer and its reputation with existing or potential location partners may be harmed. In some cases, Accel depends on third parties to resolve such issues, the performance of which is out of Accel’s control. Further, Accel’s success is highly dependent on business reputation and positive recommendations from existing location partners. Any failure to maintain high-quality levels of service, or a market perception that Accel does not maintain a high-quality service to its locations, could harm its reputation, its ability to market to existing and prospective location partners, and Accel’s results of operations, cash flows and financial condition.</w:t>
      </w:r>
    </w:p>
    <w:p>
      <w:pPr>
        <w:spacing w:after="0" w:line="112" w:lineRule="exact"/>
        <w:rPr>
          <w:sz w:val="20"/>
          <w:szCs w:val="20"/>
          <w:color w:val="auto"/>
        </w:rPr>
      </w:pPr>
    </w:p>
    <w:p>
      <w:pPr>
        <w:jc w:val="both"/>
        <w:ind w:firstLine="324"/>
        <w:spacing w:after="0" w:line="350" w:lineRule="auto"/>
        <w:rPr>
          <w:sz w:val="20"/>
          <w:szCs w:val="20"/>
          <w:color w:val="auto"/>
        </w:rPr>
      </w:pPr>
      <w:r>
        <w:rPr>
          <w:rFonts w:ascii="Arial" w:cs="Arial" w:eastAsia="Arial" w:hAnsi="Arial"/>
          <w:sz w:val="16"/>
          <w:szCs w:val="16"/>
          <w:color w:val="auto"/>
        </w:rPr>
        <w:t>In addition, as Accel continues to grow its operations and expand into additional jurisdictions, Accel needs to be able to provide efficient support that meets the needs of its location partners. The number of locations with Accel’s products has grown significantly and that may place additional pressure on its support organization. As Accel’s base of location partners continues to grow, it may need to increase the number of relationship managers, customer service and other personnel it employs to provide personalized account management, assistance to its location partners in navigating regulatory applications and ongoing compliance concerns, and customer service, training, and revenue optimization. If Accel is not able to continue to provide high levels of customer service, its reputation, as well as Accel’s results of operations, cash flows and financial condition, could be harmed.</w:t>
      </w:r>
    </w:p>
    <w:p>
      <w:pPr>
        <w:spacing w:after="0" w:line="91"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Accel’s revenue growth and ability to achieve and sustain profitability will depend, in part on being able to expand its sales force and increase the productivity of its sales force.</w:t>
      </w:r>
    </w:p>
    <w:p>
      <w:pPr>
        <w:spacing w:after="0" w:line="103"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Most of Accel’s revenue has been attributable to the efforts of its sales force, which consists of both in-house personnel and independent agents. In order to increase Accel’s revenue and achieve and sustain profitability, Accel intends to increase the size of its sales force to generate additional revenue from new and existing locations.</w:t>
      </w:r>
    </w:p>
    <w:p>
      <w:pPr>
        <w:spacing w:after="0" w:line="116"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7"/>
          <w:szCs w:val="17"/>
          <w:color w:val="auto"/>
        </w:rPr>
        <w:t>Accel’s ability to achieve significant revenue growth will depend, in large part, on its success in recruiting, training, and retaining sufficient numbers of in-house and independent sales personnel to support growth. New sales personnel require significant training and can take a number of months to achieve full productivity. Accel’s recent hires and planned hires may not become productive as quickly as expected and if new sales employees and agents do not become fully productive on the timelines that have been projected or at all, Accel’s revenue may not increase at anticipated levels and its ability to achieve long-term projections may be negatively impacted. In addition, as Accel continues to grow, a larger percentage of its sales force will be new to Accel and its business, which may adversely affect Accel’s sales if it cannot train its sales force quickly or effectively. Attrition rates may increase, and Accel may face integration challenges as it continues to seek to expand its sales force. Accel</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also believes that there is significant competition for sales personnel with the skills that it requires in the industries in which it operates and may be unable to hire or retain sufficient numbers of qualified individuals in the markets where it operates or plans to operate. If Accel is unable to hire and train sufficient numbers of effective sales personnel or agents, or if the sales personnel or agents are not successful in obtaining new location partners or promoting activity within Accel’s existing location partners, Accel’s business may be adversely affected.</w:t>
      </w:r>
    </w:p>
    <w:p>
      <w:pPr>
        <w:spacing w:after="0" w:line="11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Accel periodically changes and adjusts its sales organization in response to market opportunities, competitive threats, management changes, product and service introductions or enhancements, acquisitions, sales performance, increases in sales headcount, cost levels, and other internal and external considerations. Any future sales organization changes may result in a temporary reduction of productivity, which could negatively affect Accel’s rate of growth. In addition, any significant change to the way Accel structures the compensation of its sales organization may be disruptive and may affect revenue growth.</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Accel’s inability to complete acquisitions and integrate acquired businesses successfully could limit its growth or disrupt its plans and operations</w:t>
      </w:r>
      <w:r>
        <w:rPr>
          <w:rFonts w:ascii="Arial" w:cs="Arial" w:eastAsia="Arial" w:hAnsi="Arial"/>
          <w:sz w:val="16"/>
          <w:szCs w:val="16"/>
          <w:color w:val="auto"/>
        </w:rPr>
        <w:t>.</w:t>
      </w:r>
    </w:p>
    <w:p>
      <w:pPr>
        <w:spacing w:after="0" w:line="221" w:lineRule="exact"/>
        <w:rPr>
          <w:sz w:val="20"/>
          <w:szCs w:val="20"/>
          <w:color w:val="auto"/>
        </w:rPr>
      </w:pPr>
    </w:p>
    <w:p>
      <w:pPr>
        <w:jc w:val="both"/>
        <w:ind w:firstLine="324"/>
        <w:spacing w:after="0" w:line="336" w:lineRule="auto"/>
        <w:rPr>
          <w:sz w:val="20"/>
          <w:szCs w:val="20"/>
          <w:color w:val="auto"/>
        </w:rPr>
      </w:pPr>
      <w:r>
        <w:rPr>
          <w:rFonts w:ascii="Arial" w:cs="Arial" w:eastAsia="Arial" w:hAnsi="Arial"/>
          <w:sz w:val="17"/>
          <w:szCs w:val="17"/>
          <w:color w:val="auto"/>
        </w:rPr>
        <w:t>Accel continues to pursue expansion and acquisition opportunities in gaming and related businesses. Accel’s ability to succeed in implementing its strategy will depend to some degree upon its ability to identify and complete commercially viable acquisitions. Accel may not be able to find acquisition opportunities on acceptable terms or at all, or obtain necessary financing or regulatory approvals to complete potential acquisitions.</w:t>
      </w:r>
    </w:p>
    <w:p>
      <w:pPr>
        <w:spacing w:after="0" w:line="97" w:lineRule="exact"/>
        <w:rPr>
          <w:sz w:val="20"/>
          <w:szCs w:val="20"/>
          <w:color w:val="auto"/>
        </w:rPr>
      </w:pPr>
    </w:p>
    <w:p>
      <w:pPr>
        <w:jc w:val="both"/>
        <w:ind w:firstLine="324"/>
        <w:spacing w:after="0" w:line="326" w:lineRule="auto"/>
        <w:rPr>
          <w:sz w:val="20"/>
          <w:szCs w:val="20"/>
          <w:color w:val="auto"/>
        </w:rPr>
      </w:pPr>
      <w:r>
        <w:rPr>
          <w:rFonts w:ascii="Arial" w:cs="Arial" w:eastAsia="Arial" w:hAnsi="Arial"/>
          <w:sz w:val="17"/>
          <w:szCs w:val="17"/>
          <w:color w:val="auto"/>
        </w:rPr>
        <w:t>Accel may not be able to successfully integrate any businesses that it acquires or do so within intended timeframes. Accel could face significant challenges in managing and integrating its acquisitions and combined operations, including acquired assets, operations and personnel, as well as maintaining or developing, procedures and policies (including effective internal control over financial reporting and disclosure controls and procedures). In addition, any expected cost synergies associated with such acquisitions may not be fully realized in the anticipated amounts or within the contemplated timeframes or cost expectations, which could result in increased costs and have an adverse effect on Accel’s results of operations, cash flows and financial condition. Accel expects to incur incremental costs and capital expenditures related to its contemplated integration activities.</w:t>
      </w:r>
    </w:p>
    <w:p>
      <w:pPr>
        <w:spacing w:after="0" w:line="108"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Acquisition transactions may disrupt Accel’s ongoing business. The integration of acquisitions will require significant time and focus from management and may divert attention from the day-to-day operations of the combined business or delay the achievement of strategic objectives. These risks may be heightened when Accel enters into regions where it has no or limited prior experience. Accel’s business may be negatively impacted following the acquisitions if it is unable to effectively manage expanded operations.</w:t>
      </w:r>
    </w:p>
    <w:p>
      <w:pPr>
        <w:spacing w:after="0" w:line="132"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Accel’s failure to successfully integrate its business with Century could materially adversely affect its business, and Accel may not realize the full benefits of the Century Acquisition.</w:t>
      </w:r>
    </w:p>
    <w:p>
      <w:pPr>
        <w:spacing w:after="0" w:line="130"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Accel’s ability to realize the anticipated benefits of its June 2022 acquisition of Century, will depend, to a large extent, on its ability to successfully integrate our business with the business we acquired. Integrating and coordinating the operations and personnel of multiple businesses and managing the expansion in the scope of our operations and financial systems involves complex operational, technological and personnel-related challenges. The potential difficulties, and resulting costs and delays, relating to the integration of our business with Century’s business include:</w:t>
      </w:r>
    </w:p>
    <w:p>
      <w:pPr>
        <w:spacing w:after="0" w:line="11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difficulty in integrating Century’s business and operations in an efficient and effective manner;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challenges in achieving strategic objectives and other benefits expected from the Century Acquisition;</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diversion of management’s attention from day-to-day operations;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demands on management related to the increased size and scope of our company following the Century Acquisition;</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assimilation of employees and the integration of different business cultures;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in attracting and retaining key personnel;</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need to integrate information, accounting, finance, sales, billing, payroll and regulatory compliance systems;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in keeping existing customers and obtaining new customers;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in combining sales and marketing activities.</w:t>
      </w:r>
    </w:p>
    <w:p>
      <w:pPr>
        <w:spacing w:after="0" w:line="212" w:lineRule="exact"/>
        <w:rPr>
          <w:sz w:val="20"/>
          <w:szCs w:val="20"/>
          <w:color w:val="auto"/>
        </w:rPr>
      </w:pPr>
    </w:p>
    <w:p>
      <w:pPr>
        <w:jc w:val="both"/>
        <w:ind w:firstLine="324"/>
        <w:spacing w:after="0" w:line="322" w:lineRule="auto"/>
        <w:rPr>
          <w:sz w:val="20"/>
          <w:szCs w:val="20"/>
          <w:color w:val="auto"/>
        </w:rPr>
      </w:pPr>
      <w:r>
        <w:rPr>
          <w:rFonts w:ascii="Arial" w:cs="Arial" w:eastAsia="Arial" w:hAnsi="Arial"/>
          <w:sz w:val="17"/>
          <w:szCs w:val="17"/>
          <w:color w:val="auto"/>
        </w:rPr>
        <w:t>There is no assurance that Accel will successfully or cost-effectively integrate with Century, including our systems, technology, networks and business practice, and the costs of achieving systems integration may substantially exceed Accel’s current estimates. Issues that arise during this process may divert management’s attention away from Accel’s day-to-day operations, and any difficulties encountered in the integration process could cause internal disruption in general, which could adversely impact Accel’s relationships with customers, suppliers, employees and other constituencies. Accel and Century’s combined results of operations could also be adversely affected by any issues Accel discovers that were attributable to operations of the Century entities that arose before the acquisition. Moreover, as a non-public company at the time of the acquisition, Century did not have to comply with the requirements of the Sarbanes-Oxley Act of 2002 for internal control over financial reporting and other procedures. Bringing the legacy systems for Century into compliance with those requirements may cause Accel to incur substantial additional expense. In addition, the integration process may cause an interruption of, or loss of momentum in, the activities of the combined business. If management is not able to effectively manage the integration process, or if any significant business activities are interrupted as a result of the integration process, Accel’s business could suffer and its results of operations and financial condition may be harmed.</w:t>
      </w:r>
    </w:p>
    <w:p>
      <w:pPr>
        <w:spacing w:after="0" w:line="126"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b w:val="1"/>
          <w:bCs w:val="1"/>
          <w:i w:val="1"/>
          <w:iCs w:val="1"/>
          <w:color w:val="auto"/>
        </w:rPr>
        <w:t>Accel faces significant competition from other gaming and entertainment operations, and Accel’s success in part relies on maintaining Accel’s competitive advantages and market share in key markets.</w:t>
      </w:r>
    </w:p>
    <w:p>
      <w:pPr>
        <w:spacing w:after="0" w:line="103" w:lineRule="exact"/>
        <w:rPr>
          <w:sz w:val="20"/>
          <w:szCs w:val="20"/>
          <w:color w:val="auto"/>
        </w:rPr>
      </w:pPr>
    </w:p>
    <w:p>
      <w:pPr>
        <w:jc w:val="both"/>
        <w:ind w:firstLine="324"/>
        <w:spacing w:after="0" w:line="320" w:lineRule="auto"/>
        <w:rPr>
          <w:sz w:val="20"/>
          <w:szCs w:val="20"/>
          <w:color w:val="auto"/>
        </w:rPr>
      </w:pPr>
      <w:r>
        <w:rPr>
          <w:rFonts w:ascii="Arial" w:cs="Arial" w:eastAsia="Arial" w:hAnsi="Arial"/>
          <w:sz w:val="17"/>
          <w:szCs w:val="17"/>
          <w:color w:val="auto"/>
        </w:rPr>
        <w:t>Accel faces significant competition from suppliers and other operators of gaming terminals and dartboards, pool tables and other related non-gaming equipment at location partners. Accel competes on the basis of the responsiveness of its services, and the popularity, content, features, quality, functionality, accuracy, and reliability of its products. In order to remain competitive and maintain Accel’s existing market share, Accel must continuously offer popular, high-quality games in a timely manner and new services or enhancements to its existing services. These services or enhancements may not be well received by location partners or consumers, even if well reviewed and of high quality. In addition, some of Accel’s current and future competitors may enjoy substantial competitive advantages over it, such as greater name recognition, longer operating histories, or greater financial, technical, and other resources. These companies may use these advantages to offer services that respond better to the needs of location partners, spend more on advertising and brand marketing, expand their operations, or respond more quickly and effectively than Accel does or can to new or changing opportunities, technologies, standards, regulatory conditions or requirements, or player preferences. These competitors could use these advantages to capture additional market share to Accel’s detriment in key markets. Additionally, Accel could lose some or all of the competitive advantages that it currently enjoys over its current and potential competitors. Accel also faces high levels of competition related to newly legalized gaming jurisdictions and for openings of new or expanded locations. Accel’s success depends on its ability to successfully enter new markets and compete successfully for new business, which is not certain to occur. Any of these developments could have an adverse effect on Accel’s results of operations, cash flows and financial condition and could result in a loss of market share in key markets.</w:t>
      </w:r>
    </w:p>
    <w:p>
      <w:pPr>
        <w:spacing w:after="0" w:line="131" w:lineRule="exact"/>
        <w:rPr>
          <w:sz w:val="20"/>
          <w:szCs w:val="20"/>
          <w:color w:val="auto"/>
        </w:rPr>
      </w:pPr>
    </w:p>
    <w:p>
      <w:pPr>
        <w:jc w:val="both"/>
        <w:spacing w:after="0" w:line="340" w:lineRule="auto"/>
        <w:rPr>
          <w:sz w:val="20"/>
          <w:szCs w:val="20"/>
          <w:color w:val="auto"/>
        </w:rPr>
      </w:pPr>
      <w:r>
        <w:rPr>
          <w:rFonts w:ascii="Arial" w:cs="Arial" w:eastAsia="Arial" w:hAnsi="Arial"/>
          <w:sz w:val="18"/>
          <w:szCs w:val="18"/>
          <w:b w:val="1"/>
          <w:bCs w:val="1"/>
          <w:i w:val="1"/>
          <w:iCs w:val="1"/>
          <w:color w:val="auto"/>
        </w:rPr>
        <w:t>Accel operates in the highly competitive gaming industry, and Accel’s success depends on its ability to effectively compete with numerous types of businesses in a rapidly evolving, and potentially expanding, gaming environment.</w:t>
      </w:r>
    </w:p>
    <w:p>
      <w:pPr>
        <w:spacing w:after="0" w:line="102" w:lineRule="exact"/>
        <w:rPr>
          <w:sz w:val="20"/>
          <w:szCs w:val="20"/>
          <w:color w:val="auto"/>
        </w:rPr>
      </w:pPr>
    </w:p>
    <w:p>
      <w:pPr>
        <w:jc w:val="both"/>
        <w:ind w:firstLine="324"/>
        <w:spacing w:after="0" w:line="326" w:lineRule="auto"/>
        <w:rPr>
          <w:sz w:val="20"/>
          <w:szCs w:val="20"/>
          <w:color w:val="auto"/>
        </w:rPr>
      </w:pPr>
      <w:r>
        <w:rPr>
          <w:rFonts w:ascii="Arial" w:cs="Arial" w:eastAsia="Arial" w:hAnsi="Arial"/>
          <w:sz w:val="17"/>
          <w:szCs w:val="17"/>
          <w:color w:val="auto"/>
        </w:rPr>
        <w:t>While Accel’s operations face competition from many forms of leisure and entertainment activities, including shopping, athletic events, television and movies, concerts, and travel, Accel faces particularly robust competition from other forms of gaming. The gaming industry is characterized by an increasingly high degree of competition among a large number of participants on both a local and national level, including casinos, Internet gaming, sports betting, sweepstakes and poker machines not located in casinos, horse racetracks, including those featuring slot machines and/or table games, fantasy sports, real money iGaming, and other forms of gaming, such as, Internet-based lotteries, sweepstakes, and fantasy sports, and Internet-based or mobile-based gaming platforms, which allow their players to wager on a wide variety of sporting events and/or play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casino games from home or in non-casino settings. This could divert players from using Accel’s products in location partners, and adversely affect its business. Even Internet wagering services that are illegal under federal and state law but operate from overseas locations, may nevertheless be accessible to domestic gamblers and divert players from visiting location partners to play on Accel’s gaming terminals.</w:t>
      </w:r>
    </w:p>
    <w:p>
      <w:pPr>
        <w:spacing w:after="0" w:line="143"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8"/>
          <w:szCs w:val="18"/>
          <w:color w:val="auto"/>
        </w:rPr>
        <w:t xml:space="preserve">The availability of competing gaming activities could increase substantially in the future. Voters and state legislatures may seek to supplement traditional tax revenue sources of state governments by authorizing or expanding gaming in the states in which we operate, adjacent states or jurisdictions where Accel plans to operate in the future. In addition, established gaming jurisdictions could award additional gaming licenses or permit the expansion or relocation of existing gaming operations (including gaming terminals). See “ </w:t>
      </w:r>
      <w:r>
        <w:rPr>
          <w:rFonts w:ascii="Arial" w:cs="Arial" w:eastAsia="Arial" w:hAnsi="Arial"/>
          <w:sz w:val="18"/>
          <w:szCs w:val="18"/>
          <w:i w:val="1"/>
          <w:iCs w:val="1"/>
          <w:color w:val="auto"/>
        </w:rPr>
        <w:t>—Accel’s revenue growth and future success depends on its ability to expand</w:t>
      </w:r>
      <w:r>
        <w:rPr>
          <w:rFonts w:ascii="Arial" w:cs="Arial" w:eastAsia="Arial" w:hAnsi="Arial"/>
          <w:sz w:val="18"/>
          <w:szCs w:val="18"/>
          <w:color w:val="auto"/>
        </w:rPr>
        <w:t xml:space="preserve"> </w:t>
      </w:r>
      <w:r>
        <w:rPr>
          <w:rFonts w:ascii="Arial" w:cs="Arial" w:eastAsia="Arial" w:hAnsi="Arial"/>
          <w:sz w:val="18"/>
          <w:szCs w:val="18"/>
          <w:i w:val="1"/>
          <w:iCs w:val="1"/>
          <w:color w:val="auto"/>
        </w:rPr>
        <w:t>into new markets, which may not occur as anticipated or at all. In addition, Accel may expand into new businesses, which may subject it to additional risks.</w:t>
      </w:r>
      <w:r>
        <w:rPr>
          <w:rFonts w:ascii="Arial" w:cs="Arial" w:eastAsia="Arial" w:hAnsi="Arial"/>
          <w:sz w:val="18"/>
          <w:szCs w:val="18"/>
          <w:color w:val="auto"/>
        </w:rPr>
        <w:t>” for more information. While Accel believes it is well positioned to take advantage of certain of these opportunities, expansion of gaming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(both legal and illegal) could further compete with Accel’s gaming terminals, which could have an adverse impact on Accel’s results of operations, cash flows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concentration and evolution of the gaming terminal manufacturing industry could impose additional costs on Accel.</w:t>
      </w:r>
    </w:p>
    <w:p>
      <w:pPr>
        <w:spacing w:after="0" w:line="198"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A majority of Accel’s revenue is attributable to gaming terminals and related systems supplied by it at location partners. A substantial majority of the gaming terminals sold in the U.S. in recent years have been manufactured by a few select companies, and there has been extensive consolidation within the gaming equipment sector in recent years, including the acquisitions of Bally Technologies, Inc. (which had acquired SHFL Entertainment, Inc.) and WMS Industries, Inc. by Light &amp; Wonder, Inc. and International Game Technology PLC by GTECH S.p.A, respectively.</w:t>
      </w:r>
    </w:p>
    <w:p>
      <w:pPr>
        <w:spacing w:after="0" w:line="103" w:lineRule="exact"/>
        <w:rPr>
          <w:sz w:val="20"/>
          <w:szCs w:val="20"/>
          <w:color w:val="auto"/>
        </w:rPr>
      </w:pPr>
    </w:p>
    <w:p>
      <w:pPr>
        <w:jc w:val="both"/>
        <w:ind w:firstLine="324"/>
        <w:spacing w:after="0" w:line="360" w:lineRule="auto"/>
        <w:rPr>
          <w:sz w:val="20"/>
          <w:szCs w:val="20"/>
          <w:color w:val="auto"/>
        </w:rPr>
      </w:pPr>
      <w:r>
        <w:rPr>
          <w:rFonts w:ascii="Arial" w:cs="Arial" w:eastAsia="Arial" w:hAnsi="Arial"/>
          <w:sz w:val="16"/>
          <w:szCs w:val="16"/>
          <w:color w:val="auto"/>
        </w:rPr>
        <w:t xml:space="preserve">Consolidation may force Accel to enter into purchase arrangements for new gaming terminals that are more expensive to operate than its existing gaming terminals. If the newer gaming terminals do not result in sufficient incremental revenues to offset the potential increased investment and costs, it could damage Accel’s profitability. In the event that Accel loses a supplier, it may be unable to replace such supplier, and Accel’s remaining suppliers may increase fees and costs. See “— </w:t>
      </w:r>
      <w:r>
        <w:rPr>
          <w:rFonts w:ascii="Arial" w:cs="Arial" w:eastAsia="Arial" w:hAnsi="Arial"/>
          <w:sz w:val="16"/>
          <w:szCs w:val="16"/>
          <w:i w:val="1"/>
          <w:iCs w:val="1"/>
          <w:color w:val="auto"/>
        </w:rPr>
        <w:t>An increase in Accel’s borrowing costs would negatively affect its financial condition, cash flow and results of operations.</w:t>
      </w:r>
      <w:r>
        <w:rPr>
          <w:rFonts w:ascii="Arial" w:cs="Arial" w:eastAsia="Arial" w:hAnsi="Arial"/>
          <w:sz w:val="16"/>
          <w:szCs w:val="16"/>
          <w:color w:val="auto"/>
        </w:rPr>
        <w:t>”</w:t>
      </w:r>
    </w:p>
    <w:p>
      <w:pPr>
        <w:spacing w:after="0" w:line="71" w:lineRule="exact"/>
        <w:rPr>
          <w:sz w:val="20"/>
          <w:szCs w:val="20"/>
          <w:color w:val="auto"/>
        </w:rPr>
      </w:pPr>
    </w:p>
    <w:p>
      <w:pPr>
        <w:jc w:val="both"/>
        <w:spacing w:after="0" w:line="412" w:lineRule="auto"/>
        <w:rPr>
          <w:sz w:val="20"/>
          <w:szCs w:val="20"/>
          <w:color w:val="auto"/>
        </w:rPr>
      </w:pPr>
      <w:r>
        <w:rPr>
          <w:rFonts w:ascii="Arial" w:cs="Arial" w:eastAsia="Arial" w:hAnsi="Arial"/>
          <w:sz w:val="16"/>
          <w:szCs w:val="16"/>
          <w:b w:val="1"/>
          <w:bCs w:val="1"/>
          <w:i w:val="1"/>
          <w:iCs w:val="1"/>
          <w:color w:val="auto"/>
        </w:rPr>
        <w:t>Accel’s operations are largely dependent on the skill and experience of its management and key personnel. The loss of management and other key personnel could significantly harm Accel’s business, and it may not be able to effectively replace members of management who may leave Accel.</w:t>
      </w:r>
    </w:p>
    <w:p>
      <w:pPr>
        <w:spacing w:after="0" w:line="30" w:lineRule="exact"/>
        <w:rPr>
          <w:sz w:val="20"/>
          <w:szCs w:val="20"/>
          <w:color w:val="auto"/>
        </w:rPr>
      </w:pPr>
    </w:p>
    <w:p>
      <w:pPr>
        <w:jc w:val="both"/>
        <w:ind w:firstLine="324"/>
        <w:spacing w:after="0" w:line="354" w:lineRule="auto"/>
        <w:rPr>
          <w:sz w:val="20"/>
          <w:szCs w:val="20"/>
          <w:color w:val="auto"/>
        </w:rPr>
      </w:pPr>
      <w:r>
        <w:rPr>
          <w:rFonts w:ascii="Arial" w:cs="Arial" w:eastAsia="Arial" w:hAnsi="Arial"/>
          <w:sz w:val="16"/>
          <w:szCs w:val="16"/>
          <w:color w:val="auto"/>
        </w:rPr>
        <w:t>Accel’s success and competitive position are largely dependent upon, among other things, the efforts and skills of its senior executives and management team, including Andrew H. Rubenstein as the Chief Executive Officer and President, Karl Peterson as Chairman of the Board, Mathew Ellis as Chief Financial Officer, Derek Harmer as General Counsel and Chief Compliance Officer and Mark Phelan as Chief Revenue Officer. Although Accel has entered into employment agreements with senior executives and key personnel, there can be no assurance that these individuals will remain employed. If Accel loses the services of any members of its management team or other key personnel, its business may be significantly impaired.</w:t>
      </w:r>
    </w:p>
    <w:p>
      <w:pPr>
        <w:spacing w:after="0" w:line="88"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Accel relies on assumptions and estimates to calculate certain key metrics, and real or perceived inaccuracies in such metrics may harm its reputation and negatively affect its business.</w:t>
      </w:r>
    </w:p>
    <w:p>
      <w:pPr>
        <w:spacing w:after="0" w:line="10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Accel regularly reviews metrics, including the number of players and other measures, to evaluate growth trends, measure performance and make strategic decisions. Additionally, Accel commits significant amounts of resources and employee time to understanding the inherent historical patterns of gaming results within individual location partners. Accel uses this pattern recognition process to implement more optimal gaming layouts for location partners, with the goal of generating increased gaming revenue.</w:t>
      </w:r>
    </w:p>
    <w:p>
      <w:pPr>
        <w:spacing w:after="0" w:line="10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Certain of Accel’s key business metrics, including number of locations, number of gaming terminals and other measures to evaluate growth trends and the quality of marketing and player behaviors, are calculated using data from Light &amp; Wonder, Inc., a contractor of the IGB. See “</w:t>
      </w:r>
      <w:r>
        <w:rPr>
          <w:rFonts w:ascii="Arial" w:cs="Arial" w:eastAsia="Arial" w:hAnsi="Arial"/>
          <w:sz w:val="18"/>
          <w:szCs w:val="18"/>
          <w:i w:val="1"/>
          <w:iCs w:val="1"/>
          <w:color w:val="auto"/>
        </w:rPr>
        <w:t>Accel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 — Key Business Metrics</w:t>
      </w:r>
      <w:r>
        <w:rPr>
          <w:rFonts w:ascii="Arial" w:cs="Arial" w:eastAsia="Arial" w:hAnsi="Arial"/>
          <w:sz w:val="18"/>
          <w:szCs w:val="18"/>
          <w:color w:val="auto"/>
        </w:rPr>
        <w:t>” for more information. While Accel believe these</w:t>
      </w:r>
      <w:r>
        <w:rPr>
          <w:rFonts w:ascii="Arial" w:cs="Arial" w:eastAsia="Arial" w:hAnsi="Arial"/>
          <w:sz w:val="18"/>
          <w:szCs w:val="18"/>
          <w:i w:val="1"/>
          <w:iCs w:val="1"/>
          <w:color w:val="auto"/>
        </w:rPr>
        <w:t xml:space="preserve"> </w:t>
      </w:r>
      <w:r>
        <w:rPr>
          <w:rFonts w:ascii="Arial" w:cs="Arial" w:eastAsia="Arial" w:hAnsi="Arial"/>
          <w:sz w:val="18"/>
          <w:szCs w:val="18"/>
          <w:color w:val="auto"/>
        </w:rPr>
        <w:t>figures to be reasonable and that its reliance on them is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64" w:lineRule="auto"/>
        <w:rPr>
          <w:sz w:val="20"/>
          <w:szCs w:val="20"/>
          <w:color w:val="auto"/>
        </w:rPr>
      </w:pPr>
      <w:r>
        <w:rPr>
          <w:rFonts w:ascii="Arial" w:cs="Arial" w:eastAsia="Arial" w:hAnsi="Arial"/>
          <w:sz w:val="16"/>
          <w:szCs w:val="16"/>
          <w:color w:val="auto"/>
        </w:rPr>
        <w:t>justified, there can be no assurance that such figures are reliable or accurate. Should Accel decide to review these or other figures, it may discover material inaccuracies, including unexpected errors in its internal data that result from technical or other errors. If Accel determines that any of its metrics are not accurate, they may be required to revise or cease reporting such metrics and such changes may harm Accel’s reputation and business.</w:t>
      </w:r>
    </w:p>
    <w:p>
      <w:pPr>
        <w:spacing w:after="0" w:line="81"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b w:val="1"/>
          <w:bCs w:val="1"/>
          <w:i w:val="1"/>
          <w:iCs w:val="1"/>
          <w:color w:val="auto"/>
        </w:rPr>
        <w:t>Accel’s results of operations, cash flows and financial condition could be affected by natural events in the locations in which it or its location partners, suppliers or regulators operate.</w:t>
      </w:r>
    </w:p>
    <w:p>
      <w:pPr>
        <w:spacing w:after="0" w:line="103" w:lineRule="exact"/>
        <w:rPr>
          <w:sz w:val="20"/>
          <w:szCs w:val="20"/>
          <w:color w:val="auto"/>
        </w:rPr>
      </w:pPr>
    </w:p>
    <w:p>
      <w:pPr>
        <w:jc w:val="both"/>
        <w:ind w:firstLine="324"/>
        <w:spacing w:after="0" w:line="345" w:lineRule="auto"/>
        <w:rPr>
          <w:sz w:val="20"/>
          <w:szCs w:val="20"/>
          <w:color w:val="auto"/>
        </w:rPr>
      </w:pPr>
      <w:r>
        <w:rPr>
          <w:rFonts w:ascii="Arial" w:cs="Arial" w:eastAsia="Arial" w:hAnsi="Arial"/>
          <w:sz w:val="16"/>
          <w:szCs w:val="16"/>
          <w:color w:val="auto"/>
        </w:rPr>
        <w:t>Accel may be impacted by severe weather and other geological events, which could potentially be exacerbated by climate change. For example, Accel could be impacted by hurricanes, tornados, earthquakes, floods or tsunamis that could disrupt operations or the operations of its location partners, suppliers, data service providers and regulators. Natural disasters or other disruptions at any of Accel’s facilities or suppliers’ facilities may impair or delay the operation, development, provisions or delivery of its products and services. Additionally, disruptions experienced by Accel’s regulators due to natural disasters or otherwise could delay the introduction of new products or entry into new jurisdictions where regulatory approval is necessary. While Accel insures against certain business interruption risks, there can be no assurance that such insurance will adequately compensate for any losses incurred as a result of natural or other disasters. Any serious disruption to Accel’s operations, or those of its location partners, suppliers, data service providers, or regulators, could have an adverse effect on Accel’s results of operations, cash flows and financial condition.</w:t>
      </w:r>
    </w:p>
    <w:p>
      <w:pPr>
        <w:spacing w:after="0" w:line="98"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The COVID-19 pandemic has had, and could continue to have, an adverse impact on our business, operations and financial condition for an extended period of time.</w:t>
      </w:r>
    </w:p>
    <w:p>
      <w:pPr>
        <w:spacing w:after="0" w:line="103"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Since its initial outbreak, the spread of COVID-19 and its variants, and the measures taken in response to the pandemic, have had a global and national impact, both direct and indirect, on businesses and commerce. Despite progress in the administration of vaccines, the future impact of the pandemic on global and local economies will continue to depend on future developments such as the emergence of future variant strains of COVID-19, the availability and distribution of effective medical treatments and vaccines, vaccination rates, as well as government-imposed restrictions or mandates. As a result, the length of the pandemic and its ultimate economic and human toll cannot yet be determined</w:t>
      </w:r>
    </w:p>
    <w:p>
      <w:pPr>
        <w:spacing w:after="0" w:line="105"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8"/>
          <w:szCs w:val="18"/>
          <w:color w:val="auto"/>
        </w:rPr>
        <w:t>The mandated shutdowns of our location partners’ gaming operations and our gaming terminals by the IGB from March 16, 2020 to July 1, 2020 and from November 19, 2020 to January 16, 2021 substantially and adversely impacted our business, operations and financial condition. In addition, we have been, and may continue to be further, negatively impacted by related developments in response to resurgences of COVID-19 and its variants, including heightened governmental regulations and travel advisories, recommendations by the U.S. Department of State and the Centers for Disease Control and Prevention, and travel bans and restrictions, each of which has significantly impacted, and could continue to impact, travel of customers to our location partners.</w:t>
      </w:r>
    </w:p>
    <w:p>
      <w:pPr>
        <w:spacing w:after="0" w:line="10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While the IGB announced the resumption of all video gaming activities in January 2021, it is possible that it or the State of Illinois will order a shutdown by region (currently 11 regions), or a complete suspension of video gaming in the state, or institute stay-at-home, closure or other similar orders or measures in the future in response to a resurgence of COVID-19 or other events. We may be adversely impacted as a result of any future adverse impact of COVID-19 on our location partners.</w:t>
      </w:r>
    </w:p>
    <w:p>
      <w:pPr>
        <w:spacing w:after="0" w:line="115"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Further, our business may be negatively impacted by the adverse changes in the perceived or actual economic climate, including higher unemployment rates, declines in income levels and loss of personal wealth resulting from the impact of COVID-19 and its related variants, which could contribute to weak demand for gaming and non-gaming services.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Additionally, given the existing impact of COVID-19 on our business, operations and financial condition and potential future impact, we can make no assurances that we will be able to successfully pursue expansion of gaming operations into new jurisdictions or that such jurisdictions will pass laws and regulations allowing gaming, the opening of new locations, the addition of new gaming terminals and amusement machines in existing locations or the acquisition of other terminal operators.</w:t>
      </w:r>
    </w:p>
    <w:p>
      <w:pPr>
        <w:spacing w:after="0" w:line="115" w:lineRule="exact"/>
        <w:rPr>
          <w:sz w:val="20"/>
          <w:szCs w:val="20"/>
          <w:color w:val="auto"/>
        </w:rPr>
      </w:pPr>
    </w:p>
    <w:p>
      <w:pPr>
        <w:jc w:val="both"/>
        <w:ind w:right="20" w:firstLine="324"/>
        <w:spacing w:after="0" w:line="324" w:lineRule="auto"/>
        <w:rPr>
          <w:sz w:val="20"/>
          <w:szCs w:val="20"/>
          <w:color w:val="auto"/>
        </w:rPr>
      </w:pPr>
      <w:r>
        <w:rPr>
          <w:rFonts w:ascii="Arial" w:cs="Arial" w:eastAsia="Arial" w:hAnsi="Arial"/>
          <w:sz w:val="18"/>
          <w:szCs w:val="18"/>
          <w:color w:val="auto"/>
        </w:rPr>
        <w:t>There may be other adverse consequences to our business, operations and financial condition from the spread of COVID-19 that we have not considered. Prior to March 2020, we had not previously experienced a complete cessation of our business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operations, and as a consequence, our ability to predict the impact of any future cessation on our business and future prospects is limited. We can offer no assurances that the effects of COVID-19 are temporary or that any losses that are incurred as a result of these uncertainties will be regained if and when this pandemic has passed. As a result, COVID-19 may continue to have a material adverse impact on our business, operations and financial condition for an extended period of time.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Compliance and Regulatory Matters</w:t>
      </w:r>
    </w:p>
    <w:p>
      <w:pPr>
        <w:spacing w:after="0" w:line="216" w:lineRule="exact"/>
        <w:rPr>
          <w:sz w:val="20"/>
          <w:szCs w:val="20"/>
          <w:color w:val="auto"/>
        </w:rPr>
      </w:pPr>
    </w:p>
    <w:p>
      <w:pPr>
        <w:jc w:val="both"/>
        <w:spacing w:after="0" w:line="395" w:lineRule="auto"/>
        <w:rPr>
          <w:sz w:val="20"/>
          <w:szCs w:val="20"/>
          <w:color w:val="auto"/>
        </w:rPr>
      </w:pPr>
      <w:r>
        <w:rPr>
          <w:rFonts w:ascii="Arial" w:cs="Arial" w:eastAsia="Arial" w:hAnsi="Arial"/>
          <w:sz w:val="16"/>
          <w:szCs w:val="16"/>
          <w:b w:val="1"/>
          <w:bCs w:val="1"/>
          <w:i w:val="1"/>
          <w:iCs w:val="1"/>
          <w:color w:val="auto"/>
        </w:rPr>
        <w:t>Accel is subject to strict government regulations that are constantly evolving and may be amended, repealed, or subject to new interpretations, which may limit existing operations, have an adverse impact on the ability to grow or may expose Accel to fines or other penalties.</w:t>
      </w:r>
    </w:p>
    <w:p>
      <w:pPr>
        <w:spacing w:after="0" w:line="83"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Accel is subject to the rules, regulations, and laws applicable to gaming, including, but not limited to, the Illinois Video Gaming Act, the Pennsylvania Gaming Act, the Georgia Lottery for Education Act, the Montana Video Gaming Control Act, and the Nevada Gaming Control Act. These gaming laws and related regulations are administered by the IGB, PA Board, the Georgia Lottery Corporation (the “GLC”), the Montana Department of Justice, Gambling Control Division and the NGC, respectively, which are regulatory boards with broad authority to create and interpret gaming regulations and to regulate gaming activities. These gaming authorities are authorized to:</w:t>
      </w:r>
    </w:p>
    <w:p>
      <w:pPr>
        <w:spacing w:after="0" w:line="14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adopt additional rules and regulations under the implementing statutes;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investigate violations of gaming regulations;</w:t>
      </w:r>
    </w:p>
    <w:p>
      <w:pPr>
        <w:spacing w:after="0" w:line="211" w:lineRule="exact"/>
        <w:rPr>
          <w:rFonts w:ascii="Arial" w:cs="Arial" w:eastAsia="Arial" w:hAnsi="Arial"/>
          <w:sz w:val="18"/>
          <w:szCs w:val="18"/>
          <w:color w:val="auto"/>
        </w:rPr>
      </w:pPr>
    </w:p>
    <w:p>
      <w:pPr>
        <w:ind w:left="340" w:hanging="8"/>
        <w:spacing w:after="0" w:line="324" w:lineRule="auto"/>
        <w:tabs>
          <w:tab w:leader="none" w:pos="6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enforce gaming regulations and impose disciplinary sanctions for violations of such laws, including fines, penalties and revocation of gaming licenses;</w:t>
      </w:r>
    </w:p>
    <w:p>
      <w:pPr>
        <w:spacing w:after="0" w:line="116" w:lineRule="exact"/>
        <w:rPr>
          <w:rFonts w:ascii="Arial" w:cs="Arial" w:eastAsia="Arial" w:hAnsi="Arial"/>
          <w:sz w:val="18"/>
          <w:szCs w:val="18"/>
          <w:color w:val="auto"/>
        </w:rPr>
      </w:pPr>
    </w:p>
    <w:p>
      <w:pPr>
        <w:ind w:left="340" w:right="20" w:hanging="8"/>
        <w:spacing w:after="0" w:line="340" w:lineRule="auto"/>
        <w:tabs>
          <w:tab w:leader="none" w:pos="6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the character and fitness of manufacturers, distributors and operators of gaming services and equipment and make determinations regarding their suitability or qualification for licensure;</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 and approve transactions (such as acquisitions, material commercial transactions, securities offerings and debt transactions); and</w:t>
      </w:r>
    </w:p>
    <w:p>
      <w:pPr>
        <w:spacing w:after="0" w:line="223"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and collect related fees and/or taxes.</w:t>
      </w:r>
    </w:p>
    <w:p>
      <w:pPr>
        <w:spacing w:after="0" w:line="212" w:lineRule="exact"/>
        <w:rPr>
          <w:sz w:val="20"/>
          <w:szCs w:val="20"/>
          <w:color w:val="auto"/>
        </w:rPr>
      </w:pPr>
    </w:p>
    <w:p>
      <w:pPr>
        <w:jc w:val="both"/>
        <w:ind w:right="20" w:firstLine="324"/>
        <w:spacing w:after="0" w:line="324" w:lineRule="auto"/>
        <w:rPr>
          <w:sz w:val="20"/>
          <w:szCs w:val="20"/>
          <w:color w:val="auto"/>
        </w:rPr>
      </w:pPr>
      <w:r>
        <w:rPr>
          <w:rFonts w:ascii="Arial" w:cs="Arial" w:eastAsia="Arial" w:hAnsi="Arial"/>
          <w:sz w:val="18"/>
          <w:szCs w:val="18"/>
          <w:color w:val="auto"/>
        </w:rPr>
        <w:t>In addition, Accel is subject to other rules and regulations related to its business and operations, including rules and regulations concerning the sale and service of alcoholic beverages.</w:t>
      </w:r>
    </w:p>
    <w:p>
      <w:pPr>
        <w:spacing w:after="0" w:line="116"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7"/>
          <w:szCs w:val="17"/>
          <w:color w:val="auto"/>
        </w:rPr>
        <w:t xml:space="preserve">Although Accel plans to maintain compliance with applicable laws as they evolve and to generally maintain good relations with regulators, there can be no assurance that Accel will do so, and that law enforcement or gaming or other regulatory authorities will not seek to restrict Accel’s business in their jurisdictions or institute enforcement proceedings if Accel is not compliant. For example, Accel is currently involved in an administrative hearing process with the IGB related to certain alleged violations of the Video Gaming Act and related rules. See </w:t>
      </w:r>
      <w:r>
        <w:rPr>
          <w:rFonts w:ascii="Arial" w:cs="Arial" w:eastAsia="Arial" w:hAnsi="Arial"/>
          <w:sz w:val="17"/>
          <w:szCs w:val="17"/>
          <w:i w:val="1"/>
          <w:iCs w:val="1"/>
          <w:color w:val="auto"/>
        </w:rPr>
        <w:t>“Legal Proceedings</w:t>
      </w:r>
      <w:r>
        <w:rPr>
          <w:rFonts w:ascii="Arial" w:cs="Arial" w:eastAsia="Arial" w:hAnsi="Arial"/>
          <w:sz w:val="17"/>
          <w:szCs w:val="17"/>
          <w:color w:val="auto"/>
        </w:rPr>
        <w:t>” for more information. There can be no assurance that any instituted enforcement proceedings will be favorably resolved, or that such proceedings will not have an adverse effect on its ability to retain and renew existing licenses or to obtain new licenses in other jurisdictions. Gaming authorities may levy fines against Accel or seize certain assets if Accel violates gaming regulations. Accel’s reputation may also be damaged by any legal or regulatory investigation, regardless of whether Accel is ultimately accused of, or found to have committed, any violation. A negative regulatory finding or ruling in one jurisdiction could have adverse consequences in other jurisdictions, including with gaming regulators.</w:t>
      </w:r>
    </w:p>
    <w:p>
      <w:pPr>
        <w:spacing w:after="0" w:line="122" w:lineRule="exact"/>
        <w:rPr>
          <w:sz w:val="20"/>
          <w:szCs w:val="20"/>
          <w:color w:val="auto"/>
        </w:rPr>
      </w:pPr>
    </w:p>
    <w:p>
      <w:pPr>
        <w:jc w:val="both"/>
        <w:ind w:firstLine="324"/>
        <w:spacing w:after="0" w:line="354" w:lineRule="auto"/>
        <w:rPr>
          <w:sz w:val="20"/>
          <w:szCs w:val="20"/>
          <w:color w:val="auto"/>
        </w:rPr>
      </w:pPr>
      <w:r>
        <w:rPr>
          <w:rFonts w:ascii="Arial" w:cs="Arial" w:eastAsia="Arial" w:hAnsi="Arial"/>
          <w:sz w:val="16"/>
          <w:szCs w:val="16"/>
          <w:color w:val="auto"/>
        </w:rPr>
        <w:t>In addition to regulatory compliance risk, Illinois, Montana, Nevada or any other states or other jurisdiction in which Accel operates or may operate (including jurisdictions at the county, district, municipal, town or borough level), may amend or repeal gaming enabling legislation or regulations. Changes to gaming enabling legislation or new interpretations of existing gaming laws may hinder or prevent Accel from continuing to operate in the jurisdictions where it currently conducts business, which could increase operating expenses and compliance costs or decrease the profitability of operations. Repeal of gaming enabling legislation could result in losses of capital investments and revenue, limit future growth opportunities and have an adverse effect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 xml:space="preserve">on Accel’s results of operations, cash flows and financial condition. If any jurisdiction in which Accel operates were to repeal gaming enabling legislation, there could be no assurance that Accel could sufficiently increase revenue in other markets to maintain operations or service existing indebtedness. In particular, the enactment of unfavorable legislation or government efforts affecting or directed at gaming terminal manufacturers or gaming operators, such as referendums to increase gaming taxes or requirements to use local distributors, would likely have a negative impact on operations. For example, 55 municipalities in Illinois have adopted ordinances requiring the collection of additional taxes, the enforceability of which is currently being contested by the Illinois Gaming Machine Operators Association. Accel has paid a penalty with respect to an alleged violation in one municipality (see </w:t>
      </w:r>
      <w:r>
        <w:rPr>
          <w:rFonts w:ascii="Arial" w:cs="Arial" w:eastAsia="Arial" w:hAnsi="Arial"/>
          <w:sz w:val="18"/>
          <w:szCs w:val="18"/>
          <w:i w:val="1"/>
          <w:iCs w:val="1"/>
          <w:color w:val="auto"/>
        </w:rPr>
        <w:t>"Item 3. Legal</w:t>
      </w:r>
      <w:r>
        <w:rPr>
          <w:rFonts w:ascii="Arial" w:cs="Arial" w:eastAsia="Arial" w:hAnsi="Arial"/>
          <w:sz w:val="18"/>
          <w:szCs w:val="18"/>
          <w:color w:val="auto"/>
        </w:rPr>
        <w:t xml:space="preserve"> </w:t>
      </w:r>
      <w:r>
        <w:rPr>
          <w:rFonts w:ascii="Arial" w:cs="Arial" w:eastAsia="Arial" w:hAnsi="Arial"/>
          <w:sz w:val="18"/>
          <w:szCs w:val="18"/>
          <w:i w:val="1"/>
          <w:iCs w:val="1"/>
          <w:color w:val="auto"/>
        </w:rPr>
        <w:t>Proceedings"</w:t>
      </w:r>
      <w:r>
        <w:rPr>
          <w:rFonts w:ascii="Arial" w:cs="Arial" w:eastAsia="Arial" w:hAnsi="Arial"/>
          <w:sz w:val="18"/>
          <w:szCs w:val="18"/>
          <w:color w:val="auto"/>
        </w:rPr>
        <w:t>) and has received notice of a potential violation from another municipality. Additionally, membership changes within regulatory agencies</w:t>
      </w:r>
      <w:r>
        <w:rPr>
          <w:rFonts w:ascii="Arial" w:cs="Arial" w:eastAsia="Arial" w:hAnsi="Arial"/>
          <w:sz w:val="18"/>
          <w:szCs w:val="18"/>
          <w:i w:val="1"/>
          <w:iCs w:val="1"/>
          <w:color w:val="auto"/>
        </w:rPr>
        <w:t xml:space="preserve"> </w:t>
      </w:r>
      <w:r>
        <w:rPr>
          <w:rFonts w:ascii="Arial" w:cs="Arial" w:eastAsia="Arial" w:hAnsi="Arial"/>
          <w:sz w:val="18"/>
          <w:szCs w:val="18"/>
          <w:color w:val="auto"/>
        </w:rPr>
        <w:t>could impact operations.</w:t>
      </w:r>
    </w:p>
    <w:p>
      <w:pPr>
        <w:spacing w:after="0" w:line="150" w:lineRule="exact"/>
        <w:rPr>
          <w:sz w:val="20"/>
          <w:szCs w:val="20"/>
          <w:color w:val="auto"/>
        </w:rPr>
      </w:pPr>
    </w:p>
    <w:p>
      <w:pPr>
        <w:jc w:val="both"/>
        <w:spacing w:after="0" w:line="349" w:lineRule="auto"/>
        <w:rPr>
          <w:sz w:val="20"/>
          <w:szCs w:val="20"/>
          <w:color w:val="auto"/>
        </w:rPr>
      </w:pPr>
      <w:r>
        <w:rPr>
          <w:rFonts w:ascii="Arial" w:cs="Arial" w:eastAsia="Arial" w:hAnsi="Arial"/>
          <w:sz w:val="16"/>
          <w:szCs w:val="16"/>
          <w:b w:val="1"/>
          <w:bCs w:val="1"/>
          <w:i w:val="1"/>
          <w:iCs w:val="1"/>
          <w:color w:val="auto"/>
        </w:rPr>
        <w:t>Accel is obligated to develop and maintain proper and effective internal control over financial reporting. Accel has identified material weaknesses in its internal control over financial reporting and if remediation of these material weaknesses is not effective, or if Accel fails to develop and maintain an effective system of disclosure controls and internal control over financial reporting, its ability to produce timely and accurate financial statements or comply with applicable laws and regulations could be impaired and its reputation and business could be adversely affected. In addition, the presence of material weaknesses increases the risk of material misstatement of the consolidated financial statements.</w:t>
      </w:r>
    </w:p>
    <w:p>
      <w:pPr>
        <w:spacing w:after="0" w:line="107" w:lineRule="exact"/>
        <w:rPr>
          <w:sz w:val="20"/>
          <w:szCs w:val="20"/>
          <w:color w:val="auto"/>
        </w:rPr>
      </w:pPr>
    </w:p>
    <w:p>
      <w:pPr>
        <w:jc w:val="both"/>
        <w:ind w:firstLine="324"/>
        <w:spacing w:after="0" w:line="350" w:lineRule="auto"/>
        <w:rPr>
          <w:sz w:val="20"/>
          <w:szCs w:val="20"/>
          <w:color w:val="auto"/>
        </w:rPr>
      </w:pPr>
      <w:r>
        <w:rPr>
          <w:rFonts w:ascii="Arial" w:cs="Arial" w:eastAsia="Arial" w:hAnsi="Arial"/>
          <w:sz w:val="16"/>
          <w:szCs w:val="16"/>
          <w:color w:val="auto"/>
        </w:rPr>
        <w:t>As a public company, Accel is required, pursuant to Section 404(a) of the Sarbanes-Oxley Act, to furnish a report by management on, among other things, the effectiveness of its internal control over financial reporting in its Annual Report on Form 10-K. In addition, pursuant to Section 404(b) of the Sarbanes-Oxley Act, Accel’s independent registered public accounting firm is required to annually attest to the effectiveness of Accel’s internal control over financial reporting. Effective internal control over financial reporting is necessary for reliable financial reports and, together with adequate disclosure controls and procedures, such internal controls are designed to prevent fraud. Any failure to implement required new or improved controls, or difficulties encountered in their implementation, could cause Accel to fail to meet its reporting obligations. Ineffective internal controls could also cause investors to lose confidence in reported financial information, which could have a negative effect on the trading price of our Class A-1 common stock.</w:t>
      </w:r>
    </w:p>
    <w:p>
      <w:pPr>
        <w:spacing w:after="0" w:line="10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Management’s assessment needs to include disclosure of any material weaknesses identified by management in Accel's internal control over financial reporting. Management’s assessment could detect problems with internal controls, and the independent assessment of the effectiveness of internal controls by Accel’s auditors could detect further problems that management’s assessment might not and could result in the identification of material weaknesses that were not otherwise identified. Undetected material weaknesses in internal controls could lead to financial statement restatements and require Accel to incur the expense of remediation.</w:t>
      </w:r>
    </w:p>
    <w:p>
      <w:pPr>
        <w:spacing w:after="0" w:line="130"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A material weakness is a deficiency or combination of deficiencies in a company’s internal control over financial reporting such that there is a reasonable possibility that a material misstatement of its consolidated financial statements would not be prevented or detected on a timely basis. This deficiency could result in additional misstatements to its consolidated financial statements that would be material and would not be prevented or detected on a timely basis. In connection with the preparation of this Annual Report, the following material weaknesses in internal control over financial reporting were identified, which were not remediated as of December 31, 2022.</w:t>
      </w:r>
    </w:p>
    <w:p>
      <w:pPr>
        <w:spacing w:after="0" w:line="147" w:lineRule="exact"/>
        <w:rPr>
          <w:sz w:val="20"/>
          <w:szCs w:val="20"/>
          <w:color w:val="auto"/>
        </w:rPr>
      </w:pPr>
    </w:p>
    <w:p>
      <w:pPr>
        <w:jc w:val="both"/>
        <w:ind w:left="80" w:right="80" w:firstLine="445"/>
        <w:spacing w:after="0" w:line="325" w:lineRule="auto"/>
        <w:rPr>
          <w:sz w:val="20"/>
          <w:szCs w:val="20"/>
          <w:color w:val="auto"/>
        </w:rPr>
      </w:pPr>
      <w:r>
        <w:rPr>
          <w:rFonts w:ascii="Arial" w:cs="Arial" w:eastAsia="Arial" w:hAnsi="Arial"/>
          <w:sz w:val="17"/>
          <w:szCs w:val="17"/>
          <w:color w:val="auto"/>
        </w:rPr>
        <w:t>There are deficiencies in the design and implementation of the Company’s internal controls due to ineffective control environment, risk assessment, and information and communication resulting from an insufficient headcount necessary to support general information technology controls and most process-level controls. These deficiencies represent material weaknesses in internal control over financial reporting, which could impact the consistency, timeliness and accuracy of financial reporting in accordance with U.S. GAAP. Accel has invested considerable time and resources toward improving the design and implementation of internal control over financial reporting. See "</w:t>
      </w:r>
      <w:r>
        <w:rPr>
          <w:rFonts w:ascii="Arial" w:cs="Arial" w:eastAsia="Arial" w:hAnsi="Arial"/>
          <w:sz w:val="17"/>
          <w:szCs w:val="17"/>
          <w:i w:val="1"/>
          <w:iCs w:val="1"/>
          <w:color w:val="auto"/>
        </w:rPr>
        <w:t>Controls and Procedures</w:t>
      </w:r>
      <w:r>
        <w:rPr>
          <w:rFonts w:ascii="Arial" w:cs="Arial" w:eastAsia="Arial" w:hAnsi="Arial"/>
          <w:sz w:val="17"/>
          <w:szCs w:val="17"/>
          <w:color w:val="auto"/>
        </w:rPr>
        <w:t>".</w:t>
      </w:r>
    </w:p>
    <w:p>
      <w:pPr>
        <w:spacing w:after="0" w:line="134" w:lineRule="exact"/>
        <w:rPr>
          <w:sz w:val="20"/>
          <w:szCs w:val="20"/>
          <w:color w:val="auto"/>
        </w:rPr>
      </w:pPr>
    </w:p>
    <w:p>
      <w:pPr>
        <w:jc w:val="both"/>
        <w:ind w:right="100" w:firstLine="324"/>
        <w:spacing w:after="0" w:line="310" w:lineRule="auto"/>
        <w:rPr>
          <w:sz w:val="20"/>
          <w:szCs w:val="20"/>
          <w:color w:val="auto"/>
        </w:rPr>
      </w:pPr>
      <w:r>
        <w:rPr>
          <w:rFonts w:ascii="Arial" w:cs="Arial" w:eastAsia="Arial" w:hAnsi="Arial"/>
          <w:sz w:val="18"/>
          <w:szCs w:val="18"/>
          <w:color w:val="auto"/>
        </w:rPr>
        <w:t>However, it cannot assure you that these or other measures will fully remediate the material weaknesses in a timely manner. If Accel’s remediation of these material weaknesses is not effective, it may cause Accel to become subject to investigation or sanctions by the SEC or adversely affect investor confidence in Accel and, as a result, the value of our Class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80"/>
        <w:spacing w:after="0" w:line="310" w:lineRule="auto"/>
        <w:rPr>
          <w:sz w:val="20"/>
          <w:szCs w:val="20"/>
          <w:color w:val="auto"/>
        </w:rPr>
      </w:pPr>
      <w:r>
        <w:rPr>
          <w:rFonts w:ascii="Arial" w:cs="Arial" w:eastAsia="Arial" w:hAnsi="Arial"/>
          <w:sz w:val="18"/>
          <w:szCs w:val="18"/>
          <w:color w:val="auto"/>
        </w:rPr>
        <w:t>A-1 common stock. There can be no assurance that all existing material weaknesses have been identified, or that additional material weaknesses will not be identified in the future. In addition, if Accel is unable to continue to meet its financial reporting obligations, it may not be able to remain listed on the NYSE.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 may be liable for product defects or other claims relating to its products that it provides to its location partners.</w:t>
      </w:r>
    </w:p>
    <w:p>
      <w:pPr>
        <w:spacing w:after="0" w:line="198" w:lineRule="exact"/>
        <w:rPr>
          <w:sz w:val="20"/>
          <w:szCs w:val="20"/>
          <w:color w:val="auto"/>
        </w:rPr>
      </w:pPr>
    </w:p>
    <w:p>
      <w:pPr>
        <w:jc w:val="both"/>
        <w:ind w:firstLine="324"/>
        <w:spacing w:after="0" w:line="343" w:lineRule="auto"/>
        <w:rPr>
          <w:sz w:val="20"/>
          <w:szCs w:val="20"/>
          <w:color w:val="auto"/>
        </w:rPr>
      </w:pPr>
      <w:r>
        <w:rPr>
          <w:rFonts w:ascii="Arial" w:cs="Arial" w:eastAsia="Arial" w:hAnsi="Arial"/>
          <w:sz w:val="16"/>
          <w:szCs w:val="16"/>
          <w:color w:val="auto"/>
        </w:rPr>
        <w:t>The products that Accel provides to its location partners could be defective, fail to perform as designed or otherwise cause harm to players or location partners. If any of the products Accel provides are defective, Accel may be required to recall the products and/or repair or replace them, which could result in substantial expenses and affect profitability. In the event of any repair or recall, Accel could be dependent on the services, responsiveness or product stock of key suppliers, and any delay in their ability to resupply or assist in servicing key products could affect its ability to maintain the gaming terminals in location partners. Any problem with the performance of Accel’s products could harm its reputation, which could result in a loss of existing or potential locations and players. In addition, the occurrence of errors in, or fraudulent manipulation of, Accel’s products or software may give rise to claims by location partners or by players, including claims by location partners for lost revenues and related litigation that could result in significant liability. Any claims brought against Accel by location partners or players may result in the diversion of management’s time and attention, expenditure of large amounts of cash on legal fees and payment of damages, lower demand for products or services, or injury to reputation. Accel’s insurance or recourse against other parties may not sufficiently cover a judgment against it or a settlement payment, and any insurance payment is subject to customary deductibles, limits and exclusions. In addition, a judgment against Accel or a settlement could make it difficult for it to obtain insurance in the coverage amounts necessary to adequately insure its businesses, or at all, and could materially increase insurance premiums and deductibles. Software bugs or malfunctions, errors in distribution or installation of Accel’s software, failure of products to perform as approved by the appropriate regulatory bodies or other errors or malfunctions, may subject Accel to investigation or other action by gaming regulatory authorities, including fines.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adversely affect Accel’s business, results of operations, cash flows and financial condition.</w:t>
      </w:r>
    </w:p>
    <w:p>
      <w:pPr>
        <w:spacing w:after="0" w:line="198" w:lineRule="exact"/>
        <w:rPr>
          <w:sz w:val="20"/>
          <w:szCs w:val="20"/>
          <w:color w:val="auto"/>
        </w:rPr>
      </w:pPr>
    </w:p>
    <w:p>
      <w:pPr>
        <w:jc w:val="both"/>
        <w:ind w:firstLine="324"/>
        <w:spacing w:after="0" w:line="354" w:lineRule="auto"/>
        <w:rPr>
          <w:sz w:val="20"/>
          <w:szCs w:val="20"/>
          <w:color w:val="auto"/>
        </w:rPr>
      </w:pPr>
      <w:r>
        <w:rPr>
          <w:rFonts w:ascii="Arial" w:cs="Arial" w:eastAsia="Arial" w:hAnsi="Arial"/>
          <w:sz w:val="16"/>
          <w:szCs w:val="16"/>
          <w:color w:val="auto"/>
        </w:rPr>
        <w:t>Accel is currently involved in several lawsuits. See “</w:t>
      </w:r>
      <w:r>
        <w:rPr>
          <w:rFonts w:ascii="Arial" w:cs="Arial" w:eastAsia="Arial" w:hAnsi="Arial"/>
          <w:sz w:val="16"/>
          <w:szCs w:val="16"/>
          <w:i w:val="1"/>
          <w:iCs w:val="1"/>
          <w:color w:val="auto"/>
        </w:rPr>
        <w:t>Business — Legal Proceedings</w:t>
      </w:r>
      <w:r>
        <w:rPr>
          <w:rFonts w:ascii="Arial" w:cs="Arial" w:eastAsia="Arial" w:hAnsi="Arial"/>
          <w:sz w:val="16"/>
          <w:szCs w:val="16"/>
          <w:color w:val="auto"/>
        </w:rPr>
        <w:t>” for more information. Accel may also become subject to litigation claims in the operation of its business, including, but not limited to, with respect to employee matters, alleged product and system malfunctions, alleged intellectual property infringement and claims relating to contracts, licenses, acquisitions and strategic investments. Accel may incur significant expense defending or settling any such litigation. Additionally, adverse judgments that may be decided against Accel could result in significant monetary damages or injunctive relief that could adversely affect Accel’s ability to conduct business, its results of operations, cash flows and financial condition.</w:t>
      </w:r>
    </w:p>
    <w:p>
      <w:pPr>
        <w:spacing w:after="0" w:line="88"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If Accel’s estimates or judgments relating to accounting policies prove to be incorrect or financial reporting standards or interpretations change, its operating results could be adversely affected.</w:t>
      </w:r>
    </w:p>
    <w:p>
      <w:pPr>
        <w:spacing w:after="0" w:line="103" w:lineRule="exact"/>
        <w:rPr>
          <w:sz w:val="20"/>
          <w:szCs w:val="20"/>
          <w:color w:val="auto"/>
        </w:rPr>
      </w:pPr>
    </w:p>
    <w:p>
      <w:pPr>
        <w:jc w:val="both"/>
        <w:ind w:firstLine="324"/>
        <w:spacing w:after="0" w:line="343" w:lineRule="auto"/>
        <w:rPr>
          <w:sz w:val="20"/>
          <w:szCs w:val="20"/>
          <w:color w:val="auto"/>
        </w:rPr>
      </w:pPr>
      <w:r>
        <w:rPr>
          <w:rFonts w:ascii="Arial" w:cs="Arial" w:eastAsia="Arial" w:hAnsi="Arial"/>
          <w:sz w:val="16"/>
          <w:szCs w:val="16"/>
          <w:color w:val="auto"/>
        </w:rPr>
        <w:t xml:space="preserve">The preparation of financial statements in conformity with U.S. GAAP requires management to make estimates, judgments, and assumptions that affect the amounts reported in its consolidated financial statements and accompanying notes. Accel bases its estimates on historical experience and on various other assumptions that management believes to be reasonable under the circumstances, as provided in </w:t>
      </w:r>
      <w:r>
        <w:rPr>
          <w:rFonts w:ascii="Arial" w:cs="Arial" w:eastAsia="Arial" w:hAnsi="Arial"/>
          <w:sz w:val="16"/>
          <w:szCs w:val="16"/>
          <w:i w:val="1"/>
          <w:iCs w:val="1"/>
          <w:color w:val="auto"/>
        </w:rPr>
        <w:t>“Accel 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Analysis of Financial Condition and Results of Operations.” </w:t>
      </w:r>
      <w:r>
        <w:rPr>
          <w:rFonts w:ascii="Arial" w:cs="Arial" w:eastAsia="Arial" w:hAnsi="Arial"/>
          <w:sz w:val="16"/>
          <w:szCs w:val="16"/>
          <w:color w:val="auto"/>
        </w:rPr>
        <w:t>The results of these estimates form the basis for making judgments about the carrying values</w:t>
      </w:r>
      <w:r>
        <w:rPr>
          <w:rFonts w:ascii="Arial" w:cs="Arial" w:eastAsia="Arial" w:hAnsi="Arial"/>
          <w:sz w:val="16"/>
          <w:szCs w:val="16"/>
          <w:i w:val="1"/>
          <w:iCs w:val="1"/>
          <w:color w:val="auto"/>
        </w:rPr>
        <w:t xml:space="preserve"> </w:t>
      </w:r>
      <w:r>
        <w:rPr>
          <w:rFonts w:ascii="Arial" w:cs="Arial" w:eastAsia="Arial" w:hAnsi="Arial"/>
          <w:sz w:val="16"/>
          <w:szCs w:val="16"/>
          <w:color w:val="auto"/>
        </w:rPr>
        <w:t>of assets, liabilities, and equity as of the date of the financial statements, and the amount of revenue and expenses, during the periods presented, that are not readily apparent from other sources. Significant assumptions and estimates used in preparing consolidated financial statements include among other things, the useful lives for depreciable and amortizable assets, income tax provisions, the evaluation of the future realization of deferred tax assets, projected cash flows in assessing the initial valuation of intangible assets in conjunction with business acquisitions, the initial selection of useful lives for depreciable and amortizable assets in conjunction with business acquisitions, the fair value of convertible note investments, contingencies, and the expected term of share-based compensation awards and stock price volatility when computing share-based compensation expense. Accel’s operating results may be adversely affected if assumptions change or if actual circumstances differ from assumed circumstances, which could cause its operating results to fall below the expectations of industry or financial analysts and investors, resulting in a decline in the trading price of its common stock.</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324"/>
        <w:spacing w:after="0" w:line="349" w:lineRule="auto"/>
        <w:rPr>
          <w:sz w:val="20"/>
          <w:szCs w:val="20"/>
          <w:color w:val="auto"/>
        </w:rPr>
      </w:pPr>
      <w:r>
        <w:rPr>
          <w:rFonts w:ascii="Arial" w:cs="Arial" w:eastAsia="Arial" w:hAnsi="Arial"/>
          <w:sz w:val="16"/>
          <w:szCs w:val="16"/>
          <w:color w:val="auto"/>
        </w:rPr>
        <w:t>Additionally, Accel regularly monitors compliance with applicable financial reporting standards and reviews relevant new accounting pronouncements and drafts thereof. As a result of new standards, changes to existing standards, and changes in interpretation, Accel may be required to change accounting policies, alter operational policies and implement new or enhance existing systems so that they reflect new or amended financial reporting standards, or it may be required to restate published financial statements. Such changes to existing standards or changes in their interpretation may cause an adverse deviation from Accel’s revenue and operating profit target, which may negatively impact results of operations, cash flows and financial condition.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 may not have adequate insurance for potential liabilities.</w:t>
      </w:r>
    </w:p>
    <w:p>
      <w:pPr>
        <w:spacing w:after="0" w:line="19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In the ordinary course of business, Accel has, and in the future may become the subject of, various claims, lawsuits and administrative proceedings seeking damages or other remedies concerning its commercial operations, products, employees and other matters. Accel maintains insurance to cover these and other potential losses, and is subject to various self-retentions, deductibles and caps under its insurance. Accel faces the following risks with respect to insurance coverage:</w:t>
      </w:r>
    </w:p>
    <w:p>
      <w:pPr>
        <w:spacing w:after="0" w:line="11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Accel may not be able to continue to obtain insurance on commercially reasonable terms;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Accel may incur losses from interruptions of business that exceed insurance coverage;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Accel may be faced with types of liabilities that will not be covered by insurance;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Accel’s insurance carriers may not be able to meet their obligations under the policies; or</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dollar amount of any liabilities may exceed policy limits.</w:t>
      </w:r>
    </w:p>
    <w:p>
      <w:pPr>
        <w:spacing w:after="0" w:line="198"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Even a partially uninsured claim, if successful and of significant size, could have an adverse effect on Accel’s results of operations, cash flows and financial condition. Even in cases where Accel maintains insurance coverage, its insurers may raise various objections and exceptions to coverage that could make uncertain the timing and amount of any possible insurance recovery.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Accel’s business depends on the protection of intellectual property and proprietary information.</w:t>
      </w:r>
    </w:p>
    <w:p>
      <w:pPr>
        <w:spacing w:after="0" w:line="198"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8"/>
          <w:szCs w:val="18"/>
          <w:color w:val="auto"/>
        </w:rPr>
        <w:t>Accel believes that its success depends, in part, on protecting its intellectual property. Accel’s intellectual property includes certain trademarks and copyrights relating to its products and services, and proprietary or confidential information that is not subject to patent or similar protection. Accel’s success may depend, in part, on its ability to obtain protection for the trademarks, trade dress, names, logos or symbols under which it markets products and to obtain copyright and patent protection for proprietary technologies, designs, software and innovations. There can be no assurance that Accel will be able to build and maintain consumer value in its trademarks, obtain patent, trademark or copyright protection or that any patent, trademark or copyright will provide competitive advantages.</w:t>
      </w:r>
    </w:p>
    <w:p>
      <w:pPr>
        <w:spacing w:after="0" w:line="123"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Accel’s intellectual property protects the integrity of its systems, products and services. Competitors may independently offer similar or superior products, software or systems, which could negatively impact results of operations, cash flows and financial condition. In cases where Accel’s technology or product is not protected by enforceable intellectual property rights, such independent development may result in a significant diminution in the value of such technology or product.</w:t>
      </w:r>
    </w:p>
    <w:p>
      <w:pPr>
        <w:spacing w:after="0" w:line="119"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Accel also relies on trade secrets and proprietary knowledge and enters into confidentiality agreements with employees and independent contractors regarding trade secrets and proprietary information, however, there can be no assurance that the obligation to maintain the confidentiality of trade secrets and proprietary information will be honored.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Accel may, in the future, make claims of infringement, invalidity or enforceability against third parties. This could:</w:t>
      </w:r>
    </w:p>
    <w:p>
      <w:pPr>
        <w:spacing w:after="0" w:line="19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cause Accel to incur greater costs and expenses in the protection of intellectual property;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negatively impact its intellectual property rights;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cause one or more of its patents, trademarks, copyrights or other intellectual property interests to be ruled or rendered unenforceable or invalid; or</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divert management’s attention and resources.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Gaming opponents persist in their efforts to curtail the expansion of legalized gaming, which, if successful, could limit the growth of operations.</w:t>
      </w:r>
    </w:p>
    <w:p>
      <w:pPr>
        <w:spacing w:after="0" w:line="221"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7"/>
          <w:szCs w:val="17"/>
          <w:color w:val="auto"/>
        </w:rPr>
        <w:t>There is significant debate over, and opposition to, the gaming industry. There can be no assurance that this opposition will not succeed in preventing the legalization of gaming in jurisdictions where it is presently prohibited, prohibiting or limiting the expansion of gaming where it is currently permitted or causing the repeal of legalized gaming in any jurisdiction. Such opposition could also lead these jurisdictions to adopt legislation or impose a regulatory framework to govern gaming that restricts Accel’s ability to advertise games or substantially increases costs to comply with these regulations. Accel continues to devote significant attention to monitoring these developments, however, Accel cannot accurately predict the likelihood, timing, scope or terms of any state or federal legislation or regulation relating to its business. Any successful effort to curtail the expansion of, or limit or prohibit, legalized gaming could have an adverse effect on Accel’s results of operations, cash flows and financial condition.</w:t>
      </w:r>
    </w:p>
    <w:p>
      <w:pPr>
        <w:spacing w:after="0" w:line="110"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Accel may not be able to capitalize on the expansion of gaming or other trends and changes in the gaming industries, including due to laws and regulations governing these industries, and other factors.</w:t>
      </w:r>
    </w:p>
    <w:p>
      <w:pPr>
        <w:spacing w:after="0" w:line="10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Accel participates in new and evolving aspects of the gaming industries. These industries involve significant risks and uncertainties, including legal, business and financial risks. The fast-changing environment in these industries can make it difficult to plan strategically and can provide opportunities for competitors to grow their businesses at Accel’s expense. Consequently, future results of operations, cash flows and financial condition are difficult to predict and may not grow at expected rates.</w:t>
      </w:r>
    </w:p>
    <w:p>
      <w:pPr>
        <w:spacing w:after="0" w:line="11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Part of Accel’s strategy is to take advantage of the liberalization of regulations covering these industries on a municipality and state basis, which can be a protracted process. To varying degrees, governments have taken steps to change the regulation of gaming terminals through the implementation of new or revised licensing and taxation regimes. For example, in addition to the state-issued gaming licenses, gaming licenses are also governed on a municipality-level in Illinois. While Accel has contracted for exclusive rights to operate in licensed establishments in over 600 different municipalities in Illinois, all of which have no prohibition or restriction with respect to gaming, there are many other municipalities that have “opt out” or “anti-gambling” ordinances which prohibit a range of activities characterized from “devices of chance” to “any gambling”. While a number of these municipalities have removed the ordinance or introduced an amendment to permit gaming activities germane to Accel’s business, they or other municipalities may choose to prohibit or limit gambling in the future. Additionally, Pennsylvania currently only permits the operation of gaming terminals at truck stops. While there are currently efforts to permit the expansion of gaming terminals into additional types of establishments, there can be no assurance that such efforts will succeed, or that gaming operations at truck stops will be continued to be permitted. Accel cannot predict the timing, scope or terms of the implementation or revision of any such state, federal or local laws or regulations, or the extent to which any such laws and regulations may facilitate or hinder its strategy.</w:t>
      </w:r>
    </w:p>
    <w:p>
      <w:pPr>
        <w:spacing w:after="0" w:line="100" w:lineRule="exact"/>
        <w:rPr>
          <w:sz w:val="20"/>
          <w:szCs w:val="20"/>
          <w:color w:val="auto"/>
        </w:rPr>
      </w:pPr>
    </w:p>
    <w:p>
      <w:pPr>
        <w:jc w:val="both"/>
        <w:spacing w:after="0" w:line="374" w:lineRule="auto"/>
        <w:rPr>
          <w:sz w:val="20"/>
          <w:szCs w:val="20"/>
          <w:color w:val="auto"/>
        </w:rPr>
      </w:pPr>
      <w:r>
        <w:rPr>
          <w:rFonts w:ascii="Arial" w:cs="Arial" w:eastAsia="Arial" w:hAnsi="Arial"/>
          <w:sz w:val="17"/>
          <w:szCs w:val="17"/>
          <w:b w:val="1"/>
          <w:bCs w:val="1"/>
          <w:i w:val="1"/>
          <w:iCs w:val="1"/>
          <w:color w:val="auto"/>
        </w:rPr>
        <w:t>Accel’s success depends on the security and integrity of the systems and products offered, and security breaches or other disruptions could compromise certain information and expose Accel to liability, which could cause Accel’s business and reputation to suffer.</w:t>
      </w:r>
    </w:p>
    <w:p>
      <w:pPr>
        <w:spacing w:after="0" w:line="52" w:lineRule="exact"/>
        <w:rPr>
          <w:sz w:val="20"/>
          <w:szCs w:val="20"/>
          <w:color w:val="auto"/>
        </w:rPr>
      </w:pPr>
    </w:p>
    <w:p>
      <w:pPr>
        <w:jc w:val="both"/>
        <w:ind w:firstLine="324"/>
        <w:spacing w:after="0" w:line="354" w:lineRule="auto"/>
        <w:rPr>
          <w:sz w:val="20"/>
          <w:szCs w:val="20"/>
          <w:color w:val="auto"/>
        </w:rPr>
      </w:pPr>
      <w:r>
        <w:rPr>
          <w:rFonts w:ascii="Arial" w:cs="Arial" w:eastAsia="Arial" w:hAnsi="Arial"/>
          <w:sz w:val="16"/>
          <w:szCs w:val="16"/>
          <w:color w:val="auto"/>
        </w:rPr>
        <w:t>Accel believes that its success depends, in large part, on providing secure products, services and systems to locations and players, and on the ability to avoid, detect, replicate and correct software and hardware anomalies and fraudulent manipulation of products and services. Accel’s business sometimes involves the storage, processing and transmission of proprietary, confidential and personal information, and any future player program it may institute will also involve such information. Accel also maintains certain other proprietary and confidential information relating to its business and personal information of its personnel. All of Accel’s products, services and systems are designed with security features to prevent fraudulent activity. Despite these security</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21" w:lineRule="auto"/>
        <w:rPr>
          <w:sz w:val="20"/>
          <w:szCs w:val="20"/>
          <w:color w:val="auto"/>
        </w:rPr>
      </w:pPr>
      <w:r>
        <w:rPr>
          <w:rFonts w:ascii="Arial" w:cs="Arial" w:eastAsia="Arial" w:hAnsi="Arial"/>
          <w:sz w:val="17"/>
          <w:szCs w:val="17"/>
          <w:color w:val="auto"/>
        </w:rPr>
        <w:t>measures, Accel’s products, services and systems may be vulnerable to attacks by location partners, players, retailers, vendors or employees, or breaches due to cyber-attacks, viruses, malicious software, computer hacking, security breaches or other disruptions. Expanded use of the Internet and other interactive technologies may result in increased security risks for Accel and its location partners because the techniques used to obtain unauthorized access, disable or degrade service, or sabotage systems change frequently and often are not foreseeable or recognized until launched against a target and Accel may be unable to anticipate these techniques or to implement adequate preventative measures. Furthermore, hackers and data thieves are becoming increasingly sophisticated and could operate large-scale and complex automated attacks. Any security breach or incident could result in unauthorized access to, misuse of, or unauthorized acquisition of certain data, the loss, corruption or alteration of this data, interruptions in operations or damage to computers or systems or those of certain players or third-party platforms. Any of these incidents could expose Accel to claims, litigation, fines and potential liability. Accel’s ability to prevent anomalies and monitor and ensure the quality and integrity of its products and services is periodically reviewed and enhanced, and Accel regularly assesses the adequacy of security systems, including the security of its games and software, to protect against any material loss to location partners and players, as well as the integrity of its products and services and its games. However, these measures may not be sufficient to prevent future attacks, breaches or disruptions.</w:t>
      </w:r>
    </w:p>
    <w:p>
      <w:pPr>
        <w:spacing w:after="0" w:line="116"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8"/>
          <w:szCs w:val="18"/>
          <w:color w:val="auto"/>
        </w:rPr>
        <w:t>There is a risk that Accel’s products, services or systems may be used to defraud, launder money or engage in other illegal activities at its locations. Accel’s gaming machines have also experienced anomalies in the past. Games and gaming machines may be replaced by Accel and other gaming machine operators if they do not perform according to expectations, or they may be shut down by regulators. The occurrence of anomalies in, or fraudulent manipulation of, Accel’s gaming machines or other products and services, may give rise to claims from players or location partners, may lead to claims for lost revenue and profits and related litigation by location partners and may subject Accel to investigation or other action by regulatory authorities, including suspension or revocation of licenses or other disciplinary action. Additionally, in the event of the occurrence of any such issues with Accel’s products and services, substantial resources may be diverted from other projects to correct these issues, which may delay other projects and the achievement of strategic objectives.</w:t>
      </w:r>
    </w:p>
    <w:p>
      <w:pPr>
        <w:spacing w:after="0" w:line="123" w:lineRule="exact"/>
        <w:rPr>
          <w:sz w:val="20"/>
          <w:szCs w:val="20"/>
          <w:color w:val="auto"/>
        </w:rPr>
      </w:pPr>
    </w:p>
    <w:p>
      <w:pPr>
        <w:jc w:val="both"/>
        <w:ind w:firstLine="324"/>
        <w:spacing w:after="0" w:line="336" w:lineRule="auto"/>
        <w:rPr>
          <w:sz w:val="20"/>
          <w:szCs w:val="20"/>
          <w:color w:val="auto"/>
        </w:rPr>
      </w:pPr>
      <w:r>
        <w:rPr>
          <w:rFonts w:ascii="Arial" w:cs="Arial" w:eastAsia="Arial" w:hAnsi="Arial"/>
          <w:sz w:val="17"/>
          <w:szCs w:val="17"/>
          <w:color w:val="auto"/>
        </w:rPr>
        <w:t>Further, third party-hosted solution providers that provide services to Accel, such as Rackspace, Salesforce or NetSuite, have in the past been subject to cyber security incidents. Although these incidents have not had a material impact to date on our business, results of operations, financial condition or reputation to date, a future failure of these third parties’ security systems and infrastructure could adversely affect us.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Accel’s level of indebtedness and its related variable interest rate could adversely affect results of operations, cash flows and financial condition.</w:t>
      </w:r>
    </w:p>
    <w:p>
      <w:pPr>
        <w:spacing w:after="0" w:line="221" w:lineRule="exact"/>
        <w:rPr>
          <w:sz w:val="20"/>
          <w:szCs w:val="20"/>
          <w:color w:val="auto"/>
        </w:rPr>
      </w:pPr>
    </w:p>
    <w:p>
      <w:pPr>
        <w:jc w:val="both"/>
        <w:ind w:right="20" w:firstLine="324"/>
        <w:spacing w:after="0" w:line="324" w:lineRule="auto"/>
        <w:rPr>
          <w:sz w:val="20"/>
          <w:szCs w:val="20"/>
          <w:color w:val="auto"/>
        </w:rPr>
      </w:pPr>
      <w:r>
        <w:rPr>
          <w:rFonts w:ascii="Arial" w:cs="Arial" w:eastAsia="Arial" w:hAnsi="Arial"/>
          <w:sz w:val="18"/>
          <w:szCs w:val="18"/>
          <w:color w:val="auto"/>
        </w:rPr>
        <w:t>As of December 31, 2022, Accel had total indebtedness of $545.4 million, all of which was borrowed under its current Credit Agreement, and had approximately $329.0 million of availability.</w:t>
      </w:r>
    </w:p>
    <w:p>
      <w:pPr>
        <w:spacing w:after="0" w:line="103"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7"/>
          <w:szCs w:val="17"/>
          <w:color w:val="auto"/>
        </w:rPr>
        <w:t>Accel’s level of indebtedness could affect its ability to obtain financing or refinance existing indebtedness; require Accel to dedicate a significant portion of its cash flow from operations to interest and principal payments on indebtedness, thereby reducing the availability of cash flow to fund working capital, capital expenditures, repurchases of its shares of Class A-1 common stock and other general corporate purposes, increase its vulnerability to adverse general economic, industry or competitive developments or conditions and limit its flexibility in planning for, or reacting to, changes in its businesses and the industries in which it operates or in pursuing its strategic objectives. In addition, Accel is exposed to the risk of higher interest rates as a significant portion of its borrowings are at variable rates of interest. If interest rates increase, the interest payment obligations would increase even if the amount borrowed remained the same, and results of operations, cash flows and financial condition could be negatively impacted. All of these factors could place Accel at a competitive disadvantage compared to competitors that may have less debt.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Accel’s borrowing costs could negatively affect its financial condition, cash flow and results of operations.</w:t>
      </w:r>
    </w:p>
    <w:p>
      <w:pPr>
        <w:spacing w:after="0" w:line="198" w:lineRule="exact"/>
        <w:rPr>
          <w:sz w:val="20"/>
          <w:szCs w:val="20"/>
          <w:color w:val="auto"/>
        </w:rPr>
      </w:pPr>
    </w:p>
    <w:p>
      <w:pPr>
        <w:jc w:val="both"/>
        <w:ind w:firstLine="324"/>
        <w:spacing w:after="0" w:line="349" w:lineRule="auto"/>
        <w:rPr>
          <w:sz w:val="20"/>
          <w:szCs w:val="20"/>
          <w:color w:val="auto"/>
        </w:rPr>
      </w:pPr>
      <w:r>
        <w:rPr>
          <w:rFonts w:ascii="Arial" w:cs="Arial" w:eastAsia="Arial" w:hAnsi="Arial"/>
          <w:sz w:val="16"/>
          <w:szCs w:val="16"/>
          <w:color w:val="auto"/>
        </w:rPr>
        <w:t>Certain of Accel’s gaming terminal and amusement machine acquisitions are financed using revolving credit facilities and bank loans. Accel’s credit agreements include variable interest rates and regular required interest, fee and amortization payments. If Accel is unable to generate sufficient revenue to offset the required payments, it could have an adverse effect on Accel’s results of operations, cash flows and financial condition. We manage our exposure to some of our interest rate risk through the use of interest rate caplets, which are derivative financial instruments. We pay certain premiums under these caplets, and there can be no assurance that we will be able to successfully protect ourself from all negative interest rate fluctuations at a reasonable cost.</w:t>
      </w:r>
    </w:p>
    <w:p>
      <w:pPr>
        <w:spacing w:after="0" w:line="93"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b w:val="1"/>
          <w:bCs w:val="1"/>
          <w:i w:val="1"/>
          <w:iCs w:val="1"/>
          <w:color w:val="auto"/>
        </w:rPr>
        <w:t>Accel may not have sufficient cash flows from operating activities, cash on hand and available borrowings under its credit agreement to finance required capital expenditures under new contracts and meet other cash needs.</w:t>
      </w:r>
    </w:p>
    <w:p>
      <w:pPr>
        <w:spacing w:after="0" w:line="10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Accel’s business generally requires significant upfront capital expenditures for gaming terminals and amusement machines, software customization and implementation, systems and equipment installation and telecommunications configuration. In connection with the signing or renewal of a gaming or amusement contract, Accel may provide new equipment or impose new service requirements at a location, which may require additional capital expenditures in order to enter into or retain the contract. Historically, Accel has funded these upfront costs through cash flows generated from operations, available cash on hand and borrowings under the Credit Agreement.</w:t>
      </w:r>
    </w:p>
    <w:p>
      <w:pPr>
        <w:spacing w:after="0" w:line="116"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In addition, since Accel is not paid for expenses and services, Accel may incur upfront costs (which may be significant) prior to receipt of any revenue under such arrangements. Accel’s ability to generate revenue and to continue to procure new contracts will depend on, among other things, its then present liquidity levels or its ability to obtain additional financing on commercially reasonable terms.</w:t>
      </w:r>
    </w:p>
    <w:p>
      <w:pPr>
        <w:spacing w:after="0" w:line="116" w:lineRule="exact"/>
        <w:rPr>
          <w:sz w:val="20"/>
          <w:szCs w:val="20"/>
          <w:color w:val="auto"/>
        </w:rPr>
      </w:pPr>
    </w:p>
    <w:p>
      <w:pPr>
        <w:jc w:val="both"/>
        <w:ind w:firstLine="324"/>
        <w:spacing w:after="0" w:line="322" w:lineRule="auto"/>
        <w:rPr>
          <w:sz w:val="20"/>
          <w:szCs w:val="20"/>
          <w:color w:val="auto"/>
        </w:rPr>
      </w:pPr>
      <w:r>
        <w:rPr>
          <w:rFonts w:ascii="Arial" w:cs="Arial" w:eastAsia="Arial" w:hAnsi="Arial"/>
          <w:sz w:val="17"/>
          <w:szCs w:val="17"/>
          <w:color w:val="auto"/>
        </w:rPr>
        <w:t>If Accel does not have adequate liquidity or is unable to obtain financing for these upfront costs and other cash needs on favorable terms or at all, it may not be able to pursue certain contracts, which could result in the loss of business or restrict the ability to grow. Moreover, Accel may not realize the return on investment that it anticipates on new or renewed contracts due to a variety of factors, including lower than anticipated retail sales or amounts wagered, higher than anticipated capital or operating expenses and unanticipated regulatory developments or litigation. Accel may not have adequate liquidity to pursue other aspects of its strategy, including bringing products and services to new location partners or new or underpenetrated geographies (including through equity investments) or pursuing strategic acquisitions. In the event Accel pursues significant acquisitions or other expansion opportunities, conducts significant repurchases of outstanding securities, or refinances or repays existing debt, it may need to raise additional capital either through the public or private issuance of equity or debt securities or through additional borrowings under its existing financing arrangements, which sources of funds may not necessarily be available on acceptable terms, if at all.</w:t>
      </w:r>
    </w:p>
    <w:p>
      <w:pPr>
        <w:spacing w:after="0" w:line="110"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b w:val="1"/>
          <w:bCs w:val="1"/>
          <w:i w:val="1"/>
          <w:iCs w:val="1"/>
          <w:color w:val="auto"/>
        </w:rPr>
        <w:t>Accel may not have sufficient cash flows from operating activities to service all of its indebtedness and other obligations, and may be forced to take other actions to satisfy obligations, which may not be successful.</w:t>
      </w:r>
    </w:p>
    <w:p>
      <w:pPr>
        <w:spacing w:after="0" w:line="10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Accel’s ability to make payments on and to refinance indebtedness and other obligations depends on its results of operations, cash flows and financial condition, which in turn are subject to general economic, financial, competitive, legislative, regulatory and other factors that are beyond its control. Accel may not be able to maintain a level of cash flows from operating activities sufficient to pay the principal, premium, if any, and interest on its indebtedness and other obligations.</w:t>
      </w:r>
    </w:p>
    <w:p>
      <w:pPr>
        <w:spacing w:after="0" w:line="115"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Accel is required to make scheduled payments of principal in respect of the term loans under the Credit Agreement. Accel may also, from time to time, repurchase, or otherwise retire or refinance debt, through subsidiaries or otherwise. Such activities, if any, will depend on prevailing market conditions, contractual restrictions and other factors, and the amounts involved may or may not be material. If Accel needs to refinance all or part of its indebtedness at or before maturity, there can be no assurance that Accel will be able to obtain new financing or to refinance any of its indebtedness on commercially reasonable terms or at all.</w:t>
      </w:r>
    </w:p>
    <w:p>
      <w:pPr>
        <w:spacing w:after="0" w:line="120" w:lineRule="exact"/>
        <w:rPr>
          <w:sz w:val="20"/>
          <w:szCs w:val="20"/>
          <w:color w:val="auto"/>
        </w:rPr>
      </w:pPr>
    </w:p>
    <w:p>
      <w:pPr>
        <w:jc w:val="both"/>
        <w:ind w:firstLine="324"/>
        <w:spacing w:after="0" w:line="340" w:lineRule="auto"/>
        <w:rPr>
          <w:sz w:val="20"/>
          <w:szCs w:val="20"/>
          <w:color w:val="auto"/>
        </w:rPr>
      </w:pPr>
      <w:r>
        <w:rPr>
          <w:rFonts w:ascii="Arial" w:cs="Arial" w:eastAsia="Arial" w:hAnsi="Arial"/>
          <w:sz w:val="18"/>
          <w:szCs w:val="18"/>
          <w:color w:val="auto"/>
        </w:rPr>
        <w:t>Accel’s lenders, including the lenders participating in its delayed draw and/or revolving credit facilities under the Credit Agreement, may become insolvent or tighten their lending standards, which could make it more difficult for Accel to borrow</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under its delayed draw and/or revolving credit facilities or to obtain other financing on favorable terms or at all. Accel’s results of operations, cash flows and financial condition could be adversely affected if Accel is unable to draw funds under its delayed draw and/or revolving credit facilities because of a lender default or to obtain other cost-effective financing. Any default by a lender in its obligation to fund its commitment under the delayed draw and/or revolving credit facilities (or its participation in letters of credit) could limit Accel’s liquidity to the extent of the defaulting lender’s commitment. If Accel is unable to generate sufficient cash flow in the future to meet commitments, it may be required to adopt one or more alternatives, such as refinancing or restructuring indebtedness, selling material assets or operations or seeking to raise additional debt or equity capital. In addition, borrowings under Accel’s existing revolving credit facilities may be subject to capacity under an available borrowing base.</w:t>
      </w:r>
    </w:p>
    <w:p>
      <w:pPr>
        <w:spacing w:after="0" w:line="110" w:lineRule="exact"/>
        <w:rPr>
          <w:sz w:val="20"/>
          <w:szCs w:val="20"/>
          <w:color w:val="auto"/>
        </w:rPr>
      </w:pPr>
    </w:p>
    <w:p>
      <w:pPr>
        <w:jc w:val="both"/>
        <w:spacing w:after="0" w:line="310" w:lineRule="auto"/>
        <w:rPr>
          <w:sz w:val="20"/>
          <w:szCs w:val="20"/>
          <w:color w:val="auto"/>
        </w:rPr>
      </w:pPr>
      <w:r>
        <w:rPr>
          <w:rFonts w:ascii="Arial" w:cs="Arial" w:eastAsia="Arial" w:hAnsi="Arial"/>
          <w:sz w:val="18"/>
          <w:szCs w:val="18"/>
          <w:b w:val="1"/>
          <w:bCs w:val="1"/>
          <w:i w:val="1"/>
          <w:iCs w:val="1"/>
          <w:color w:val="auto"/>
        </w:rPr>
        <w:t>Agreements governing Accel’s indebtedness impose certain restrictions that may affect the ability to operate its business. Failure to comply with any of these restrictions could result in the acceleration of the maturity of indebtedness and require Accel to make payments on indebtedness. Were this to occur, Accel would not have sufficient cash to pay accelerated indebtedness.</w:t>
      </w:r>
    </w:p>
    <w:p>
      <w:pPr>
        <w:spacing w:after="0" w:line="116"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Agreements governing Accel’s indebtedness impose, and future financing agreements are likely to impose, operating and financial restrictions on activities that may adversely affect its ability to finance future operations or capital needs or to engage in new business activities. In some cases, these restrictions require Accel to comply with or maintain certain financial tests and ratios. Subject to certain exceptions, Accel’s credit facilities restrict its ability to, among other things:</w:t>
      </w:r>
    </w:p>
    <w:p>
      <w:pPr>
        <w:spacing w:after="0" w:line="11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loans to others;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merge or consolidate with another entity;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dividends and certain other payments, including payment of junior debt, and repurchases of Accel's A-1 common stock;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liens that secure indebtedness and guarantees thereof;</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the nature of Accel's business;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certain burdensome agreements;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certain accounting changes;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Accel Entertainment, Inc., change its passive holding company status.</w:t>
      </w:r>
    </w:p>
    <w:p>
      <w:pPr>
        <w:spacing w:after="0" w:line="212"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In addition, the Credit Agreement contains financial covenants that require Accel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November 20, 2019 and determined on the basis of the four most recently ended fiscal quarters of Accel for which financial statements have been or are required to have been delivered pursuant to the Credit Agreement, subject to customary “equity cure” rights.</w:t>
      </w:r>
    </w:p>
    <w:p>
      <w:pPr>
        <w:spacing w:after="0" w:line="12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A breach of the covenants or restrictions under the agreements governing Accel's indebtedness could result in an event of default under the applicable indebtedness. Such a default may allow Accel's lenders to accelerate the related indebtedness, which may result in the acceleration of other indebtedness to which a cross-acceleration or cross-default provision applies. In addition, such lenders could terminate commitments to lend money, if any. In the event Accel's lenders accelerate the repayment of Accel's borrowings, Accel may not have sufficient assets to repay that indebtedness. There can be no assurance that Accel will</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be granted waivers or amendments to these agreements if for any reason it is unable to comply with these obligations or that it will be able to refinance its debt on terms acceptable or at all.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02" w:lineRule="exact"/>
        <w:rPr>
          <w:sz w:val="20"/>
          <w:szCs w:val="20"/>
          <w:color w:val="auto"/>
        </w:rPr>
      </w:pPr>
    </w:p>
    <w:p>
      <w:pPr>
        <w:jc w:val="both"/>
        <w:spacing w:after="0" w:line="310" w:lineRule="auto"/>
        <w:rPr>
          <w:sz w:val="20"/>
          <w:szCs w:val="20"/>
          <w:color w:val="auto"/>
        </w:rPr>
      </w:pPr>
      <w:r>
        <w:rPr>
          <w:rFonts w:ascii="Arial" w:cs="Arial" w:eastAsia="Arial" w:hAnsi="Arial"/>
          <w:sz w:val="18"/>
          <w:szCs w:val="18"/>
          <w:b w:val="1"/>
          <w:bCs w:val="1"/>
          <w:i w:val="1"/>
          <w:iCs w:val="1"/>
          <w:color w:val="auto"/>
        </w:rPr>
        <w:t>Clairvest Group Inc.(“Clairvest”) and members of the Rubenstein Family own a significant portion of Common Stock and have representation on the Company Board. Clairvest, through its affiliates, and members of the Rubenstein Family may have interests that differ from those of other stockholders.</w:t>
      </w:r>
    </w:p>
    <w:p>
      <w:pPr>
        <w:spacing w:after="0" w:line="129" w:lineRule="exact"/>
        <w:rPr>
          <w:sz w:val="20"/>
          <w:szCs w:val="20"/>
          <w:color w:val="auto"/>
        </w:rPr>
      </w:pPr>
    </w:p>
    <w:p>
      <w:pPr>
        <w:jc w:val="both"/>
        <w:ind w:firstLine="324"/>
        <w:spacing w:after="0" w:line="321" w:lineRule="auto"/>
        <w:rPr>
          <w:sz w:val="20"/>
          <w:szCs w:val="20"/>
          <w:color w:val="auto"/>
        </w:rPr>
      </w:pPr>
      <w:r>
        <w:rPr>
          <w:rFonts w:ascii="Arial" w:cs="Arial" w:eastAsia="Arial" w:hAnsi="Arial"/>
          <w:sz w:val="17"/>
          <w:szCs w:val="17"/>
          <w:color w:val="auto"/>
        </w:rPr>
        <w:t>As of December 31, 2022, approximately 19.5% of the shares of our Class A-1 common stock was beneficially owned by affiliates of Clairvest. Following the consummation of the merger of TPG Pace Holding Corp. (“TPG”) and Accel Entertainment, Inc. (the “Business Combination”), one director was jointly nominated by TPG and Clairvest. While Accel’s subsidiaries (including those holding gaming licenses) manage their respective operations in the ordinary course, Clairvest may be able to significantly influence the outcome of matters submitted for action by directors of the Board, subject to the Company’s directors’ obligation to act in the interest of all of the Company’s stakeholders, and for stockholder action, including the designation and appointment of the Company Board (and committees thereof) and approval of significant corporate transactions, including business combinations, consolidations and mergers. So long as Clairvest continues to directly or indirectly own a significant amount of Accel’s outstanding equity interests and any individuals affiliated with Clairvest are members of the Company Board and/or any committees thereof, Clairvest may be able to exert substantial influence on Accel and may be able to exercise its influence in a manner that is not in the interests of Accel’s other stakeholders. Clairvest's influence over Accel’s management could have the effect of delaying or preventing a change in control or otherwise discouraging a potential acquirer from attempting to obtain control of us, which could cause the market price of Class A-1 common stock to decline or prevent public stockholders from realizing a premium over the market price for Class A-1 common stock. Additionally, Clairvest and its affiliates are in the business of making investments in companies and owning real estate, and may from time to time acquire and hold interests in businesses that compete directly or indirectly with Accel or that supply Accel with goods and services. Clairvest or its affiliates may also pursue acquisition opportunities that may be complementary to (or competitive with) Accel’s business, and as a result those acquisition opportunities may not be available to Accel. Prospective investors should consider that the interests of Clairvest may differ from their interests in material respects.</w:t>
      </w:r>
    </w:p>
    <w:p>
      <w:pPr>
        <w:spacing w:after="0" w:line="123" w:lineRule="exact"/>
        <w:rPr>
          <w:sz w:val="20"/>
          <w:szCs w:val="20"/>
          <w:color w:val="auto"/>
        </w:rPr>
      </w:pPr>
    </w:p>
    <w:p>
      <w:pPr>
        <w:jc w:val="both"/>
        <w:ind w:firstLine="324"/>
        <w:spacing w:after="0" w:line="320" w:lineRule="auto"/>
        <w:rPr>
          <w:sz w:val="20"/>
          <w:szCs w:val="20"/>
          <w:color w:val="auto"/>
        </w:rPr>
      </w:pPr>
      <w:r>
        <w:rPr>
          <w:rFonts w:ascii="Arial" w:cs="Arial" w:eastAsia="Arial" w:hAnsi="Arial"/>
          <w:sz w:val="17"/>
          <w:szCs w:val="17"/>
          <w:color w:val="auto"/>
        </w:rPr>
        <w:t>In addition, as of December 31, 2022, approximately 10% of the shares of our Class A-1 common stock were beneficially owned by Mr. A. Rubenstein, approximately 3% of the shares of our Class A-1 common stock were beneficially owned by his brother, Mr. G. Rubenstein, and Mr. A. Rubenstein, together with Mr. G. Rubenstein (together, the “Rubenstein Family”) collectively beneficially own approximately 13% of the shares of our Class A-1 common stock. Although each of Mr. A. Rubenstein and Mr. G. Rubenstein, each disclaim legal or beneficial ownership of any shares of Class A-1 common stock owned or controlled by the others, the Rubenstein Family have and may exert significant influence over corporate actions requiring stockholder approval. In addition, each of Mr. A. Rubenstein and Mr. G. Rubenstein are members of the Company Board. As a result, the Rubenstein Family may be able to significantly influence the outcome of matters submitted for director action, subject to Accel’s director’s obligation to act in the interest of all of Accel’s stakeholders, and for stockholder action, including the designation and appointment of the Company Board (and committees thereof) and approval of significant corporate transactions, including business combinations, consolidations and mergers. So long as the Rubenstein Family continues to directly or indirectly own a significant amount of Accel’s outstanding equity interests and any individuals affiliated with members of the Rubenstein Family are members of the Company Board and/or any committees thereof, and the Rubenstein Family may be able to exert substantial influence on Accel and may be able to exercise its influence in a manner that is not in the interests of Accel’s other stakeholders. The Rubenstein Family’s influence over Accel’s management could have the effect of delaying or preventing a change in control or otherwise discouraging a potential acquirer from attempting to obtain control of Accel, which could cause the market price of Class A-1 common stock to decline or prevent public stockholders from realizing a premium over the market price for Class A-1 common stock. Prospective investors should consider that the interests of the Rubenstein Family may differ from their interests in material respects. In addition, pursuant to the Transaction Agreement and subject to certain limitations set forth in the Transaction Agreement, any person who held (together with such person’s affiliates) at least 8% of the outstanding shares of Class A-1 common stock immediately following the closing of the Stock Purchase in connection with the Business Combination, had the right to nominate an individual to be a member of the Company Board. So long as any such stockholder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with director nomination rights continues to directly or indirectly own a significant amount of Accel’s outstanding equity interests and any individuals affiliated with such stockholder are members of the Company Board and/or any committees thereof, such major stockholder may be able to exert substantial influence on Accel and may be able to exercise its influence in a manner that is not in the interests of Accel’s other stakeholders. This influence over Accel’s management could have the effect of delaying or preventing a change in control or otherwise discouraging a potential acquirer from attempting to obtain control of Accel, which could cause the market price of Class A-1 common stock to decline or prevent public stockholders from realizing a premium over the market price for Class A-1 common stock.</w:t>
      </w:r>
    </w:p>
    <w:p>
      <w:pPr>
        <w:spacing w:after="0" w:line="13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Holders of common stock are subject to certain gaming regulations, and if a holder is found unsuitable by a gaming authority, that holder would not be able to, directly or indirectly, beneficially own common stock.</w:t>
      </w:r>
    </w:p>
    <w:p>
      <w:pPr>
        <w:spacing w:after="0" w:line="130"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Holders of common stock are subject to certain gaming regulations. In Illinois, Georgia, Pennsylvania, Montana, Nevada and other regulated gaming jurisdictions, gaming laws can require any holder of common stock to be disclosed, file an application, be investigated, and qualify or have his, her or its suitability determined by gaming authorities. Gaming laws in Illinois, Georgia, Pennsylvania, Montana, Nevada and other regulated gaming jurisdictions also require any person who acquires beneficial ownership of more than 5% of voting securities of a gaming company to notify the gaming authorities, and gaming authorities may require such holders to apply for qualification or a finding of suitability, subject to limited exceptions for “institutional investors” that hold a company’s voting securities for investment purposes only. If a holder is found unsuitable by a gaming authority, that holder would not be able to, directly or indirectly, beneficially own common stock.</w:t>
      </w:r>
    </w:p>
    <w:p>
      <w:pPr>
        <w:spacing w:after="0" w:line="136" w:lineRule="exact"/>
        <w:rPr>
          <w:sz w:val="20"/>
          <w:szCs w:val="20"/>
          <w:color w:val="auto"/>
        </w:rPr>
      </w:pPr>
    </w:p>
    <w:p>
      <w:pPr>
        <w:jc w:val="both"/>
        <w:ind w:firstLine="324"/>
        <w:spacing w:after="0" w:line="344" w:lineRule="auto"/>
        <w:rPr>
          <w:sz w:val="20"/>
          <w:szCs w:val="20"/>
          <w:color w:val="auto"/>
        </w:rPr>
      </w:pPr>
      <w:r>
        <w:rPr>
          <w:rFonts w:ascii="Arial" w:cs="Arial" w:eastAsia="Arial" w:hAnsi="Arial"/>
          <w:sz w:val="16"/>
          <w:szCs w:val="16"/>
          <w:color w:val="auto"/>
        </w:rPr>
        <w:t>Gaming authorities have very broad discretion in determining whether an applicant should be deemed suitable. For any cause deemed reasonable by the gaming authorities, subject to certain administrative proceeding requirements, gaming regulators in Illinois, Pennsylvania, Montana, Nevada or elsewhere would have the authority to (i) deny any application; (ii) limit, condition, restrict, revoke, or suspend any license, registration, finding of suitability or approval, including revoking any licenses held by Accel to conduct business in the state or (iii) fine any person licensed, registered, or found suitable or approved. Any person required by a gaming authority to be found suitable, who is found unsuitable by the gaming authority, may not hold, directly or indirectly, the beneficial ownership of any voting security or beneficial or record ownership of any non-voting security or any debt security of any public corporation that is registered with the gaming authority beyond the time prescribed by the gaming authority. A finding of unsuitability by a particular gaming authority in Illinois, Pennsylvania, Montana, Nevada or elsewhere will impact that person’s ability to associate or affiliate with gaming licensees in that particular jurisdiction and could impact the person’s ability to associate or affiliate with gaming licensees in other jurisdictions.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 is a holding company and depends on the ability of Accel’s subsidiaries to pay dividends.</w:t>
      </w:r>
    </w:p>
    <w:p>
      <w:pPr>
        <w:spacing w:after="0" w:line="212" w:lineRule="exact"/>
        <w:rPr>
          <w:sz w:val="20"/>
          <w:szCs w:val="20"/>
          <w:color w:val="auto"/>
        </w:rPr>
      </w:pPr>
    </w:p>
    <w:p>
      <w:pPr>
        <w:jc w:val="both"/>
        <w:ind w:firstLine="445"/>
        <w:spacing w:after="0" w:line="324" w:lineRule="auto"/>
        <w:rPr>
          <w:sz w:val="20"/>
          <w:szCs w:val="20"/>
          <w:color w:val="auto"/>
        </w:rPr>
      </w:pPr>
      <w:r>
        <w:rPr>
          <w:rFonts w:ascii="Arial" w:cs="Arial" w:eastAsia="Arial" w:hAnsi="Arial"/>
          <w:sz w:val="17"/>
          <w:szCs w:val="17"/>
          <w:color w:val="auto"/>
        </w:rPr>
        <w:t>Accel has never declared or paid any cash dividends, nor does Accel intend to pay cash dividends. Accel is a holding company without any direct operations and will have no significant assets other than Accel’s ownership interest in its subsidiaries. Accordingly, Accel’s ability to pay dividends will depend upon the financial condition, liquidity and results of operations of, and Accel’s receipt of dividends, loans or other funds from, its subsidiaries. Accel’s subsidiaries are separate and distinct legal entities and have no obligation to make funds available to Accel. In addition, there are various statutory, regulatory and contractual limitations and business considerations on the extent, if any, to which Accel’s subsidiaries may pay dividends, make loans or otherwise provide funds to Accel. For example, the ability of Accel’s subsidiaries to make distributions, loans and other payments to it for the purposes described above and for any other purpose will be limited by the terms of the Credit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Class A-1 common stock may be volatile and could decline significantly.</w:t>
      </w:r>
    </w:p>
    <w:p>
      <w:pPr>
        <w:spacing w:after="0" w:line="212" w:lineRule="exact"/>
        <w:rPr>
          <w:sz w:val="20"/>
          <w:szCs w:val="20"/>
          <w:color w:val="auto"/>
        </w:rPr>
      </w:pPr>
    </w:p>
    <w:p>
      <w:pPr>
        <w:jc w:val="both"/>
        <w:ind w:firstLine="445"/>
        <w:spacing w:after="0" w:line="360" w:lineRule="auto"/>
        <w:rPr>
          <w:sz w:val="20"/>
          <w:szCs w:val="20"/>
          <w:color w:val="auto"/>
        </w:rPr>
      </w:pPr>
      <w:r>
        <w:rPr>
          <w:rFonts w:ascii="Arial" w:cs="Arial" w:eastAsia="Arial" w:hAnsi="Arial"/>
          <w:sz w:val="16"/>
          <w:szCs w:val="16"/>
          <w:color w:val="auto"/>
        </w:rPr>
        <w:t>The stock markets, including the NYSE have from time-to-time experienced significant price and volume fluctuations. Even if an active, liquid and orderly trading market develops and is sustained for the Class A-1 common stock, the market price of Class A-1 common stock may be volatile and could decline significantly. In addition, the trading volume in Class A-1 common stock may fluctuate and cause significant price variations to occur. If the market price of Class A-1 common stock declines significantly, you may be unable to resell your Class A-1 common stock at or above the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market price as of the date hereof. Accel cannot assure you that the market price of Class A-1 common stock will not fluctuate widely or decline significantly in the future in response to a number of factors, including, among others, the following:</w:t>
      </w:r>
    </w:p>
    <w:p>
      <w:pPr>
        <w:spacing w:after="0" w:line="116" w:lineRule="exact"/>
        <w:rPr>
          <w:sz w:val="20"/>
          <w:szCs w:val="20"/>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realization of any of the risk factors presented in this Annual Report on Form 10-K;</w:t>
      </w:r>
    </w:p>
    <w:p>
      <w:pPr>
        <w:spacing w:after="0" w:line="225" w:lineRule="exact"/>
        <w:rPr>
          <w:rFonts w:ascii="Arial" w:cs="Arial" w:eastAsia="Arial" w:hAnsi="Arial"/>
          <w:sz w:val="18"/>
          <w:szCs w:val="18"/>
          <w:color w:val="auto"/>
        </w:rPr>
      </w:pPr>
    </w:p>
    <w:p>
      <w:pPr>
        <w:ind w:left="420" w:hanging="7"/>
        <w:spacing w:after="0" w:line="324" w:lineRule="auto"/>
        <w:tabs>
          <w:tab w:leader="none" w:pos="65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differences in Accel’s estimates, or in the estimates of analysts, for Accel’s revenues, Adjusted EBITDA, results of operations, level of indebtedness, liquidity or financial condition;</w:t>
      </w:r>
    </w:p>
    <w:p>
      <w:pPr>
        <w:spacing w:after="0" w:line="116" w:lineRule="exact"/>
        <w:rPr>
          <w:rFonts w:ascii="Arial" w:cs="Arial" w:eastAsia="Arial" w:hAnsi="Arial"/>
          <w:sz w:val="18"/>
          <w:szCs w:val="18"/>
          <w:color w:val="auto"/>
        </w:rPr>
      </w:pPr>
    </w:p>
    <w:p>
      <w:pPr>
        <w:ind w:left="660" w:hanging="207"/>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211" w:lineRule="exact"/>
        <w:rPr>
          <w:rFonts w:ascii="Arial" w:cs="Arial" w:eastAsia="Arial" w:hAnsi="Arial"/>
          <w:sz w:val="18"/>
          <w:szCs w:val="18"/>
          <w:color w:val="auto"/>
        </w:rPr>
      </w:pPr>
    </w:p>
    <w:p>
      <w:pPr>
        <w:ind w:left="660" w:hanging="207"/>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failure to comply with the requirements of the NYSE;</w:t>
      </w:r>
    </w:p>
    <w:p>
      <w:pPr>
        <w:spacing w:after="0" w:line="211" w:lineRule="exact"/>
        <w:rPr>
          <w:rFonts w:ascii="Arial" w:cs="Arial" w:eastAsia="Arial" w:hAnsi="Arial"/>
          <w:sz w:val="18"/>
          <w:szCs w:val="18"/>
          <w:color w:val="auto"/>
        </w:rPr>
      </w:pPr>
    </w:p>
    <w:p>
      <w:pPr>
        <w:ind w:left="660" w:hanging="207"/>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failure to comply with the Sarbanes-Oxley Act or other laws or regulations;</w:t>
      </w:r>
    </w:p>
    <w:p>
      <w:pPr>
        <w:spacing w:after="0" w:line="225" w:lineRule="exact"/>
        <w:rPr>
          <w:rFonts w:ascii="Arial" w:cs="Arial" w:eastAsia="Arial" w:hAnsi="Arial"/>
          <w:sz w:val="18"/>
          <w:szCs w:val="18"/>
          <w:color w:val="auto"/>
        </w:rPr>
      </w:pPr>
    </w:p>
    <w:p>
      <w:pPr>
        <w:ind w:left="660" w:hanging="207"/>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changes to gaming laws, regulations or enforcement policies of applicable gaming authorities;</w:t>
      </w:r>
    </w:p>
    <w:p>
      <w:pPr>
        <w:spacing w:after="0" w:line="211"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issuances, sales, resales or repurchases or anticipated issuances, sales, resales or repurchases, of Accel’s capital stock;</w:t>
      </w:r>
    </w:p>
    <w:p>
      <w:pPr>
        <w:spacing w:after="0" w:line="211" w:lineRule="exact"/>
        <w:rPr>
          <w:rFonts w:ascii="Arial" w:cs="Arial" w:eastAsia="Arial" w:hAnsi="Arial"/>
          <w:sz w:val="18"/>
          <w:szCs w:val="18"/>
          <w:color w:val="auto"/>
        </w:rPr>
      </w:pPr>
    </w:p>
    <w:p>
      <w:pPr>
        <w:ind w:left="660" w:hanging="207"/>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publication of research reports about Accel, its gaming locations or the gaming terminal industry generally;</w:t>
      </w:r>
    </w:p>
    <w:p>
      <w:pPr>
        <w:spacing w:after="0" w:line="211" w:lineRule="exact"/>
        <w:rPr>
          <w:rFonts w:ascii="Arial" w:cs="Arial" w:eastAsia="Arial" w:hAnsi="Arial"/>
          <w:sz w:val="18"/>
          <w:szCs w:val="18"/>
          <w:color w:val="auto"/>
        </w:rPr>
      </w:pPr>
    </w:p>
    <w:p>
      <w:pPr>
        <w:ind w:left="660" w:hanging="207"/>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performance and market valuations of other similar companies;</w:t>
      </w:r>
    </w:p>
    <w:p>
      <w:pPr>
        <w:spacing w:after="0" w:line="211" w:lineRule="exact"/>
        <w:rPr>
          <w:rFonts w:ascii="Arial" w:cs="Arial" w:eastAsia="Arial" w:hAnsi="Arial"/>
          <w:sz w:val="18"/>
          <w:szCs w:val="18"/>
          <w:color w:val="auto"/>
        </w:rPr>
      </w:pPr>
    </w:p>
    <w:p>
      <w:pPr>
        <w:ind w:left="660" w:hanging="207"/>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Accel;</w:t>
      </w:r>
    </w:p>
    <w:p>
      <w:pPr>
        <w:spacing w:after="0" w:line="211" w:lineRule="exact"/>
        <w:rPr>
          <w:rFonts w:ascii="Arial" w:cs="Arial" w:eastAsia="Arial" w:hAnsi="Arial"/>
          <w:sz w:val="18"/>
          <w:szCs w:val="18"/>
          <w:color w:val="auto"/>
        </w:rPr>
      </w:pPr>
    </w:p>
    <w:p>
      <w:pPr>
        <w:ind w:left="660" w:hanging="207"/>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broad disruptions in the financial markets, including sudden disruptions in the credit markets;</w:t>
      </w:r>
    </w:p>
    <w:p>
      <w:pPr>
        <w:spacing w:after="0" w:line="225" w:lineRule="exact"/>
        <w:rPr>
          <w:rFonts w:ascii="Arial" w:cs="Arial" w:eastAsia="Arial" w:hAnsi="Arial"/>
          <w:sz w:val="18"/>
          <w:szCs w:val="18"/>
          <w:color w:val="auto"/>
        </w:rPr>
      </w:pPr>
    </w:p>
    <w:p>
      <w:pPr>
        <w:ind w:left="660" w:hanging="207"/>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11" w:lineRule="exact"/>
        <w:rPr>
          <w:rFonts w:ascii="Arial" w:cs="Arial" w:eastAsia="Arial" w:hAnsi="Arial"/>
          <w:sz w:val="18"/>
          <w:szCs w:val="18"/>
          <w:color w:val="auto"/>
        </w:rPr>
      </w:pPr>
    </w:p>
    <w:p>
      <w:pPr>
        <w:ind w:left="660" w:hanging="207"/>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 and</w:t>
      </w:r>
    </w:p>
    <w:p>
      <w:pPr>
        <w:spacing w:after="0" w:line="211" w:lineRule="exact"/>
        <w:rPr>
          <w:rFonts w:ascii="Arial" w:cs="Arial" w:eastAsia="Arial" w:hAnsi="Arial"/>
          <w:sz w:val="18"/>
          <w:szCs w:val="18"/>
          <w:color w:val="auto"/>
        </w:rPr>
      </w:pPr>
    </w:p>
    <w:p>
      <w:pPr>
        <w:ind w:left="660" w:hanging="207"/>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w:t>
      </w:r>
    </w:p>
    <w:p>
      <w:pPr>
        <w:spacing w:after="0" w:line="212" w:lineRule="exact"/>
        <w:rPr>
          <w:sz w:val="20"/>
          <w:szCs w:val="20"/>
          <w:color w:val="auto"/>
        </w:rPr>
      </w:pPr>
    </w:p>
    <w:p>
      <w:pPr>
        <w:jc w:val="both"/>
        <w:ind w:firstLine="387"/>
        <w:spacing w:after="0" w:line="318" w:lineRule="auto"/>
        <w:rPr>
          <w:sz w:val="20"/>
          <w:szCs w:val="20"/>
          <w:color w:val="auto"/>
        </w:rPr>
      </w:pPr>
      <w:r>
        <w:rPr>
          <w:rFonts w:ascii="Arial" w:cs="Arial" w:eastAsia="Arial" w:hAnsi="Arial"/>
          <w:sz w:val="18"/>
          <w:szCs w:val="18"/>
          <w:color w:val="auto"/>
        </w:rPr>
        <w:t>In the past, securities class-action litigation has often been instituted against companies following periods of volatility in the market price of their shares. This type of litigation could result in substantial costs and divert Accel’s management’s attention and resources, which could have a material adverse effect on Accel.</w:t>
      </w:r>
    </w:p>
    <w:p>
      <w:pPr>
        <w:spacing w:after="0" w:line="122"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publish inaccurate or unfavorable research or cease publishing research about Accel, our share price and trading volume could decline significantly.</w:t>
      </w:r>
    </w:p>
    <w:p>
      <w:pPr>
        <w:spacing w:after="0" w:line="116"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8"/>
          <w:szCs w:val="18"/>
          <w:color w:val="auto"/>
        </w:rPr>
        <w:t>The market for our Class A-1 common stock will depend in part on the research and reports that securities or industry analysts publish about Accel or its business. If one or more of the analysts who cover Accel downgrade their opinions about Class A-1 common stock, publish inaccurate or unfavorable research about Accel, or cease publishing about it regularly, demand for Class A-1 common stock could decrease, which might cause our share price and trading volume to decline significantly.</w:t>
      </w:r>
    </w:p>
    <w:p>
      <w:pPr>
        <w:spacing w:after="0" w:line="129" w:lineRule="exact"/>
        <w:rPr>
          <w:sz w:val="20"/>
          <w:szCs w:val="20"/>
          <w:color w:val="auto"/>
        </w:rPr>
      </w:pPr>
    </w:p>
    <w:p>
      <w:pPr>
        <w:jc w:val="both"/>
        <w:spacing w:after="0" w:line="324" w:lineRule="auto"/>
        <w:rPr>
          <w:sz w:val="20"/>
          <w:szCs w:val="20"/>
          <w:color w:val="auto"/>
        </w:rPr>
      </w:pPr>
      <w:r>
        <w:rPr>
          <w:rFonts w:ascii="Arial" w:cs="Arial" w:eastAsia="Arial" w:hAnsi="Arial"/>
          <w:sz w:val="18"/>
          <w:szCs w:val="18"/>
          <w:b w:val="1"/>
          <w:bCs w:val="1"/>
          <w:i w:val="1"/>
          <w:iCs w:val="1"/>
          <w:color w:val="auto"/>
        </w:rPr>
        <w:t>Future issuances of debt securities and equity securities may adversely affect Accel, including the market price of its securities and may be dilutive to existing stockholders.</w:t>
      </w:r>
    </w:p>
    <w:p>
      <w:pPr>
        <w:spacing w:after="0" w:line="116" w:lineRule="exact"/>
        <w:rPr>
          <w:sz w:val="20"/>
          <w:szCs w:val="20"/>
          <w:color w:val="auto"/>
        </w:rPr>
      </w:pPr>
    </w:p>
    <w:p>
      <w:pPr>
        <w:jc w:val="both"/>
        <w:ind w:firstLine="445"/>
        <w:spacing w:after="0" w:line="326" w:lineRule="auto"/>
        <w:rPr>
          <w:sz w:val="20"/>
          <w:szCs w:val="20"/>
          <w:color w:val="auto"/>
        </w:rPr>
      </w:pPr>
      <w:r>
        <w:rPr>
          <w:rFonts w:ascii="Arial" w:cs="Arial" w:eastAsia="Arial" w:hAnsi="Arial"/>
          <w:sz w:val="17"/>
          <w:szCs w:val="17"/>
          <w:color w:val="auto"/>
        </w:rPr>
        <w:t>In the future, Accel may incur debt or issue equity ranking senior to its securities. Those securities will generally have priority upon liquidation. Such securities also may be governed by an indenture or other instrument containing covenants restricting Accel’s operating flexibility. Additionally, any convertible or exchangeable securities that Accel issues in the future may have rights, preferences and privileges more favorable than those of Accel’s securities. Because Accel’s decision to issue debt or equity in the future will depend on market conditions and other factors beyond its control, Accel cannot predict or estimate the amount, timing, nature or success of future capital raising efforts. As a result, future capital raising efforts may reduce the market price of Accel’s securities and be dilutive to existing stockholders.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58"/>
        <w:spacing w:after="0" w:line="324" w:lineRule="auto"/>
        <w:rPr>
          <w:sz w:val="20"/>
          <w:szCs w:val="20"/>
          <w:color w:val="auto"/>
        </w:rPr>
      </w:pPr>
      <w:r>
        <w:rPr>
          <w:rFonts w:ascii="Arial" w:cs="Arial" w:eastAsia="Arial" w:hAnsi="Arial"/>
          <w:sz w:val="18"/>
          <w:szCs w:val="18"/>
          <w:b w:val="1"/>
          <w:bCs w:val="1"/>
          <w:i w:val="1"/>
          <w:iCs w:val="1"/>
          <w:color w:val="auto"/>
        </w:rPr>
        <w:t>The NYSE may delist Accel’s securities from trading on its exchange, which could limit investors’ ability to make transactions in its securities and subject Accel to additional trading restrictions.</w:t>
      </w:r>
    </w:p>
    <w:p>
      <w:pPr>
        <w:spacing w:after="0" w:line="116" w:lineRule="exact"/>
        <w:rPr>
          <w:sz w:val="20"/>
          <w:szCs w:val="20"/>
          <w:color w:val="auto"/>
        </w:rPr>
      </w:pPr>
    </w:p>
    <w:p>
      <w:pPr>
        <w:jc w:val="both"/>
        <w:ind w:firstLine="445"/>
        <w:spacing w:after="0" w:line="334" w:lineRule="auto"/>
        <w:rPr>
          <w:sz w:val="20"/>
          <w:szCs w:val="20"/>
          <w:color w:val="auto"/>
        </w:rPr>
      </w:pPr>
      <w:r>
        <w:rPr>
          <w:rFonts w:ascii="Arial" w:cs="Arial" w:eastAsia="Arial" w:hAnsi="Arial"/>
          <w:sz w:val="17"/>
          <w:szCs w:val="17"/>
          <w:color w:val="auto"/>
        </w:rPr>
        <w:t>Accel's Class A-1 common stock is listed on the NYSE. Although Accel currently meet the minimum initial listing standards set forth in the NYSE listing standards, there can be no assurance that our Class A-1 common stock will continue to be listed on the NYSE in the future. In order to continue listing Accel’s securities on the NYSE, Accel must maintain certain financial, distribution and share price levels. For instance, Accel must maintain a minimum of 300 public stockholders of its Class A-1 common stock on an ongoing basis under the NYSE's continued listing standards.</w:t>
      </w:r>
    </w:p>
    <w:p>
      <w:pPr>
        <w:spacing w:after="0" w:line="113" w:lineRule="exact"/>
        <w:rPr>
          <w:sz w:val="20"/>
          <w:szCs w:val="20"/>
          <w:color w:val="auto"/>
        </w:rPr>
      </w:pPr>
    </w:p>
    <w:p>
      <w:pPr>
        <w:jc w:val="both"/>
        <w:ind w:firstLine="445"/>
        <w:spacing w:after="0" w:line="318" w:lineRule="auto"/>
        <w:rPr>
          <w:sz w:val="20"/>
          <w:szCs w:val="20"/>
          <w:color w:val="auto"/>
        </w:rPr>
      </w:pPr>
      <w:r>
        <w:rPr>
          <w:rFonts w:ascii="Arial" w:cs="Arial" w:eastAsia="Arial" w:hAnsi="Arial"/>
          <w:sz w:val="18"/>
          <w:szCs w:val="18"/>
          <w:color w:val="auto"/>
        </w:rPr>
        <w:t>If the NYSE delists Accel’s securities from trading on its exchange and Accel is not able to list Accel’s securities on another national securities exchange, Accel expects its securities could be quoted on an over-the-counter market. If this were to occur, Accel could face significant material adverse consequences, including:</w:t>
      </w:r>
    </w:p>
    <w:p>
      <w:pPr>
        <w:spacing w:after="0" w:line="122" w:lineRule="exact"/>
        <w:rPr>
          <w:sz w:val="20"/>
          <w:szCs w:val="20"/>
          <w:color w:val="auto"/>
        </w:rPr>
      </w:pPr>
    </w:p>
    <w:p>
      <w:pPr>
        <w:ind w:left="660" w:hanging="207"/>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limited availability of market quotations for the Class A-1 common stock;</w:t>
      </w:r>
    </w:p>
    <w:p>
      <w:pPr>
        <w:spacing w:after="0" w:line="211" w:lineRule="exact"/>
        <w:rPr>
          <w:rFonts w:ascii="Arial" w:cs="Arial" w:eastAsia="Arial" w:hAnsi="Arial"/>
          <w:sz w:val="18"/>
          <w:szCs w:val="18"/>
          <w:color w:val="auto"/>
        </w:rPr>
      </w:pPr>
    </w:p>
    <w:p>
      <w:pPr>
        <w:ind w:left="660" w:hanging="207"/>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reduced liquidity for Class A-1 common stock;</w:t>
      </w:r>
    </w:p>
    <w:p>
      <w:pPr>
        <w:spacing w:after="0" w:line="211" w:lineRule="exact"/>
        <w:rPr>
          <w:rFonts w:ascii="Arial" w:cs="Arial" w:eastAsia="Arial" w:hAnsi="Arial"/>
          <w:sz w:val="18"/>
          <w:szCs w:val="18"/>
          <w:color w:val="auto"/>
        </w:rPr>
      </w:pPr>
    </w:p>
    <w:p>
      <w:pPr>
        <w:ind w:left="420" w:hanging="7"/>
        <w:spacing w:after="0" w:line="357" w:lineRule="auto"/>
        <w:tabs>
          <w:tab w:leader="none" w:pos="658"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determination that Class A-1 common stock is a “penny stock” which will require brokers trading in Class A-1 common stock to adhere to more stringent rules and possibly result in a reduced level of trading activity in the secondary trading market for Accel’s securities;</w:t>
      </w:r>
    </w:p>
    <w:p>
      <w:pPr>
        <w:spacing w:after="0" w:line="93" w:lineRule="exact"/>
        <w:rPr>
          <w:rFonts w:ascii="Arial" w:cs="Arial" w:eastAsia="Arial" w:hAnsi="Arial"/>
          <w:sz w:val="17"/>
          <w:szCs w:val="17"/>
          <w:color w:val="auto"/>
        </w:rPr>
      </w:pPr>
    </w:p>
    <w:p>
      <w:pPr>
        <w:ind w:left="660" w:hanging="207"/>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660" w:hanging="207"/>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12" w:lineRule="exact"/>
        <w:rPr>
          <w:sz w:val="20"/>
          <w:szCs w:val="20"/>
          <w:color w:val="auto"/>
        </w:rPr>
      </w:pPr>
    </w:p>
    <w:p>
      <w:pPr>
        <w:jc w:val="both"/>
        <w:ind w:firstLine="386"/>
        <w:spacing w:after="0" w:line="305"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The Class A-1 common stock is listed on the NYSE, and, as a result, is a covered security. Although the states are preempted from regulating the sale of Accel’s securities, the federal statute does allow the states to investigate companies if there is a suspicion of fraud, and, if there is a finding of fraudulent activity, then the states can regulate or bar the sale of covered securities in a particular case. If Accel were no longer listed on the NYSE, its securities would not be covered securities and Accel would be subject to regulation in each state in which Accel offers its securities.</w:t>
      </w:r>
    </w:p>
    <w:p>
      <w:pPr>
        <w:spacing w:after="0" w:line="136" w:lineRule="exact"/>
        <w:rPr>
          <w:sz w:val="20"/>
          <w:szCs w:val="20"/>
          <w:color w:val="auto"/>
        </w:rPr>
      </w:pPr>
    </w:p>
    <w:p>
      <w:pPr>
        <w:jc w:val="both"/>
        <w:spacing w:after="0" w:line="329" w:lineRule="auto"/>
        <w:rPr>
          <w:sz w:val="20"/>
          <w:szCs w:val="20"/>
          <w:color w:val="auto"/>
        </w:rPr>
      </w:pPr>
      <w:r>
        <w:rPr>
          <w:rFonts w:ascii="Arial" w:cs="Arial" w:eastAsia="Arial" w:hAnsi="Arial"/>
          <w:sz w:val="17"/>
          <w:szCs w:val="17"/>
          <w:b w:val="1"/>
          <w:bCs w:val="1"/>
          <w:i w:val="1"/>
          <w:iCs w:val="1"/>
          <w:color w:val="auto"/>
        </w:rPr>
        <w:t>Provisions in Accel’s Charter designate the Court of Chancery of the State of Delaware, to the fullest extent permitted by law, as the sole and exclusive forum for certain times of actions and proceedings that may be initiated by Accel’s stockholders, and provisions in Accel’s Bylaws also provide that the federal district courts will be the exclusive forum for resolving any complaint asserting a cause of action arising under the Securities Act which could limit the ability of Accel’s stockholders to obtain a favorable judicial forum for disputes with Accel or with its directors, officers or employees and may discourage stockholders from bringing such claims.</w:t>
      </w:r>
    </w:p>
    <w:p>
      <w:pPr>
        <w:spacing w:after="0" w:line="118"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The Charter provides that, to the fullest extent permitted by law, unless Accel consents to the selection of an alternative forum, and subject to the Court of Chancery of the State of Delaware having personal jurisdiction over the parties named as defendants therein, the Court of Chancery of the State of Delaware will be the sole and exclusive forum for:</w:t>
      </w:r>
    </w:p>
    <w:p>
      <w:pPr>
        <w:spacing w:after="0" w:line="143" w:lineRule="exact"/>
        <w:rPr>
          <w:sz w:val="20"/>
          <w:szCs w:val="20"/>
          <w:color w:val="auto"/>
        </w:rPr>
      </w:pPr>
    </w:p>
    <w:p>
      <w:pPr>
        <w:ind w:left="620" w:hanging="288"/>
        <w:spacing w:after="0"/>
        <w:tabs>
          <w:tab w:leader="none" w:pos="620" w:val="left"/>
        </w:tabs>
        <w:numPr>
          <w:ilvl w:val="0"/>
          <w:numId w:val="21"/>
        </w:numPr>
        <w:rPr>
          <w:rFonts w:ascii="Arial" w:cs="Arial" w:eastAsia="Arial" w:hAnsi="Arial"/>
          <w:sz w:val="20"/>
          <w:szCs w:val="20"/>
          <w:color w:val="auto"/>
        </w:rPr>
      </w:pPr>
      <w:r>
        <w:rPr>
          <w:rFonts w:ascii="Arial" w:cs="Arial" w:eastAsia="Arial" w:hAnsi="Arial"/>
          <w:sz w:val="18"/>
          <w:szCs w:val="18"/>
          <w:color w:val="auto"/>
        </w:rPr>
        <w:t>any derivative action or proceeding brought on behalf of Accel;</w:t>
      </w:r>
    </w:p>
    <w:p>
      <w:pPr>
        <w:spacing w:after="0" w:line="229" w:lineRule="exact"/>
        <w:rPr>
          <w:rFonts w:ascii="Arial" w:cs="Arial" w:eastAsia="Arial" w:hAnsi="Arial"/>
          <w:sz w:val="20"/>
          <w:szCs w:val="20"/>
          <w:color w:val="auto"/>
        </w:rPr>
      </w:pPr>
    </w:p>
    <w:p>
      <w:pPr>
        <w:ind w:left="660" w:hanging="328"/>
        <w:spacing w:after="0" w:line="313" w:lineRule="auto"/>
        <w:tabs>
          <w:tab w:leader="none" w:pos="621" w:val="left"/>
        </w:tabs>
        <w:numPr>
          <w:ilvl w:val="0"/>
          <w:numId w:val="21"/>
        </w:numPr>
        <w:rPr>
          <w:rFonts w:ascii="Arial" w:cs="Arial" w:eastAsia="Arial" w:hAnsi="Arial"/>
          <w:sz w:val="20"/>
          <w:szCs w:val="20"/>
          <w:color w:val="auto"/>
        </w:rPr>
      </w:pPr>
      <w:r>
        <w:rPr>
          <w:rFonts w:ascii="Arial" w:cs="Arial" w:eastAsia="Arial" w:hAnsi="Arial"/>
          <w:sz w:val="18"/>
          <w:szCs w:val="18"/>
          <w:color w:val="auto"/>
        </w:rPr>
        <w:t>any action asserting a claim of breach of a fiduciary duty owed by any of Accel’s directors or officers to Accel or its stockholders, creditors or other constituents;</w:t>
      </w:r>
    </w:p>
    <w:p>
      <w:pPr>
        <w:spacing w:after="0" w:line="132" w:lineRule="exact"/>
        <w:rPr>
          <w:rFonts w:ascii="Arial" w:cs="Arial" w:eastAsia="Arial" w:hAnsi="Arial"/>
          <w:sz w:val="20"/>
          <w:szCs w:val="20"/>
          <w:color w:val="auto"/>
        </w:rPr>
      </w:pPr>
    </w:p>
    <w:p>
      <w:pPr>
        <w:ind w:left="660" w:hanging="328"/>
        <w:spacing w:after="0" w:line="313" w:lineRule="auto"/>
        <w:tabs>
          <w:tab w:leader="none" w:pos="621" w:val="left"/>
        </w:tabs>
        <w:numPr>
          <w:ilvl w:val="0"/>
          <w:numId w:val="21"/>
        </w:numPr>
        <w:rPr>
          <w:rFonts w:ascii="Arial" w:cs="Arial" w:eastAsia="Arial" w:hAnsi="Arial"/>
          <w:sz w:val="20"/>
          <w:szCs w:val="20"/>
          <w:color w:val="auto"/>
        </w:rPr>
      </w:pPr>
      <w:r>
        <w:rPr>
          <w:rFonts w:ascii="Arial" w:cs="Arial" w:eastAsia="Arial" w:hAnsi="Arial"/>
          <w:sz w:val="18"/>
          <w:szCs w:val="18"/>
          <w:color w:val="auto"/>
        </w:rPr>
        <w:t>any action asserting a claim against Accel or any of its directors or officers arising pursuant to any provision of the Delaware General Corporate Law (“DGCL”), the Charter or the Bylaws (as either may be amended and/or restated from time to time); or</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20" w:hanging="288"/>
        <w:spacing w:after="0"/>
        <w:tabs>
          <w:tab w:leader="none" w:pos="620" w:val="left"/>
        </w:tabs>
        <w:numPr>
          <w:ilvl w:val="0"/>
          <w:numId w:val="22"/>
        </w:numPr>
        <w:rPr>
          <w:rFonts w:ascii="Arial" w:cs="Arial" w:eastAsia="Arial" w:hAnsi="Arial"/>
          <w:sz w:val="20"/>
          <w:szCs w:val="20"/>
          <w:color w:val="auto"/>
        </w:rPr>
      </w:pPr>
      <w:r>
        <w:rPr>
          <w:rFonts w:ascii="Arial" w:cs="Arial" w:eastAsia="Arial" w:hAnsi="Arial"/>
          <w:sz w:val="18"/>
          <w:szCs w:val="18"/>
          <w:color w:val="auto"/>
        </w:rPr>
        <w:t>any action asserting a claim against Accel that is governed by the internal affairs doctrine.</w:t>
      </w:r>
    </w:p>
    <w:p>
      <w:pPr>
        <w:spacing w:after="0" w:line="202" w:lineRule="exact"/>
        <w:rPr>
          <w:sz w:val="20"/>
          <w:szCs w:val="20"/>
          <w:color w:val="auto"/>
        </w:rPr>
      </w:pPr>
    </w:p>
    <w:p>
      <w:pPr>
        <w:jc w:val="both"/>
        <w:ind w:firstLine="324"/>
        <w:spacing w:after="0" w:line="345"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Accel or any of its directors, officers, or other employees, which may discourage lawsuits with respect to such claims. However, stockholders will not be deemed to have waived Accel’s compliance with the federal securities laws and the rules and regulations thereunder and this provision would not apply to suits brought to enforce a duty or liability created by the Exchange Act, which provides for the exclusive jurisdiction of the federal courts with respect to all suits brought to enforce any duty or liability created by the Exchange Act or the rules and regulations thereunder. The Bylaws also provide that the federal district courts of the United States are the exclusive forum for resolving any complaint asserting a cause of action arising under the Securities Act. If a court were to find the choice of forum provision contained in the Charter to be inapplicable or unenforceable in an action, Accel may incur additional costs associated with resolving such action in other jurisdictions, which could harm Accel’s business, results of operations and financial condition.</w:t>
      </w:r>
    </w:p>
    <w:p>
      <w:pPr>
        <w:spacing w:after="0" w:line="125"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b w:val="1"/>
          <w:bCs w:val="1"/>
          <w:i w:val="1"/>
          <w:iCs w:val="1"/>
          <w:color w:val="auto"/>
        </w:rPr>
        <w:t>Resales of the securities, or issuances of Class A-1 common stock following the conversion of Class A-2 common stock could depress the market price of Accel’s Class A-1 common stock.</w:t>
      </w:r>
    </w:p>
    <w:p>
      <w:pPr>
        <w:spacing w:after="0" w:line="11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8"/>
          <w:szCs w:val="18"/>
          <w:color w:val="auto"/>
        </w:rPr>
        <w:t>There may be a large number of Accel’s securities sold in the market in the near future. These sales, or the perception in the market that the holders of a large number of securities intend to sell securities, could reduce the market price of Accel’s securities. For example, a significant number of shares of Class A-1 common stock held by parties to the registration rights agreement entered into by certain shareholders in connection with the Business Combination have been registered for resale pursuant to an effective registration statement on Form S-3, including shares of Class A-1 common stock issuable upon exchange of shares of Class A-2 common stock. While each registration rights holder (as defined in the registration rights agreement) has agreed not to effect any sale or distribution of its registrable shares if such sale or distribution would, or would reasonably be expected to, constitute or result in a “change of control” or similar event under Accel or its subsidiaries’ credit facilities, as contractual restrictions on resale end, the sale or possibility of sale of these shares could have the effect of increasing the volatility in the market price of our common stock or decreasing the market price itself.</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timing and amount of any repurchases under Accel’s stock repurchase program are subject to a number of uncertainties.</w:t>
      </w:r>
    </w:p>
    <w:p>
      <w:pPr>
        <w:spacing w:after="0" w:line="212" w:lineRule="exact"/>
        <w:rPr>
          <w:sz w:val="20"/>
          <w:szCs w:val="20"/>
          <w:color w:val="auto"/>
        </w:rPr>
      </w:pPr>
    </w:p>
    <w:p>
      <w:pPr>
        <w:jc w:val="both"/>
        <w:ind w:firstLine="324"/>
        <w:spacing w:after="0" w:line="354" w:lineRule="auto"/>
        <w:rPr>
          <w:sz w:val="20"/>
          <w:szCs w:val="20"/>
          <w:color w:val="auto"/>
        </w:rPr>
      </w:pPr>
      <w:r>
        <w:rPr>
          <w:rFonts w:ascii="Arial" w:cs="Arial" w:eastAsia="Arial" w:hAnsi="Arial"/>
          <w:sz w:val="16"/>
          <w:szCs w:val="16"/>
          <w:color w:val="auto"/>
        </w:rPr>
        <w:t>On November 21, 2021, Accel’s Board of Directors approved a share repurchase program of up to $200 million of shares of Class A-1 common stock. Under the repurchase program, repurchases can be made from time to time using a variety of methods, including open market purchases or privately negotiated transactions, in compliance with the rules of the SEC and other applicable legal requirements. The repurchase program does not obligate Accel to acquire any particular amount of shares, and the repurchase program may be suspended or discontinued at any time at Accel’s discretion.</w:t>
      </w:r>
    </w:p>
    <w:p>
      <w:pPr>
        <w:spacing w:after="0" w:line="116"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The Inflation Reduction Act, enacted on August 16, 2022, among other things, imposes a 1% non-deductible, excise tax on net repurchases of shares by U.S. corporations whose stock is traded on an established securities market. The excise tax is imposed on repurchases that occur after December 31, 2022. The imposition of the excise tax on repurchases of Accel’s shares will increase the cost to Accel of making repurchases and may cause Accel to reduce the number of shares repurchased pursuant to the repurchase program.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r>
        <w:rPr>
          <w:rFonts w:ascii="Arial" w:cs="Arial" w:eastAsia="Arial" w:hAnsi="Arial"/>
          <w:sz w:val="14"/>
          <w:szCs w:val="14"/>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We own our 58,000 sq. ft. corporate headquarters in Burr Ridge, Illinois. This facility houses service, support and sales functions for the Chicagoland region. It is the primary location for the majority of the executive management team, as well as the primary location for several other business units and shared services such as legal/compliance, human resources, information technology, security, fleet, finance/accounting, data digital, sales, service, amusements, and marketing and service units. The facility supports Accel’s 24/7 Service Solutions Call Center, as well as onsite route management and collection processing in Illinois. This facility also contains Accel’s largest warehouse, from which equipment installations, preparation, programming, and repairs occur, as well as gaming terminal quality assurance processes and general storage. In this facility there is an IGB-approved secured storage site for sensitive gaming equipment and materials.</w:t>
      </w:r>
    </w:p>
    <w:p>
      <w:pPr>
        <w:spacing w:after="0" w:line="136" w:lineRule="exact"/>
        <w:rPr>
          <w:sz w:val="20"/>
          <w:szCs w:val="20"/>
          <w:color w:val="auto"/>
        </w:rPr>
      </w:pPr>
    </w:p>
    <w:p>
      <w:pPr>
        <w:jc w:val="both"/>
        <w:ind w:firstLine="324"/>
        <w:spacing w:after="0" w:line="340" w:lineRule="auto"/>
        <w:rPr>
          <w:sz w:val="20"/>
          <w:szCs w:val="20"/>
          <w:color w:val="auto"/>
        </w:rPr>
      </w:pPr>
      <w:r>
        <w:rPr>
          <w:rFonts w:ascii="Arial" w:cs="Arial" w:eastAsia="Arial" w:hAnsi="Arial"/>
          <w:sz w:val="18"/>
          <w:szCs w:val="18"/>
          <w:color w:val="auto"/>
        </w:rPr>
        <w:t>In Illinois, we own facilities in Peoria, Springfield, Glen Carbon and Rockford that support our operations We also own two properties in Billings, Montana, one of which is used to support our operations and the other of which is a gaming location.</w:t>
      </w:r>
    </w:p>
    <w:p>
      <w:pPr>
        <w:spacing w:after="0" w:line="102" w:lineRule="exact"/>
        <w:rPr>
          <w:sz w:val="20"/>
          <w:szCs w:val="20"/>
          <w:color w:val="auto"/>
        </w:rPr>
      </w:pPr>
    </w:p>
    <w:p>
      <w:pPr>
        <w:jc w:val="both"/>
        <w:ind w:firstLine="324"/>
        <w:spacing w:after="0" w:line="395" w:lineRule="auto"/>
        <w:rPr>
          <w:sz w:val="20"/>
          <w:szCs w:val="20"/>
          <w:color w:val="auto"/>
        </w:rPr>
      </w:pPr>
      <w:r>
        <w:rPr>
          <w:rFonts w:ascii="Arial" w:cs="Arial" w:eastAsia="Arial" w:hAnsi="Arial"/>
          <w:sz w:val="16"/>
          <w:szCs w:val="16"/>
          <w:color w:val="auto"/>
        </w:rPr>
        <w:t>We also rent an additional fourteen locations in Illinois, nine locations in Montana, eight locations in Nevada, four locations in Georgia, two locations in Iowa, two locations in Nebraska, and one location in Pennsylvania, that are used to support our operations and provide warehousing for our equipment.</w:t>
      </w:r>
    </w:p>
    <w:p>
      <w:pPr>
        <w:spacing w:after="0" w:line="69"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We believe that our current facilities are in good working order and are capable of supporting our operations for the foreseeable future; however, we will continue to evaluate buying or renting additional space as needed to accommodate our growth.</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Lawsuits and claims are filed against Accel from time to time in the ordinary course of business, including related to employee matters, employment agreements and non-compete clauses and agreements. Other than settled matters explained as follows, these actions are in various stages, and no judgments or decisions have been rendered. Management, after reviewing matters with legal counsel, believes that the outcome of such matters are not expected to have a material adverse effect on our financial position or results of operations.</w:t>
      </w:r>
    </w:p>
    <w:p>
      <w:pPr>
        <w:spacing w:after="0" w:line="129"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8"/>
          <w:szCs w:val="18"/>
          <w:color w:val="auto"/>
        </w:rPr>
        <w:t>Accel has been involved in a series of related litigated matters stemming from claims that Accel wrongly contracted with 10 different licensed establishments (the “Defendant Establishments”) in 2012 in violation of the contractual rights held by J&amp;J Ventures Gaming, LLC (“J&amp;J”), as further described below.</w:t>
      </w:r>
    </w:p>
    <w:p>
      <w:pPr>
        <w:spacing w:after="0" w:line="122"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8"/>
          <w:szCs w:val="18"/>
          <w:color w:val="auto"/>
        </w:rPr>
        <w:t>On August 21, 2012, one of Accel’s operating subsidiaries entered into certain agreements with Jason Rowell (“Rowell”), a member of Action Gaming LLC (“Action Gaming”), which was an unlicensed terminal operator that had exclusive rights to place and operate gaming terminals within a number of establishments, including the Defendant Establishments. Under agreements with Rowell, Accel agreed to pay him for each licensed establishment which decided to enter into exclusive location agreements with Accel. In late August and early September 2012, each of the Defendant Establishments signed separate location agreements with Accel, purporting to grant it the exclusive right to operate gaming terminals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IGB.</w:t>
      </w:r>
    </w:p>
    <w:p>
      <w:pPr>
        <w:spacing w:after="0" w:line="137" w:lineRule="exact"/>
        <w:rPr>
          <w:sz w:val="20"/>
          <w:szCs w:val="20"/>
          <w:color w:val="auto"/>
        </w:rPr>
      </w:pPr>
    </w:p>
    <w:p>
      <w:pPr>
        <w:jc w:val="both"/>
        <w:ind w:firstLine="324"/>
        <w:spacing w:after="0" w:line="350" w:lineRule="auto"/>
        <w:rPr>
          <w:sz w:val="20"/>
          <w:szCs w:val="20"/>
          <w:color w:val="auto"/>
        </w:rPr>
      </w:pPr>
      <w:r>
        <w:rPr>
          <w:rFonts w:ascii="Arial" w:cs="Arial" w:eastAsia="Arial" w:hAnsi="Arial"/>
          <w:sz w:val="16"/>
          <w:szCs w:val="16"/>
          <w:color w:val="auto"/>
        </w:rPr>
        <w:t>Action Gaming, J&amp;J, and other parties, collectively, the Plaintiffs, filed a complaint against Accel, Rowell, and other parties in the Circuit Court of Cook County, Illinois (the “Circuit Court”), on August 31, 2012, as amended on November 1, 2012, December 19, 2012, and October 3, 2013, alleging, among other things, that Accel aided and abetted Rowell in breaches of his fiduciary duties and contractual obligations with Action Gaming and tortiously interfered with Action Gaming’s contracts with Rowell and agreements assigned to J&amp;J. The complaint seeks damages and injunctive and equitable relief. On January 24, 2018, Accel filed a motion to dismiss for lack of subject matter jurisdiction, as further described below. On May 14, 2018, the Circuit Court denied Accel’s motion to dismiss and granted a stay to the case, pending a ruling from the IGB on the validity of the J&amp;J Assigned Agreements.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322" w:lineRule="auto"/>
        <w:rPr>
          <w:sz w:val="20"/>
          <w:szCs w:val="20"/>
          <w:color w:val="auto"/>
        </w:rPr>
      </w:pPr>
      <w:r>
        <w:rPr>
          <w:rFonts w:ascii="Arial" w:cs="Arial" w:eastAsia="Arial" w:hAnsi="Arial"/>
          <w:sz w:val="17"/>
          <w:szCs w:val="17"/>
          <w:color w:val="auto"/>
        </w:rPr>
        <w:t>From 2013 to 2015, the Plaintiffs filed additional claims, including J&amp;J Ventures Gaming, LLC et al. v. Wild, Inc. (“Wild”), in various circuit courts seeking declaratory judgments with a number of establishments, including each of the Defendant Establishments, requesting declarations that, among other things, J&amp;J held the exclusive right to operate gaming terminals at each of the Defendant Establishments as a result of the J&amp;J Assigned Agreements. Accel was granted leave to intervene in all of the declaratory judgments. The circuit courts found that the J&amp;J Assigned Agreements were valid because each of the underlying location agreements were between an unlicensed establishment and an unlicensed terminal operator, and therefore did not constitute use agreements that were otherwise precluded from assignment under the IGB’s regulations. Upon Accel’s appeal, the Illinois Appellate Court, Fifth District (the “District Court”), vacated the circuit courts’ judgments and dismissed the appeals, holding that the IGB had exclusive jurisdiction over the matter that formed the basis of the parties’ claims, and declined to consider the merits of the parties’ disputes. On September 22, 2016, and after the IGB intervened, the Supreme Court of Illinois issued a judgment in Wild, affirming the District Court’s decision vacating the circuit courts’ judgments for lack of subject matter jurisdiction and dismissing the appeals, determining that the IGB has exclusive jurisdiction to decide the validity and enforceability of gaming terminal use agreements.</w:t>
      </w:r>
    </w:p>
    <w:p>
      <w:pPr>
        <w:spacing w:after="0" w:line="12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Between May 2017 and September 2017, both Accel and J&amp;J filed petitions with the IGB seeking adjudication of the rights of the parties and the validity of the use agreements. Those petitions were recently adjudicated by the IGB, largely in Accel’s favor, and J&amp;J has filed a new lawsuit to challenge the IGB’s rulings. Accel does not have a present estimate regarding the potential damages, if any, that could potentially be awarded in this litigation and, accordingly, have established no reserves relating to such matters. There are also petitions pending with the IGB which could lead to Accel obtaining new locations.</w:t>
      </w:r>
    </w:p>
    <w:p>
      <w:pPr>
        <w:spacing w:after="0" w:line="130" w:lineRule="exact"/>
        <w:rPr>
          <w:sz w:val="20"/>
          <w:szCs w:val="20"/>
          <w:color w:val="auto"/>
        </w:rPr>
      </w:pPr>
    </w:p>
    <w:p>
      <w:pPr>
        <w:jc w:val="both"/>
        <w:ind w:firstLine="324"/>
        <w:spacing w:after="0" w:line="326" w:lineRule="auto"/>
        <w:rPr>
          <w:sz w:val="20"/>
          <w:szCs w:val="20"/>
          <w:color w:val="auto"/>
        </w:rPr>
      </w:pPr>
      <w:r>
        <w:rPr>
          <w:rFonts w:ascii="Arial" w:cs="Arial" w:eastAsia="Arial" w:hAnsi="Arial"/>
          <w:sz w:val="17"/>
          <w:szCs w:val="17"/>
          <w:color w:val="auto"/>
        </w:rPr>
        <w:t>On October 7, 2019, Accel filed a lawsuit in the Circuit Court of Cook County, Illinois against Jason Rowell and other parties related to Mr. Rowell’s breaches of his non-compete agreement with Accel. Accel alleged that Mr. Rowell and a competitor were working together to interfere with Accel’s customer relationships. On November 7, 2019, Mr. Rowell filed a lawsuit in the Circuit Court of Cook County, Illinois against Accel alleging that he had not received certain equity interests in Accel to which he was allegedly entitled under his agreement. Accel has answered the complaint and asserted a counterclaim, and intends to defend itself against the allegations. Discovery is ensuing. Mr. Rowell's claims and Accel's claims are both being litigated in this lawsuit, while the original lawsuit remains pending against the other defendants.</w:t>
      </w:r>
    </w:p>
    <w:p>
      <w:pPr>
        <w:spacing w:after="0" w:line="121"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8"/>
          <w:szCs w:val="18"/>
          <w:color w:val="auto"/>
        </w:rPr>
        <w:t>On July 2, 2019, Illinois Gaming Investors, LLC filed a lawsuit against Accel. The lawsuit alleges that a current employee violated his non-competition agreement with Illinois Gaming Investors, LLC, and together with Accel, wrongfully solicited prohibited licensed video gaming locations. The parties settled this dispute in April 2022.</w:t>
      </w:r>
    </w:p>
    <w:p>
      <w:pPr>
        <w:spacing w:after="0" w:line="122" w:lineRule="exact"/>
        <w:rPr>
          <w:sz w:val="20"/>
          <w:szCs w:val="20"/>
          <w:color w:val="auto"/>
        </w:rPr>
      </w:pPr>
    </w:p>
    <w:p>
      <w:pPr>
        <w:jc w:val="both"/>
        <w:ind w:firstLine="324"/>
        <w:spacing w:after="0" w:line="364" w:lineRule="auto"/>
        <w:rPr>
          <w:sz w:val="20"/>
          <w:szCs w:val="20"/>
          <w:color w:val="auto"/>
        </w:rPr>
      </w:pPr>
      <w:r>
        <w:rPr>
          <w:rFonts w:ascii="Arial" w:cs="Arial" w:eastAsia="Arial" w:hAnsi="Arial"/>
          <w:sz w:val="16"/>
          <w:szCs w:val="16"/>
          <w:color w:val="auto"/>
        </w:rPr>
        <w:t>On December 18, 2020, we received a disciplinary complaint from the IGB alleging violations of the Video Gaming Act and the IGB’s Adopted Rules for Video Gaming. The disciplinary complaint seeks to fine us in the amount of $5 million. We filed our initial answer to the IGB’s complaint on January 11, 2021. On July 22, 2022, both parties filed motions for summary judgment. We expect decisions on the motions in the first quarter of 2023.</w:t>
      </w:r>
    </w:p>
    <w:p>
      <w:pPr>
        <w:spacing w:after="0" w:line="94"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7"/>
          <w:szCs w:val="17"/>
          <w:color w:val="auto"/>
        </w:rPr>
        <w:t>On March 9, 2022, we filed a lawsuit in the Circuit Court of Cook County, Illinois against Gold Rush relating to the Gold Rush convertible notes. The complaint sought damages for breach of contract and the implied covenant of good faith and fair dealing, as well as unjust enrichment. The Court granted Gold Rush’s motion to dismiss, with leave to amend, on November 16, 2022. We filed an amended complaint on December 22, 2022, and asked the court to summarily dismiss the repealed claims to allow us to seek appeal of their dismissal by the Circuit Court. On June 22, 2022, Gold Rush filed a lawsuit in the Circuit Court of Cook County, Illinois against us. The lawsuit alleges that we tortiously interfered with Gold Rush’s business activities and engaged in misconduct with respect to the Gold Rush convertible notes. The complaint seeks declaratory judgment and damages related to the allegations. Following our motion to dismiss, on November 16, 2022, the Court dismissed two of Gold Rush’s claims against us, but allowed four claims to proceed. We answered the complaint on December 14, 2022. The parties are currently engaged in the discovery process and no trial date has been set. We intend to vigorously defend ourself against the allegations in the complaint and deny any allegations of wrongdoing.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On March 25, 2022, Midwest Electronics Gaming LLC (“Midwest”) filed an administrative review action against the Illinois Gaming Board, Accel and J&amp;J in the Circuit Court of Cook County, Illinois seeking administrative review of decisions of the IGB ruling in favor of Accel and J&amp;J and against Midwest regarding the validity of certain use agreements covering locations currently serviced by Midwest. No monetary damages are sought against Accel. A responsive pleading is not yet due. On April 22, 2022, we filed a petition in the Circuit Court of Cook County, Illinois to judicially review the IGB's decision to deny the requested transfer of Gold Rush common stock in respect of our conversion of the convertible notes.</w:t>
      </w:r>
    </w:p>
    <w:p>
      <w:pPr>
        <w:spacing w:after="0" w:line="11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In July 2022, an enforcement action was brought against us by an Illinois municipality related to an alleged violation of an ordinance requiring the collection of an additional tax, the enforceability of which is currently being contested by the Illinois Gaming Machine Operators Association. Rather than litigate the alleged violation, we pled no contest and paid an initial penalty to the municipality in October 2022. We paid a similar penalty each month for the remaining months of 2022 and we anticipate such payments to continue in 2023.</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20 to the consolidated financial statements included herein for discussion of the financial impact of these matters.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820" w:right="360" w:hanging="80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on Common Stock</w:t>
      </w:r>
    </w:p>
    <w:p>
      <w:pPr>
        <w:spacing w:after="0" w:line="202"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7"/>
          <w:szCs w:val="17"/>
          <w:color w:val="auto"/>
        </w:rPr>
        <w:t>Our Class A-1 common stock has traded on the NYSE under the ticker symbol “ACEL” since November 21, 2019. Prior to that time, our Class A ordinary shares were listed under the symbols “TPGH”. On November 21, 2019, we delisted the units offered in our initial public offering, each consisting of one Class A ordinary share and one-third of a warrant, which were listed under the symbol “TPGH.U”, and the units ceased to trade. In August of 2020, our public warrants, which were previously listed under the symbol “ACEL-WS” were delisted from the NYSE.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75" w:lineRule="exact"/>
        <w:rPr>
          <w:sz w:val="20"/>
          <w:szCs w:val="20"/>
          <w:color w:val="auto"/>
        </w:rPr>
      </w:pPr>
    </w:p>
    <w:p>
      <w:pPr>
        <w:jc w:val="both"/>
        <w:ind w:right="20" w:firstLine="324"/>
        <w:spacing w:after="0" w:line="340" w:lineRule="auto"/>
        <w:rPr>
          <w:sz w:val="20"/>
          <w:szCs w:val="20"/>
          <w:color w:val="auto"/>
        </w:rPr>
      </w:pPr>
      <w:r>
        <w:rPr>
          <w:rFonts w:ascii="Arial" w:cs="Arial" w:eastAsia="Arial" w:hAnsi="Arial"/>
          <w:sz w:val="18"/>
          <w:szCs w:val="18"/>
          <w:color w:val="auto"/>
        </w:rPr>
        <w:t>There were 100 stockholders of record of our Class A-1 common stock, and 111 stockholders of record of our Class A-2 common stock as of February 24, 2023.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We have not paid any cash dividends on our shares to date, nor do we intend to pay cash dividends. The payment of cash dividends in the future will be dependent upon our revenues and earnings, if any, capital requirements and general financial condition. The payment of any cash dividends will be within the discretion of the Company Board. Further, if the Company incurs any indebtedness, its ability to declare dividends may be limited by restrictive covenants it may agree to in connection therewith.</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70"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The information required by this item with respect to our equity compensation plans is incorporated by reference to our Proxy Statement for the 2023 annual meeting of stockholders to be filed with the SEC within 120 days of the fiscal year ended December 31,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283"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8"/>
          <w:szCs w:val="18"/>
          <w:color w:val="auto"/>
        </w:rPr>
        <w:t>On November 22, 2021, the Company’s Board of Directors approved a share repurchase program of up to $200 million of shares of Class A-1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SEC and other applicable legal requirements. The repurchase program does not obligate the Company to acquire any particular amount of shares, and the repurchase program may be suspended or discontinued at any time at the Company’s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shares purchased under the share repurchase program in the fourth quarter of 2022:</w:t>
      </w:r>
    </w:p>
    <w:p>
      <w:pPr>
        <w:spacing w:after="0" w:line="257"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180"/>
        </w:trPr>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88"/>
              </w:rPr>
              <w:t>Cumulative shares</w:t>
            </w:r>
          </w:p>
        </w:tc>
        <w:tc>
          <w:tcPr>
            <w:tcW w:w="17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approximate dollar</w:t>
            </w:r>
          </w:p>
        </w:tc>
        <w:tc>
          <w:tcPr>
            <w:tcW w:w="0" w:type="dxa"/>
            <w:vAlign w:val="bottom"/>
          </w:tcPr>
          <w:p>
            <w:pPr>
              <w:spacing w:after="0"/>
              <w:rPr>
                <w:sz w:val="1"/>
                <w:szCs w:val="1"/>
                <w:color w:val="auto"/>
              </w:rPr>
            </w:pPr>
          </w:p>
        </w:tc>
      </w:tr>
      <w:tr>
        <w:trPr>
          <w:trHeight w:val="176"/>
        </w:trPr>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7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value of shares that</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60" w:type="dxa"/>
            <w:vAlign w:val="bottom"/>
          </w:tcPr>
          <w:p>
            <w:pPr>
              <w:spacing w:after="0"/>
              <w:rPr>
                <w:sz w:val="16"/>
                <w:szCs w:val="16"/>
                <w:color w:val="auto"/>
              </w:rPr>
            </w:pPr>
          </w:p>
        </w:tc>
        <w:tc>
          <w:tcPr>
            <w:tcW w:w="190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89"/>
              </w:rPr>
              <w:t>Average price paid</w:t>
            </w:r>
          </w:p>
        </w:tc>
        <w:tc>
          <w:tcPr>
            <w:tcW w:w="1900" w:type="dxa"/>
            <w:vAlign w:val="bottom"/>
            <w:gridSpan w:val="2"/>
          </w:tcPr>
          <w:p>
            <w:pPr>
              <w:jc w:val="center"/>
              <w:ind w:right="160"/>
              <w:spacing w:after="0" w:line="189" w:lineRule="exact"/>
              <w:rPr>
                <w:sz w:val="20"/>
                <w:szCs w:val="20"/>
                <w:color w:val="auto"/>
              </w:rPr>
            </w:pPr>
            <w:r>
              <w:rPr>
                <w:rFonts w:ascii="Arial" w:cs="Arial" w:eastAsia="Arial" w:hAnsi="Arial"/>
                <w:sz w:val="18"/>
                <w:szCs w:val="18"/>
                <w:b w:val="1"/>
                <w:bCs w:val="1"/>
                <w:color w:val="auto"/>
                <w:w w:val="89"/>
              </w:rPr>
              <w:t>purchased as part of</w:t>
            </w:r>
          </w:p>
        </w:tc>
        <w:tc>
          <w:tcPr>
            <w:tcW w:w="17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8"/>
              </w:rPr>
              <w:t>may yet be purchased</w:t>
            </w:r>
          </w:p>
        </w:tc>
        <w:tc>
          <w:tcPr>
            <w:tcW w:w="0" w:type="dxa"/>
            <w:vAlign w:val="bottom"/>
          </w:tcPr>
          <w:p>
            <w:pPr>
              <w:spacing w:after="0"/>
              <w:rPr>
                <w:sz w:val="1"/>
                <w:szCs w:val="1"/>
                <w:color w:val="auto"/>
              </w:rPr>
            </w:pPr>
          </w:p>
        </w:tc>
      </w:tr>
      <w:tr>
        <w:trPr>
          <w:trHeight w:val="175"/>
        </w:trPr>
        <w:tc>
          <w:tcPr>
            <w:tcW w:w="18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90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88"/>
              </w:rPr>
              <w:t>publicly announced</w:t>
            </w:r>
          </w:p>
        </w:tc>
        <w:tc>
          <w:tcPr>
            <w:tcW w:w="17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under the program (in</w:t>
            </w:r>
          </w:p>
        </w:tc>
        <w:tc>
          <w:tcPr>
            <w:tcW w:w="0" w:type="dxa"/>
            <w:vAlign w:val="bottom"/>
          </w:tcPr>
          <w:p>
            <w:pPr>
              <w:spacing w:after="0"/>
              <w:rPr>
                <w:sz w:val="1"/>
                <w:szCs w:val="1"/>
                <w:color w:val="auto"/>
              </w:rPr>
            </w:pPr>
          </w:p>
        </w:tc>
      </w:tr>
      <w:tr>
        <w:trPr>
          <w:trHeight w:val="230"/>
        </w:trPr>
        <w:tc>
          <w:tcPr>
            <w:tcW w:w="1880" w:type="dxa"/>
            <w:vAlign w:val="bottom"/>
            <w:gridSpan w:val="2"/>
            <w:vMerge w:val="continue"/>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60" w:type="dxa"/>
            <w:vAlign w:val="bottom"/>
          </w:tcPr>
          <w:p>
            <w:pPr>
              <w:spacing w:after="0"/>
              <w:rPr>
                <w:sz w:val="19"/>
                <w:szCs w:val="19"/>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per share</w:t>
            </w: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program</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1"/>
              </w:rPr>
              <w:t>millions)</w:t>
            </w:r>
          </w:p>
        </w:tc>
        <w:tc>
          <w:tcPr>
            <w:tcW w:w="0" w:type="dxa"/>
            <w:vAlign w:val="bottom"/>
          </w:tcPr>
          <w:p>
            <w:pPr>
              <w:spacing w:after="0"/>
              <w:rPr>
                <w:sz w:val="1"/>
                <w:szCs w:val="1"/>
                <w:color w:val="auto"/>
              </w:rPr>
            </w:pPr>
          </w:p>
        </w:tc>
      </w:tr>
      <w:tr>
        <w:trPr>
          <w:trHeight w:val="250"/>
        </w:trPr>
        <w:tc>
          <w:tcPr>
            <w:tcW w:w="170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7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7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7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7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880" w:type="dxa"/>
            <w:vAlign w:val="bottom"/>
            <w:gridSpan w:val="2"/>
          </w:tcPr>
          <w:p>
            <w:pPr>
              <w:ind w:left="20"/>
              <w:spacing w:after="0"/>
              <w:rPr>
                <w:sz w:val="20"/>
                <w:szCs w:val="20"/>
                <w:color w:val="auto"/>
              </w:rPr>
            </w:pPr>
            <w:r>
              <w:rPr>
                <w:rFonts w:ascii="Arial" w:cs="Arial" w:eastAsia="Arial" w:hAnsi="Arial"/>
                <w:sz w:val="18"/>
                <w:szCs w:val="18"/>
                <w:color w:val="auto"/>
              </w:rPr>
              <w:t>October 2022</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1,035,358</w:t>
            </w:r>
          </w:p>
        </w:tc>
        <w:tc>
          <w:tcPr>
            <w:tcW w:w="188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$8.84</w:t>
            </w:r>
          </w:p>
        </w:tc>
        <w:tc>
          <w:tcPr>
            <w:tcW w:w="180" w:type="dxa"/>
            <w:vAlign w:val="bottom"/>
          </w:tcPr>
          <w:p>
            <w:pPr>
              <w:spacing w:after="0"/>
              <w:rPr>
                <w:sz w:val="23"/>
                <w:szCs w:val="23"/>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7,416,171</w:t>
            </w:r>
          </w:p>
        </w:tc>
        <w:tc>
          <w:tcPr>
            <w:tcW w:w="14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$119.9</w:t>
            </w:r>
          </w:p>
        </w:tc>
        <w:tc>
          <w:tcPr>
            <w:tcW w:w="0" w:type="dxa"/>
            <w:vAlign w:val="bottom"/>
          </w:tcPr>
          <w:p>
            <w:pPr>
              <w:spacing w:after="0"/>
              <w:rPr>
                <w:sz w:val="1"/>
                <w:szCs w:val="1"/>
                <w:color w:val="auto"/>
              </w:rPr>
            </w:pPr>
          </w:p>
        </w:tc>
      </w:tr>
      <w:tr>
        <w:trPr>
          <w:trHeight w:val="270"/>
        </w:trPr>
        <w:tc>
          <w:tcPr>
            <w:tcW w:w="1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gridSpan w:val="2"/>
          </w:tcPr>
          <w:p>
            <w:pPr>
              <w:ind w:left="20"/>
              <w:spacing w:after="0"/>
              <w:rPr>
                <w:sz w:val="20"/>
                <w:szCs w:val="20"/>
                <w:color w:val="auto"/>
              </w:rPr>
            </w:pPr>
            <w:r>
              <w:rPr>
                <w:rFonts w:ascii="Arial" w:cs="Arial" w:eastAsia="Arial" w:hAnsi="Arial"/>
                <w:sz w:val="18"/>
                <w:szCs w:val="18"/>
                <w:color w:val="auto"/>
              </w:rPr>
              <w:t>November 2022</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489,922</w:t>
            </w:r>
          </w:p>
        </w:tc>
        <w:tc>
          <w:tcPr>
            <w:tcW w:w="188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$9.00</w:t>
            </w:r>
          </w:p>
        </w:tc>
        <w:tc>
          <w:tcPr>
            <w:tcW w:w="180" w:type="dxa"/>
            <w:vAlign w:val="bottom"/>
          </w:tcPr>
          <w:p>
            <w:pPr>
              <w:spacing w:after="0"/>
              <w:rPr>
                <w:sz w:val="23"/>
                <w:szCs w:val="23"/>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7,906,093</w:t>
            </w:r>
          </w:p>
        </w:tc>
        <w:tc>
          <w:tcPr>
            <w:tcW w:w="14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$115.5</w:t>
            </w:r>
          </w:p>
        </w:tc>
        <w:tc>
          <w:tcPr>
            <w:tcW w:w="0" w:type="dxa"/>
            <w:vAlign w:val="bottom"/>
          </w:tcPr>
          <w:p>
            <w:pPr>
              <w:spacing w:after="0"/>
              <w:rPr>
                <w:sz w:val="1"/>
                <w:szCs w:val="1"/>
                <w:color w:val="auto"/>
              </w:rPr>
            </w:pPr>
          </w:p>
        </w:tc>
      </w:tr>
      <w:tr>
        <w:trPr>
          <w:trHeight w:val="270"/>
        </w:trPr>
        <w:tc>
          <w:tcPr>
            <w:tcW w:w="1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December 2022</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439,188</w:t>
            </w:r>
          </w:p>
        </w:tc>
        <w:tc>
          <w:tcPr>
            <w:tcW w:w="1880" w:type="dxa"/>
            <w:vAlign w:val="bottom"/>
            <w:tcBorders>
              <w:bottom w:val="single" w:sz="8" w:color="CCEEFF"/>
            </w:tcBorders>
            <w:gridSpan w:val="2"/>
          </w:tcPr>
          <w:p>
            <w:pPr>
              <w:jc w:val="center"/>
              <w:ind w:left="70"/>
              <w:spacing w:after="0"/>
              <w:rPr>
                <w:sz w:val="20"/>
                <w:szCs w:val="20"/>
                <w:color w:val="auto"/>
              </w:rPr>
            </w:pPr>
            <w:r>
              <w:rPr>
                <w:rFonts w:ascii="Arial" w:cs="Arial" w:eastAsia="Arial" w:hAnsi="Arial"/>
                <w:sz w:val="18"/>
                <w:szCs w:val="18"/>
                <w:color w:val="auto"/>
                <w:w w:val="88"/>
              </w:rPr>
              <w:t>$8.03</w:t>
            </w:r>
          </w:p>
        </w:tc>
        <w:tc>
          <w:tcPr>
            <w:tcW w:w="180" w:type="dxa"/>
            <w:vAlign w:val="bottom"/>
            <w:tcBorders>
              <w:bottom w:val="single" w:sz="8" w:color="CCEEFF"/>
            </w:tcBorders>
          </w:tcPr>
          <w:p>
            <w:pPr>
              <w:spacing w:after="0"/>
              <w:rPr>
                <w:sz w:val="23"/>
                <w:szCs w:val="23"/>
                <w:color w:val="auto"/>
              </w:rPr>
            </w:pPr>
          </w:p>
        </w:tc>
        <w:tc>
          <w:tcPr>
            <w:tcW w:w="17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8,345,281</w:t>
            </w:r>
          </w:p>
        </w:tc>
        <w:tc>
          <w:tcPr>
            <w:tcW w:w="140" w:type="dxa"/>
            <w:vAlign w:val="bottom"/>
            <w:tcBorders>
              <w:bottom w:val="single" w:sz="8" w:color="CCEEFF"/>
            </w:tcBorders>
          </w:tcPr>
          <w:p>
            <w:pPr>
              <w:spacing w:after="0"/>
              <w:rPr>
                <w:sz w:val="23"/>
                <w:szCs w:val="23"/>
                <w:color w:val="auto"/>
              </w:rPr>
            </w:pPr>
          </w:p>
        </w:tc>
        <w:tc>
          <w:tcPr>
            <w:tcW w:w="1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$112.0</w:t>
            </w:r>
          </w:p>
        </w:tc>
        <w:tc>
          <w:tcPr>
            <w:tcW w:w="0" w:type="dxa"/>
            <w:vAlign w:val="bottom"/>
          </w:tcPr>
          <w:p>
            <w:pPr>
              <w:spacing w:after="0"/>
              <w:rPr>
                <w:sz w:val="1"/>
                <w:szCs w:val="1"/>
                <w:color w:val="auto"/>
              </w:rPr>
            </w:pPr>
          </w:p>
        </w:tc>
      </w:tr>
      <w:tr>
        <w:trPr>
          <w:trHeight w:val="288"/>
        </w:trPr>
        <w:tc>
          <w:tcPr>
            <w:tcW w:w="1880" w:type="dxa"/>
            <w:vAlign w:val="bottom"/>
            <w:tcBorders>
              <w:bottom w:val="single" w:sz="8" w:color="CCEEFF"/>
            </w:tcBorders>
            <w:gridSpan w:val="2"/>
            <w:shd w:val="clear" w:color="auto" w:fill="CCEEFF"/>
          </w:tcPr>
          <w:p>
            <w:pPr>
              <w:ind w:left="132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1,964,468</w:t>
            </w:r>
          </w:p>
        </w:tc>
        <w:tc>
          <w:tcPr>
            <w:tcW w:w="16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Performance Graph</w:t>
      </w:r>
    </w:p>
    <w:p>
      <w:pPr>
        <w:spacing w:after="0" w:line="216" w:lineRule="exact"/>
        <w:rPr>
          <w:sz w:val="20"/>
          <w:szCs w:val="20"/>
          <w:color w:val="auto"/>
        </w:rPr>
      </w:pPr>
    </w:p>
    <w:p>
      <w:pPr>
        <w:jc w:val="both"/>
        <w:ind w:firstLine="324"/>
        <w:spacing w:after="0" w:line="248" w:lineRule="exact"/>
        <w:rPr>
          <w:sz w:val="20"/>
          <w:szCs w:val="20"/>
          <w:color w:val="auto"/>
        </w:rPr>
      </w:pPr>
      <w:r>
        <w:rPr>
          <w:rFonts w:ascii="Arial" w:cs="Arial" w:eastAsia="Arial" w:hAnsi="Arial"/>
          <w:sz w:val="18"/>
          <w:szCs w:val="18"/>
          <w:color w:val="auto"/>
        </w:rPr>
        <w:t>The following stock price performance graph should not be deemed incorporated by reference by any general statement incorporating by reference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into any filing under the Exchange Act or the Securities Act, except to the extent that we specifically incorporate this information by reference, and shall not otherwise be deemed filed under such acts.</w:t>
      </w:r>
    </w:p>
    <w:p>
      <w:pPr>
        <w:spacing w:after="0" w:line="20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The following stock performance graph compares, for the period November 20, 2019 (the day prior to our Class A-1 common stock being traded on the NYSE) through December 31, 2022 (the last trading day of our fiscal year), the cumulative total stockholder return for (1) Accel’s Class A-1 common stock, (2) the NASDAQ Composite Index and (3) Russell 3000 Casinos &amp; Gambling Industry Index assuming a hypothetical $100 investment in our stock or respective index on November 20, 2019.</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 price performance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134620</wp:posOffset>
            </wp:positionV>
            <wp:extent cx="6000750" cy="21431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0075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080" w:type="dxa"/>
        <w:tblCellMar>
          <w:top w:w="0" w:type="dxa"/>
          <w:left w:w="0" w:type="dxa"/>
          <w:bottom w:w="0" w:type="dxa"/>
          <w:right w:w="0" w:type="dxa"/>
        </w:tblCellMar>
      </w:tblPr>
      <w:tr>
        <w:trPr>
          <w:trHeight w:val="241"/>
        </w:trPr>
        <w:tc>
          <w:tcPr>
            <w:tcW w:w="35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11/20/2019</w:t>
            </w: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12/31/2019</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12/31/2020</w:t>
            </w: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12/31/2021</w:t>
            </w: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12/31/2022</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Accel Entertainment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$119.05</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$92.24</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$118.90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$70.32</w:t>
            </w:r>
          </w:p>
        </w:tc>
        <w:tc>
          <w:tcPr>
            <w:tcW w:w="0" w:type="dxa"/>
            <w:vAlign w:val="bottom"/>
          </w:tcPr>
          <w:p>
            <w:pPr>
              <w:spacing w:after="0"/>
              <w:rPr>
                <w:sz w:val="1"/>
                <w:szCs w:val="1"/>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NASDAQ Composite Index</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$100.00</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$105.23</w:t>
            </w: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$151.52</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$183.92</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$123.05</w:t>
            </w:r>
          </w:p>
        </w:tc>
        <w:tc>
          <w:tcPr>
            <w:tcW w:w="0" w:type="dxa"/>
            <w:vAlign w:val="bottom"/>
          </w:tcPr>
          <w:p>
            <w:pPr>
              <w:spacing w:after="0"/>
              <w:rPr>
                <w:sz w:val="1"/>
                <w:szCs w:val="1"/>
                <w:color w:val="auto"/>
              </w:rPr>
            </w:pPr>
          </w:p>
        </w:tc>
      </w:tr>
      <w:tr>
        <w:trPr>
          <w:trHeight w:val="195"/>
        </w:trPr>
        <w:tc>
          <w:tcPr>
            <w:tcW w:w="35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RUSSELL 3000 Casinos &amp; Gambling</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$100.00</w:t>
            </w: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$107.94</w:t>
            </w:r>
          </w:p>
        </w:tc>
        <w:tc>
          <w:tcPr>
            <w:tcW w:w="1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$125.07</w:t>
            </w: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$123.20</w:t>
            </w: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$91.96</w:t>
            </w:r>
          </w:p>
        </w:tc>
        <w:tc>
          <w:tcPr>
            <w:tcW w:w="0" w:type="dxa"/>
            <w:vAlign w:val="bottom"/>
          </w:tcPr>
          <w:p>
            <w:pPr>
              <w:spacing w:after="0"/>
              <w:rPr>
                <w:sz w:val="1"/>
                <w:szCs w:val="1"/>
                <w:color w:val="auto"/>
              </w:rPr>
            </w:pPr>
          </w:p>
        </w:tc>
      </w:tr>
      <w:tr>
        <w:trPr>
          <w:trHeight w:val="136"/>
        </w:trPr>
        <w:tc>
          <w:tcPr>
            <w:tcW w:w="35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Industry Index</w:t>
            </w:r>
          </w:p>
        </w:tc>
        <w:tc>
          <w:tcPr>
            <w:tcW w:w="10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540" w:type="dxa"/>
            <w:vAlign w:val="bottom"/>
            <w:vMerge w:val="continue"/>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The following discussion provides information that management believes is relevant to an understanding and assessment of our consolidated financial condition and results of operations. You should read this discussion in conjunction with our consolidated financial statements and the notes thereto included in Part II, Item 8 of this Annual Report on Form 10-K. This discussion and analysis of our financial condition and results of operations also contains forward-looking statements that involve risks, uncertainties, and assumptions. Our actual results may differ materially from those anticipated in these forward-looking statements as a result of a variety of factors, including those set forth under Item 1A. “Risk Factors.”</w:t>
      </w:r>
    </w:p>
    <w:p>
      <w:pPr>
        <w:spacing w:after="0" w:line="118"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A discussion of Accel’s results of operations on a consolidated basis for the years ended December 31, 2022 and 2021 are presented below. For the discussion of Accel’s results of operations on a consolidated basis for the years ended December 31, 2021 and 2020 please see our Annual Report on Form 10-K for the year ended December 31, 2021 that was filed on March 11,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We believe we are a leading distributed gaming operator in the United States on an Adjusted EBITDA basis, and a preferred partner for local business owners in the markets we serve. Our business consists of the installation, maintenance and operation of gaming terminals, redemption devices that disburse winnings and contain automated teller machine (“ATM”) functionality, and other amusement devices in authorized non-casino locations such as restaurants, bars, taverns, convenience stores, liquor stores, truck stops, and grocery stores. We also operate stand-alone ATMs in gaming and non-gaming locations. We currently operate as a distributed gaming operator in the following states:</w:t>
      </w:r>
    </w:p>
    <w:p>
      <w:pPr>
        <w:spacing w:after="0" w:line="105" w:lineRule="exact"/>
        <w:rPr>
          <w:sz w:val="20"/>
          <w:szCs w:val="20"/>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Illinois - we are a licensed terminal operator by the Illinois Gaming Board (“IGB”) since 2012,</w:t>
      </w:r>
    </w:p>
    <w:p>
      <w:pPr>
        <w:spacing w:after="0" w:line="198" w:lineRule="exact"/>
        <w:rPr>
          <w:rFonts w:ascii="Arial" w:cs="Arial" w:eastAsia="Arial" w:hAnsi="Arial"/>
          <w:sz w:val="18"/>
          <w:szCs w:val="18"/>
          <w:color w:val="auto"/>
        </w:rPr>
      </w:pPr>
    </w:p>
    <w:p>
      <w:pPr>
        <w:ind w:left="660" w:hanging="247"/>
        <w:spacing w:after="0" w:line="324"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Montana - we were granted a manufacturer, distributor and route operator license in June 2022 by the Gambling Control Division of the Montana Department of Justice effective through June 2023,</w:t>
      </w:r>
    </w:p>
    <w:p>
      <w:pPr>
        <w:spacing w:after="0" w:line="102"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Nevada - we were granted a two-year terminal operator license in June 2022 by the Nevada Gaming Commission,</w:t>
      </w:r>
    </w:p>
    <w:p>
      <w:pPr>
        <w:spacing w:after="0" w:line="184"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Georgia - we received approval from the Georgia Lottery Corporation as a Master Licensee in July 2020,</w:t>
      </w:r>
    </w:p>
    <w:p>
      <w:pPr>
        <w:spacing w:after="0" w:line="198"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Iowa - we are registered with the Iowa Department of Inspections and Appeals to conduct operations in Iowa,</w:t>
      </w:r>
    </w:p>
    <w:p>
      <w:pPr>
        <w:spacing w:after="0" w:line="198" w:lineRule="exact"/>
        <w:rPr>
          <w:rFonts w:ascii="Arial" w:cs="Arial" w:eastAsia="Arial" w:hAnsi="Arial"/>
          <w:sz w:val="18"/>
          <w:szCs w:val="18"/>
          <w:color w:val="auto"/>
        </w:rPr>
      </w:pPr>
    </w:p>
    <w:p>
      <w:pPr>
        <w:ind w:left="660" w:right="20" w:hanging="247"/>
        <w:spacing w:after="0" w:line="324"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Nebraska - we became a licensed distributor of mechanical amusement devices (“MADs”) in Nebraska in June 2022, and commenced operations in this market,</w:t>
      </w:r>
    </w:p>
    <w:p>
      <w:pPr>
        <w:spacing w:after="0" w:line="102"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Pennsylvania - we have held a license from the Pennsylvania Gaming Control Board since November 2020.</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Century is also a manufacturer of gaming terminals in the Montana, Nevada, South Dakota, Louisiana and West Virginia markets.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also subject to various other federal, state and local laws and regulations in addition to gaming regulations.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Century Acquisition</w:t>
      </w:r>
    </w:p>
    <w:p>
      <w:pPr>
        <w:spacing w:after="0" w:line="216" w:lineRule="exact"/>
        <w:rPr>
          <w:sz w:val="20"/>
          <w:szCs w:val="20"/>
          <w:color w:val="auto"/>
        </w:rPr>
      </w:pPr>
    </w:p>
    <w:p>
      <w:pPr>
        <w:jc w:val="both"/>
        <w:ind w:firstLine="324"/>
        <w:spacing w:after="0" w:line="326" w:lineRule="auto"/>
        <w:rPr>
          <w:sz w:val="20"/>
          <w:szCs w:val="20"/>
          <w:color w:val="auto"/>
        </w:rPr>
      </w:pPr>
      <w:r>
        <w:rPr>
          <w:rFonts w:ascii="Arial" w:cs="Arial" w:eastAsia="Arial" w:hAnsi="Arial"/>
          <w:sz w:val="17"/>
          <w:szCs w:val="17"/>
          <w:color w:val="auto"/>
        </w:rPr>
        <w:t>On June 1, 2022, we completed our previously announced acquisition of all of the outstanding equity interests of Century Gaming, Inc., a Montana corporation. The aggregate purchase consideration was $164.3 million, which included: (i) a cash payment made at closing of $45.5 million to the equity holders of Century; (ii) repayment of $113.2 million of Century's indebtedness; and (iii) 515,622 shares of our Class A-1 common stock issued to certain members of Century’s management with a fair value of $5.6 million on the acquisition date. The cash payments were financed using cash from a draw of approximately $160 million from our revolving credit facility and delayed draw term loan facility under our senior secured credit facility. Our financial results for the year ended December 31, 2022 includes the results of Century from the date of acquisition.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Macroeconomic Factors</w:t>
      </w:r>
    </w:p>
    <w:p>
      <w:pPr>
        <w:spacing w:after="0" w:line="216" w:lineRule="exact"/>
        <w:rPr>
          <w:sz w:val="20"/>
          <w:szCs w:val="20"/>
          <w:color w:val="auto"/>
        </w:rPr>
      </w:pPr>
    </w:p>
    <w:p>
      <w:pPr>
        <w:jc w:val="both"/>
        <w:ind w:firstLine="324"/>
        <w:spacing w:after="0" w:line="345" w:lineRule="auto"/>
        <w:rPr>
          <w:sz w:val="20"/>
          <w:szCs w:val="20"/>
          <w:color w:val="auto"/>
        </w:rPr>
      </w:pPr>
      <w:r>
        <w:rPr>
          <w:rFonts w:ascii="Arial" w:cs="Arial" w:eastAsia="Arial" w:hAnsi="Arial"/>
          <w:sz w:val="16"/>
          <w:szCs w:val="16"/>
          <w:color w:val="auto"/>
        </w:rPr>
        <w:t>Ongoing interest rate increases and persistent inflation may increase the risk of an economic recession and volatility and dislocation in the capital or credit markets in the United States and other markets globally. Our location partners may be adversely impacted by changes in overall economic and financial conditions, and certain location partners may cease operations in the event of a recession or inability to access financing. Furthermore, our revenue is largely driven by players’ disposable incomes and level of gaming activity, and economic conditions that adversely impact players’ ability and desire to spend disposable income at our locations partners may adversely affect our results of operations and cash flows. To date, we have not observed material impacts in our business or outlook, but there can be no assurance that, in the event of a recession, levels of gaming activity would not be adversely affected. Further, as described in more detail below, we have observed certain increases in our costs, particularly higher wages and increased fuel costs, as well as increased interest expense on our debt. In addition, during 2022, we accelerated certain of our capital expenditures related to gaming machine components to manage our supply chain. We intend to continue to monitor macroeconomic conditions closely and may determine to take certain financial or operational actions in response to such conditions to the extent our business begins to be adversely impacted.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16"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8"/>
          <w:szCs w:val="18"/>
          <w:color w:val="auto"/>
        </w:rPr>
        <w:t>Following the initial outbreak in early 2020, COVID-19 began a resurgence in the fall of 2020 with the virus spreading exponentially in every geographical region (currently 11 regions) in the State of Illinois. In response, the IGB suspended all video gaming operations until further notice across the entire state of Illinois starting at 11:01 PM on Thursday, November 19, 2020. Video gaming operations resumed in certain regions of the state beginning on January 16, 2021, and fully resumed in all regions on January 23, 2021. Even though video gaming operations resumed across all regions, certain regions still had government-imposed restrictions that, among other things, limited hours of operation and restricted the number of patrons allowed within the licensed establishments.</w:t>
      </w:r>
    </w:p>
    <w:p>
      <w:pPr>
        <w:spacing w:after="0" w:line="13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This temporary shutdown of Illinois video gaming impacted 18 of the 365 gaming days (or 5% of gaming days) during the year ended December 31, 2021. In light of this event and its effect on our employees and licensed establishment partners, we took action to position the Company to help mitigate the effects of the temporary cessation of operations. During the shutdown, the Company furloughed idle staff as appropriate and deferred certain payments to major vendors.</w:t>
      </w:r>
    </w:p>
    <w:p>
      <w:pPr>
        <w:spacing w:after="0" w:line="129"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8"/>
          <w:szCs w:val="18"/>
          <w:color w:val="auto"/>
        </w:rPr>
        <w:t>As a result of these developments, our 2021 revenues, results of operations and cash flows were materially affected. The COVID-19 situation is rapidly changing as new variant strains continue to pose a threat to public health and additional impacts to the business and financial results may arise that we are not aware of currently.</w:t>
      </w:r>
    </w:p>
    <w:p>
      <w:pPr>
        <w:spacing w:after="0" w:line="122" w:lineRule="exact"/>
        <w:rPr>
          <w:sz w:val="20"/>
          <w:szCs w:val="20"/>
          <w:color w:val="auto"/>
        </w:rPr>
      </w:pPr>
    </w:p>
    <w:p>
      <w:pPr>
        <w:jc w:val="both"/>
        <w:ind w:firstLine="324"/>
        <w:spacing w:after="0" w:line="354" w:lineRule="auto"/>
        <w:rPr>
          <w:sz w:val="20"/>
          <w:szCs w:val="20"/>
          <w:color w:val="auto"/>
        </w:rPr>
      </w:pPr>
      <w:r>
        <w:rPr>
          <w:rFonts w:ascii="Arial" w:cs="Arial" w:eastAsia="Arial" w:hAnsi="Arial"/>
          <w:sz w:val="16"/>
          <w:szCs w:val="16"/>
          <w:color w:val="auto"/>
        </w:rPr>
        <w:t>While variants of COVID-19 continue to impact infection rates and the U.S. healthcare system, it is possible that the regulating bodies or the states in which we operate, or their regulating bodies, may order future shutdowns, or a complete suspension of video gaming in the state, or institute stay-at-home, closure or other similar orders or measures in the future in response to COVID-19 and its related variants. As such, there may be additional operational and financial impacts on the business from future resurgences of COVID-19 and its variant strains, which we cannot reasonably anticipate.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ind w:left="340"/>
        <w:spacing w:after="0" w:line="324" w:lineRule="auto"/>
        <w:rPr>
          <w:sz w:val="20"/>
          <w:szCs w:val="20"/>
          <w:color w:val="auto"/>
        </w:rPr>
      </w:pPr>
      <w:r>
        <w:rPr>
          <w:rFonts w:ascii="Arial" w:cs="Arial" w:eastAsia="Arial" w:hAnsi="Arial"/>
          <w:sz w:val="18"/>
          <w:szCs w:val="18"/>
          <w:i w:val="1"/>
          <w:iCs w:val="1"/>
          <w:color w:val="auto"/>
        </w:rPr>
        <w:t xml:space="preserve">Net gaming. </w:t>
      </w:r>
      <w:r>
        <w:rPr>
          <w:rFonts w:ascii="Arial" w:cs="Arial" w:eastAsia="Arial" w:hAnsi="Arial"/>
          <w:sz w:val="18"/>
          <w:szCs w:val="18"/>
          <w:color w:val="auto"/>
        </w:rPr>
        <w:t>Net gaming revenue represents net cash received from gaming activities, which is the difference between gaming wins and losses. Net</w:t>
      </w:r>
      <w:r>
        <w:rPr>
          <w:rFonts w:ascii="Arial" w:cs="Arial" w:eastAsia="Arial" w:hAnsi="Arial"/>
          <w:sz w:val="18"/>
          <w:szCs w:val="18"/>
          <w:i w:val="1"/>
          <w:iCs w:val="1"/>
          <w:color w:val="auto"/>
        </w:rPr>
        <w:t xml:space="preserve"> </w:t>
      </w:r>
      <w:r>
        <w:rPr>
          <w:rFonts w:ascii="Arial" w:cs="Arial" w:eastAsia="Arial" w:hAnsi="Arial"/>
          <w:sz w:val="18"/>
          <w:szCs w:val="18"/>
          <w:color w:val="auto"/>
        </w:rPr>
        <w:t>gaming revenue includes the amounts earned by our location partners and is recognized at the time of gaming play.</w:t>
      </w:r>
    </w:p>
    <w:p>
      <w:pPr>
        <w:spacing w:after="0" w:line="103" w:lineRule="exact"/>
        <w:rPr>
          <w:sz w:val="20"/>
          <w:szCs w:val="20"/>
          <w:color w:val="auto"/>
        </w:rPr>
      </w:pPr>
    </w:p>
    <w:p>
      <w:pPr>
        <w:ind w:left="340"/>
        <w:spacing w:after="0" w:line="324" w:lineRule="auto"/>
        <w:rPr>
          <w:sz w:val="20"/>
          <w:szCs w:val="20"/>
          <w:color w:val="auto"/>
        </w:rPr>
      </w:pPr>
      <w:r>
        <w:rPr>
          <w:rFonts w:ascii="Arial" w:cs="Arial" w:eastAsia="Arial" w:hAnsi="Arial"/>
          <w:sz w:val="18"/>
          <w:szCs w:val="18"/>
          <w:i w:val="1"/>
          <w:iCs w:val="1"/>
          <w:color w:val="auto"/>
        </w:rPr>
        <w:t xml:space="preserve">Amusement. </w:t>
      </w:r>
      <w:r>
        <w:rPr>
          <w:rFonts w:ascii="Arial" w:cs="Arial" w:eastAsia="Arial" w:hAnsi="Arial"/>
          <w:sz w:val="18"/>
          <w:szCs w:val="18"/>
          <w:color w:val="auto"/>
        </w:rPr>
        <w:t>Amusement revenue represents amounts collected from amusement devices operated at our various location partners and is recognized at</w:t>
      </w:r>
      <w:r>
        <w:rPr>
          <w:rFonts w:ascii="Arial" w:cs="Arial" w:eastAsia="Arial" w:hAnsi="Arial"/>
          <w:sz w:val="18"/>
          <w:szCs w:val="18"/>
          <w:i w:val="1"/>
          <w:iCs w:val="1"/>
          <w:color w:val="auto"/>
        </w:rPr>
        <w:t xml:space="preserve"> </w:t>
      </w:r>
      <w:r>
        <w:rPr>
          <w:rFonts w:ascii="Arial" w:cs="Arial" w:eastAsia="Arial" w:hAnsi="Arial"/>
          <w:sz w:val="18"/>
          <w:szCs w:val="18"/>
          <w:color w:val="auto"/>
        </w:rPr>
        <w:t>the point the amusement device is used.</w:t>
      </w:r>
    </w:p>
    <w:p>
      <w:pPr>
        <w:spacing w:after="0" w:line="103" w:lineRule="exact"/>
        <w:rPr>
          <w:sz w:val="20"/>
          <w:szCs w:val="20"/>
          <w:color w:val="auto"/>
        </w:rPr>
      </w:pPr>
    </w:p>
    <w:p>
      <w:pPr>
        <w:ind w:left="340"/>
        <w:spacing w:after="0" w:line="324" w:lineRule="auto"/>
        <w:rPr>
          <w:sz w:val="20"/>
          <w:szCs w:val="20"/>
          <w:color w:val="auto"/>
        </w:rPr>
      </w:pPr>
      <w:r>
        <w:rPr>
          <w:rFonts w:ascii="Arial" w:cs="Arial" w:eastAsia="Arial" w:hAnsi="Arial"/>
          <w:sz w:val="18"/>
          <w:szCs w:val="18"/>
          <w:i w:val="1"/>
          <w:iCs w:val="1"/>
          <w:color w:val="auto"/>
        </w:rPr>
        <w:t xml:space="preserve">Manufacturing. </w:t>
      </w:r>
      <w:r>
        <w:rPr>
          <w:rFonts w:ascii="Arial" w:cs="Arial" w:eastAsia="Arial" w:hAnsi="Arial"/>
          <w:sz w:val="18"/>
          <w:szCs w:val="18"/>
          <w:color w:val="auto"/>
        </w:rPr>
        <w:t>Manufacturing revenue represents sales of gaming terminals by Grand Vision Gaming, a wholly-owned subsidiary of Century, which</w:t>
      </w:r>
      <w:r>
        <w:rPr>
          <w:rFonts w:ascii="Arial" w:cs="Arial" w:eastAsia="Arial" w:hAnsi="Arial"/>
          <w:sz w:val="18"/>
          <w:szCs w:val="18"/>
          <w:i w:val="1"/>
          <w:iCs w:val="1"/>
          <w:color w:val="auto"/>
        </w:rPr>
        <w:t xml:space="preserve"> </w:t>
      </w:r>
      <w:r>
        <w:rPr>
          <w:rFonts w:ascii="Arial" w:cs="Arial" w:eastAsia="Arial" w:hAnsi="Arial"/>
          <w:sz w:val="18"/>
          <w:szCs w:val="18"/>
          <w:color w:val="auto"/>
        </w:rPr>
        <w:t>is a designer and manufacturer of gaming terminals and related equipment.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340"/>
        <w:spacing w:after="0" w:line="324" w:lineRule="auto"/>
        <w:rPr>
          <w:sz w:val="20"/>
          <w:szCs w:val="20"/>
          <w:color w:val="auto"/>
        </w:rPr>
      </w:pPr>
      <w:r>
        <w:rPr>
          <w:rFonts w:ascii="Arial" w:cs="Arial" w:eastAsia="Arial" w:hAnsi="Arial"/>
          <w:sz w:val="18"/>
          <w:szCs w:val="18"/>
          <w:i w:val="1"/>
          <w:iCs w:val="1"/>
          <w:color w:val="auto"/>
        </w:rPr>
        <w:t xml:space="preserve">ATM fees and other revenue. </w:t>
      </w:r>
      <w:r>
        <w:rPr>
          <w:rFonts w:ascii="Arial" w:cs="Arial" w:eastAsia="Arial" w:hAnsi="Arial"/>
          <w:sz w:val="18"/>
          <w:szCs w:val="18"/>
          <w:color w:val="auto"/>
        </w:rPr>
        <w:t>ATM fees and other revenue represents fees charged for the withdrawal of funds from Accel’s redemption devices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stand-alone ATMs and is recognized at the time of the ATM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jc w:val="both"/>
        <w:ind w:left="340"/>
        <w:spacing w:after="0" w:line="306"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(i) taxes on net video gaming revenue that is payable to the appropriate jurisdiction, (ii) licenses, permits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fees required for the operation of gaming terminals and other equipment, (iii) location revenue share, which is governed by local governing bodies and location contracts, (iv) ATM and amusement commissions payable to locations, (v) ATM and amusement fees, and (vi) costs associated with the sale of gaming terminals.</w:t>
      </w:r>
    </w:p>
    <w:p>
      <w:pPr>
        <w:spacing w:after="0" w:line="119" w:lineRule="exact"/>
        <w:rPr>
          <w:sz w:val="20"/>
          <w:szCs w:val="20"/>
          <w:color w:val="auto"/>
        </w:rPr>
      </w:pPr>
    </w:p>
    <w:p>
      <w:pPr>
        <w:jc w:val="both"/>
        <w:ind w:left="340"/>
        <w:spacing w:after="0" w:line="305"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consist of operating expense and general and administrative (“G&amp;A”)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 includes payroll and related expense for service technicians, route technicians, route security, and preventative maintenance personnel. Operating expense also includes vehicle fuel and maintenance, and non-capitalizable parts expenses. Operating expenses are generally proportionate to the number of locations and gaming terminals. G&amp;A expense includes payroll and related expense for account managers, business development managers, marketing, and other corporate personnel. In addition, G&amp;A expense also includes marketing, information technology, insurance, rent and professional fees.</w:t>
      </w:r>
    </w:p>
    <w:p>
      <w:pPr>
        <w:spacing w:after="0" w:line="123" w:lineRule="exact"/>
        <w:rPr>
          <w:sz w:val="20"/>
          <w:szCs w:val="20"/>
          <w:color w:val="auto"/>
        </w:rPr>
      </w:pPr>
    </w:p>
    <w:p>
      <w:pPr>
        <w:jc w:val="both"/>
        <w:ind w:left="340"/>
        <w:spacing w:after="0" w:line="324" w:lineRule="auto"/>
        <w:rPr>
          <w:sz w:val="20"/>
          <w:szCs w:val="20"/>
          <w:color w:val="auto"/>
        </w:rPr>
      </w:pPr>
      <w:r>
        <w:rPr>
          <w:rFonts w:ascii="Arial" w:cs="Arial" w:eastAsia="Arial" w:hAnsi="Arial"/>
          <w:sz w:val="18"/>
          <w:szCs w:val="18"/>
          <w:i w:val="1"/>
          <w:iCs w:val="1"/>
          <w:color w:val="auto"/>
        </w:rPr>
        <w:t xml:space="preserve">Depreciation and amortization of property and equipment. </w:t>
      </w:r>
      <w:r>
        <w:rPr>
          <w:rFonts w:ascii="Arial" w:cs="Arial" w:eastAsia="Arial" w:hAnsi="Arial"/>
          <w:sz w:val="18"/>
          <w:szCs w:val="18"/>
          <w:color w:val="auto"/>
        </w:rPr>
        <w:t>Depreciation is computed using the straight-line method over the estimated useful lives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individual assets. Leasehold improvements are amortized over the shorter of the useful life or the lease.</w:t>
      </w:r>
    </w:p>
    <w:p>
      <w:pPr>
        <w:spacing w:after="0" w:line="103" w:lineRule="exact"/>
        <w:rPr>
          <w:sz w:val="20"/>
          <w:szCs w:val="20"/>
          <w:color w:val="auto"/>
        </w:rPr>
      </w:pPr>
    </w:p>
    <w:p>
      <w:pPr>
        <w:jc w:val="both"/>
        <w:ind w:left="340"/>
        <w:spacing w:after="0" w:line="354" w:lineRule="auto"/>
        <w:rPr>
          <w:sz w:val="20"/>
          <w:szCs w:val="20"/>
          <w:color w:val="auto"/>
        </w:rPr>
      </w:pPr>
      <w:r>
        <w:rPr>
          <w:rFonts w:ascii="Arial" w:cs="Arial" w:eastAsia="Arial" w:hAnsi="Arial"/>
          <w:sz w:val="16"/>
          <w:szCs w:val="16"/>
          <w:i w:val="1"/>
          <w:iCs w:val="1"/>
          <w:color w:val="auto"/>
        </w:rPr>
        <w:t xml:space="preserve">Amortization of intangible assets and route and customer acquisition costs. </w:t>
      </w:r>
      <w:r>
        <w:rPr>
          <w:rFonts w:ascii="Arial" w:cs="Arial" w:eastAsia="Arial" w:hAnsi="Arial"/>
          <w:sz w:val="16"/>
          <w:szCs w:val="16"/>
          <w:color w:val="auto"/>
        </w:rPr>
        <w:t>Route and customer acquisition costs consist of fees paid at the inception</w:t>
      </w:r>
      <w:r>
        <w:rPr>
          <w:rFonts w:ascii="Arial" w:cs="Arial" w:eastAsia="Arial" w:hAnsi="Arial"/>
          <w:sz w:val="16"/>
          <w:szCs w:val="16"/>
          <w:i w:val="1"/>
          <w:iCs w:val="1"/>
          <w:color w:val="auto"/>
        </w:rPr>
        <w:t xml:space="preserve"> </w:t>
      </w:r>
      <w:r>
        <w:rPr>
          <w:rFonts w:ascii="Arial" w:cs="Arial" w:eastAsia="Arial" w:hAnsi="Arial"/>
          <w:sz w:val="16"/>
          <w:szCs w:val="16"/>
          <w:color w:val="auto"/>
        </w:rPr>
        <w:t>of contracts entered into with third parties and the gaming locations in the states we serve, which allow us to install and operate gaming terminals. The route and customer acquisition costs and route and customer acquisition costs payable are recorded at the net present value of the future payments using a discount rate equal to Accel’s incremental borrowing rate associated with its long-term debt. Route and customer acquisition costs are amortized on a straight-line basis over 18 years, which is the expected estimated life of the contract, including expected renewals.</w:t>
      </w:r>
    </w:p>
    <w:p>
      <w:pPr>
        <w:spacing w:after="0" w:line="88" w:lineRule="exact"/>
        <w:rPr>
          <w:sz w:val="20"/>
          <w:szCs w:val="20"/>
          <w:color w:val="auto"/>
        </w:rPr>
      </w:pPr>
    </w:p>
    <w:p>
      <w:pPr>
        <w:jc w:val="both"/>
        <w:ind w:left="340" w:right="20"/>
        <w:spacing w:after="0" w:line="324" w:lineRule="auto"/>
        <w:rPr>
          <w:sz w:val="20"/>
          <w:szCs w:val="20"/>
          <w:color w:val="auto"/>
        </w:rPr>
      </w:pPr>
      <w:r>
        <w:rPr>
          <w:rFonts w:ascii="Arial" w:cs="Arial" w:eastAsia="Arial" w:hAnsi="Arial"/>
          <w:sz w:val="18"/>
          <w:szCs w:val="18"/>
          <w:color w:val="auto"/>
        </w:rPr>
        <w:t>Location contracts acquired in a business acquisition are recorded at fair value and then amortized as an intangible asset on a straight-line basis over the expected useful life of primarily 15 years.</w:t>
      </w:r>
    </w:p>
    <w:p>
      <w:pPr>
        <w:spacing w:after="0" w:line="103" w:lineRule="exact"/>
        <w:rPr>
          <w:sz w:val="20"/>
          <w:szCs w:val="20"/>
          <w:color w:val="auto"/>
        </w:rPr>
      </w:pPr>
    </w:p>
    <w:p>
      <w:pPr>
        <w:jc w:val="both"/>
        <w:ind w:left="340"/>
        <w:spacing w:after="0" w:line="324" w:lineRule="auto"/>
        <w:rPr>
          <w:sz w:val="20"/>
          <w:szCs w:val="20"/>
          <w:color w:val="auto"/>
        </w:rPr>
      </w:pPr>
      <w:r>
        <w:rPr>
          <w:rFonts w:ascii="Arial" w:cs="Arial" w:eastAsia="Arial" w:hAnsi="Arial"/>
          <w:sz w:val="18"/>
          <w:szCs w:val="18"/>
          <w:color w:val="auto"/>
        </w:rPr>
        <w:t>Other intangible assets acquired in a business acquisition are recorded at fair value and then amortized as an intangible asset on a straight-line basis over their estimated 7 to 20-year useful lives.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85" w:lineRule="exact"/>
        <w:rPr>
          <w:sz w:val="20"/>
          <w:szCs w:val="20"/>
          <w:color w:val="auto"/>
        </w:rPr>
      </w:pPr>
    </w:p>
    <w:p>
      <w:pPr>
        <w:jc w:val="both"/>
        <w:ind w:left="340"/>
        <w:spacing w:after="0" w:line="349" w:lineRule="auto"/>
        <w:rPr>
          <w:sz w:val="20"/>
          <w:szCs w:val="20"/>
          <w:color w:val="auto"/>
        </w:rPr>
      </w:pPr>
      <w:r>
        <w:rPr>
          <w:rFonts w:ascii="Arial" w:cs="Arial" w:eastAsia="Arial" w:hAnsi="Arial"/>
          <w:sz w:val="16"/>
          <w:szCs w:val="16"/>
          <w:color w:val="auto"/>
        </w:rPr>
        <w:t>Interest expense, net consists of interest on Accel’s current and prior credit facilities, amortization of financing fees, and accretion of interest on route and customer acquisition costs payable. Interest on the current credit facility is payable monthly on unpaid balances at the variable per annum LIBOR rate plus an applicable margin, as defined under the terms of the credit facility, ranging from 1.75% to 2.75% depending on the first lien net leverage ratio. Interest expense, net also consists of interest income on convertible notes from Gold Rush that bore interest at the greater of 3% per annum or Accel's borrowing rate on its credit facility through December 31, 2021, as well as interest (income) expense on the interest rate caplets.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left="340"/>
        <w:spacing w:after="0" w:line="357" w:lineRule="auto"/>
        <w:rPr>
          <w:sz w:val="20"/>
          <w:szCs w:val="20"/>
          <w:color w:val="auto"/>
        </w:rPr>
      </w:pPr>
      <w:r>
        <w:rPr>
          <w:rFonts w:ascii="Arial" w:cs="Arial" w:eastAsia="Arial" w:hAnsi="Arial"/>
          <w:sz w:val="17"/>
          <w:szCs w:val="17"/>
          <w:color w:val="auto"/>
        </w:rPr>
        <w:t>Income tax expense consists mainly of taxes payable to national, state and local authorities. Deferred income taxes are recognized for the tax consequences of temporary differences between the financial statement carrying amounts and the tax basis of the assets and liabilities.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Accel’s results of operations on a consolidated basis for the years ended December 31, 2022 and 2021:</w:t>
      </w:r>
    </w:p>
    <w:p>
      <w:pPr>
        <w:spacing w:after="0" w:line="163"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4280" w:type="dxa"/>
            <w:vAlign w:val="bottom"/>
          </w:tcPr>
          <w:p>
            <w:pPr>
              <w:ind w:left="20"/>
              <w:spacing w:after="0"/>
              <w:rPr>
                <w:sz w:val="20"/>
                <w:szCs w:val="20"/>
                <w:color w:val="auto"/>
              </w:rPr>
            </w:pPr>
            <w:r>
              <w:rPr>
                <w:rFonts w:ascii="Arial" w:cs="Arial" w:eastAsia="Arial" w:hAnsi="Arial"/>
                <w:sz w:val="14"/>
                <w:szCs w:val="14"/>
                <w:color w:val="auto"/>
              </w:rPr>
              <w:t>(in thousands, except %'s)</w:t>
            </w:r>
          </w:p>
        </w:tc>
        <w:tc>
          <w:tcPr>
            <w:tcW w:w="260" w:type="dxa"/>
            <w:vAlign w:val="bottom"/>
          </w:tcPr>
          <w:p>
            <w:pPr>
              <w:spacing w:after="0"/>
              <w:rPr>
                <w:sz w:val="16"/>
                <w:szCs w:val="16"/>
                <w:color w:val="auto"/>
              </w:rPr>
            </w:pPr>
          </w:p>
        </w:tc>
        <w:tc>
          <w:tcPr>
            <w:tcW w:w="232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6"/>
                <w:szCs w:val="16"/>
                <w:color w:val="auto"/>
              </w:rPr>
            </w:pPr>
          </w:p>
        </w:tc>
        <w:tc>
          <w:tcPr>
            <w:tcW w:w="226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Increase / Decrease</w:t>
            </w:r>
          </w:p>
        </w:tc>
      </w:tr>
      <w:tr>
        <w:trPr>
          <w:trHeight w:val="39"/>
        </w:trPr>
        <w:tc>
          <w:tcPr>
            <w:tcW w:w="4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4"/>
        </w:trPr>
        <w:tc>
          <w:tcPr>
            <w:tcW w:w="4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52"/>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6"/>
                <w:szCs w:val="16"/>
                <w:color w:val="auto"/>
              </w:rPr>
            </w:pPr>
          </w:p>
        </w:tc>
        <w:tc>
          <w:tcPr>
            <w:tcW w:w="1200" w:type="dxa"/>
            <w:vAlign w:val="bottom"/>
          </w:tcPr>
          <w:p>
            <w:pPr>
              <w:jc w:val="right"/>
              <w:ind w:right="199"/>
              <w:spacing w:after="0"/>
              <w:rPr>
                <w:sz w:val="20"/>
                <w:szCs w:val="20"/>
                <w:color w:val="auto"/>
              </w:rPr>
            </w:pPr>
            <w:r>
              <w:rPr>
                <w:rFonts w:ascii="Arial" w:cs="Arial" w:eastAsia="Arial" w:hAnsi="Arial"/>
                <w:sz w:val="14"/>
                <w:szCs w:val="14"/>
                <w:b w:val="1"/>
                <w:bCs w:val="1"/>
                <w:color w:val="auto"/>
              </w:rPr>
              <w:t>Change %</w:t>
            </w:r>
          </w:p>
        </w:tc>
      </w:tr>
      <w:tr>
        <w:trPr>
          <w:trHeight w:val="39"/>
        </w:trPr>
        <w:tc>
          <w:tcPr>
            <w:tcW w:w="4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280" w:type="dxa"/>
            <w:vAlign w:val="bottom"/>
          </w:tcPr>
          <w:p>
            <w:pPr>
              <w:ind w:left="220"/>
              <w:spacing w:after="0"/>
              <w:rPr>
                <w:sz w:val="20"/>
                <w:szCs w:val="20"/>
                <w:color w:val="auto"/>
              </w:rPr>
            </w:pPr>
            <w:r>
              <w:rPr>
                <w:rFonts w:ascii="Arial" w:cs="Arial" w:eastAsia="Arial" w:hAnsi="Arial"/>
                <w:sz w:val="18"/>
                <w:szCs w:val="18"/>
                <w:color w:val="auto"/>
              </w:rPr>
              <w:t>Net gaming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925,009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705,784</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219,225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31.1 %</w:t>
            </w:r>
          </w:p>
        </w:tc>
      </w:tr>
      <w:tr>
        <w:trPr>
          <w:trHeight w:val="27"/>
        </w:trPr>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Amusement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26.6 %</w:t>
            </w:r>
          </w:p>
        </w:tc>
      </w:tr>
      <w:tr>
        <w:trPr>
          <w:trHeight w:val="270"/>
        </w:trPr>
        <w:tc>
          <w:tcPr>
            <w:tcW w:w="4280" w:type="dxa"/>
            <w:vAlign w:val="bottom"/>
          </w:tcPr>
          <w:p>
            <w:pPr>
              <w:ind w:left="220"/>
              <w:spacing w:after="0"/>
              <w:rPr>
                <w:sz w:val="20"/>
                <w:szCs w:val="20"/>
                <w:color w:val="auto"/>
              </w:rPr>
            </w:pPr>
            <w:r>
              <w:rPr>
                <w:rFonts w:ascii="Arial" w:cs="Arial" w:eastAsia="Arial" w:hAnsi="Arial"/>
                <w:sz w:val="18"/>
                <w:szCs w:val="18"/>
                <w:color w:val="auto"/>
              </w:rPr>
              <w:t>Manufacturing</w:t>
            </w:r>
          </w:p>
        </w:tc>
        <w:tc>
          <w:tcPr>
            <w:tcW w:w="26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7,621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7,621</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70"/>
        </w:trPr>
        <w:tc>
          <w:tcPr>
            <w:tcW w:w="4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ATM fees and other revenue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16,061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12,256</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31.0 %</w:t>
            </w:r>
          </w:p>
        </w:tc>
      </w:tr>
      <w:tr>
        <w:trPr>
          <w:trHeight w:val="237"/>
        </w:trPr>
        <w:tc>
          <w:tcPr>
            <w:tcW w:w="4280" w:type="dxa"/>
            <w:vAlign w:val="bottom"/>
          </w:tcPr>
          <w:p>
            <w:pPr>
              <w:ind w:left="460"/>
              <w:spacing w:after="0"/>
              <w:rPr>
                <w:sz w:val="20"/>
                <w:szCs w:val="20"/>
                <w:color w:val="auto"/>
              </w:rPr>
            </w:pPr>
            <w:r>
              <w:rPr>
                <w:rFonts w:ascii="Arial" w:cs="Arial" w:eastAsia="Arial" w:hAnsi="Arial"/>
                <w:sz w:val="18"/>
                <w:szCs w:val="18"/>
                <w:b w:val="1"/>
                <w:bCs w:val="1"/>
                <w:color w:val="auto"/>
              </w:rPr>
              <w:t>Total net revenues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969,797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734,707</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235,090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32.0 %</w:t>
            </w:r>
          </w:p>
        </w:tc>
      </w:tr>
      <w:tr>
        <w:trPr>
          <w:trHeight w:val="27"/>
        </w:trPr>
        <w:tc>
          <w:tcPr>
            <w:tcW w:w="4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3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9"/>
        </w:trPr>
        <w:tc>
          <w:tcPr>
            <w:tcW w:w="4280" w:type="dxa"/>
            <w:vAlign w:val="bottom"/>
          </w:tcPr>
          <w:p>
            <w:pPr>
              <w:ind w:left="220"/>
              <w:spacing w:after="0"/>
              <w:rPr>
                <w:sz w:val="20"/>
                <w:szCs w:val="20"/>
                <w:color w:val="auto"/>
              </w:rPr>
            </w:pPr>
            <w:r>
              <w:rPr>
                <w:rFonts w:ascii="Arial" w:cs="Arial" w:eastAsia="Arial" w:hAnsi="Arial"/>
                <w:sz w:val="18"/>
                <w:szCs w:val="18"/>
                <w:color w:val="auto"/>
              </w:rPr>
              <w:t>Cost of revenue (exclusive of depreciation and</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7"/>
        </w:trPr>
        <w:tc>
          <w:tcPr>
            <w:tcW w:w="4280" w:type="dxa"/>
            <w:vAlign w:val="bottom"/>
          </w:tcPr>
          <w:p>
            <w:pPr>
              <w:ind w:left="220"/>
              <w:spacing w:after="0"/>
              <w:rPr>
                <w:sz w:val="20"/>
                <w:szCs w:val="20"/>
                <w:color w:val="auto"/>
              </w:rPr>
            </w:pPr>
            <w:r>
              <w:rPr>
                <w:rFonts w:ascii="Arial" w:cs="Arial" w:eastAsia="Arial" w:hAnsi="Arial"/>
                <w:sz w:val="18"/>
                <w:szCs w:val="18"/>
                <w:color w:val="auto"/>
              </w:rPr>
              <w:t>amortization expense shown below)</w:t>
            </w:r>
          </w:p>
        </w:tc>
        <w:tc>
          <w:tcPr>
            <w:tcW w:w="26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670,901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494,032</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176,869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35.8 %</w:t>
            </w:r>
          </w:p>
        </w:tc>
      </w:tr>
      <w:tr>
        <w:trPr>
          <w:trHeight w:val="270"/>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145,942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110,818</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31.7 %</w:t>
            </w:r>
          </w:p>
        </w:tc>
      </w:tr>
      <w:tr>
        <w:trPr>
          <w:trHeight w:val="229"/>
        </w:trPr>
        <w:tc>
          <w:tcPr>
            <w:tcW w:w="4280" w:type="dxa"/>
            <w:vAlign w:val="bottom"/>
          </w:tcPr>
          <w:p>
            <w:pPr>
              <w:ind w:left="220"/>
              <w:spacing w:after="0"/>
              <w:rPr>
                <w:sz w:val="20"/>
                <w:szCs w:val="20"/>
                <w:color w:val="auto"/>
              </w:rPr>
            </w:pPr>
            <w:r>
              <w:rPr>
                <w:rFonts w:ascii="Arial" w:cs="Arial" w:eastAsia="Arial" w:hAnsi="Arial"/>
                <w:sz w:val="18"/>
                <w:szCs w:val="18"/>
                <w:color w:val="auto"/>
              </w:rPr>
              <w:t>Depreciation and amortization of property and</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7"/>
        </w:trPr>
        <w:tc>
          <w:tcPr>
            <w:tcW w:w="4280" w:type="dxa"/>
            <w:vAlign w:val="bottom"/>
          </w:tcPr>
          <w:p>
            <w:pPr>
              <w:ind w:left="220"/>
              <w:spacing w:after="0"/>
              <w:rPr>
                <w:sz w:val="20"/>
                <w:szCs w:val="20"/>
                <w:color w:val="auto"/>
              </w:rPr>
            </w:pPr>
            <w:r>
              <w:rPr>
                <w:rFonts w:ascii="Arial" w:cs="Arial" w:eastAsia="Arial" w:hAnsi="Arial"/>
                <w:sz w:val="18"/>
                <w:szCs w:val="18"/>
                <w:color w:val="auto"/>
              </w:rPr>
              <w:t>equipment</w:t>
            </w:r>
          </w:p>
        </w:tc>
        <w:tc>
          <w:tcPr>
            <w:tcW w:w="26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29,295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24,636</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4,659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18.9 %</w:t>
            </w:r>
          </w:p>
        </w:tc>
      </w:tr>
      <w:tr>
        <w:trPr>
          <w:trHeight w:val="229"/>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 and route and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acquisition costs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17,484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22,040</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70"/>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expenses, net</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9,320</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12,989</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(28.2)%</w:t>
            </w:r>
          </w:p>
        </w:tc>
      </w:tr>
      <w:tr>
        <w:trPr>
          <w:trHeight w:val="263"/>
        </w:trPr>
        <w:tc>
          <w:tcPr>
            <w:tcW w:w="4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872,942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664,515</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208,427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31.4 %</w:t>
            </w:r>
          </w:p>
        </w:tc>
      </w:tr>
      <w:tr>
        <w:trPr>
          <w:trHeight w:val="264"/>
        </w:trPr>
        <w:tc>
          <w:tcPr>
            <w:tcW w:w="4280" w:type="dxa"/>
            <w:vAlign w:val="bottom"/>
          </w:tcPr>
          <w:p>
            <w:pPr>
              <w:ind w:left="46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96,855</w:t>
            </w: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70,192</w:t>
            </w:r>
          </w:p>
        </w:tc>
        <w:tc>
          <w:tcPr>
            <w:tcW w:w="1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26,663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38.0 %</w:t>
            </w: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21,637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12,702</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70.3 %</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w w:val="94"/>
              </w:rPr>
              <w:t>(Gain) loss on change in fair value of contingent earnout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7"/>
        </w:trPr>
        <w:tc>
          <w:tcPr>
            <w:tcW w:w="4280" w:type="dxa"/>
            <w:vAlign w:val="bottom"/>
          </w:tcPr>
          <w:p>
            <w:pPr>
              <w:ind w:left="20"/>
              <w:spacing w:after="0"/>
              <w:rPr>
                <w:sz w:val="20"/>
                <w:szCs w:val="20"/>
                <w:color w:val="auto"/>
              </w:rPr>
            </w:pPr>
            <w:r>
              <w:rPr>
                <w:rFonts w:ascii="Arial" w:cs="Arial" w:eastAsia="Arial" w:hAnsi="Arial"/>
                <w:sz w:val="18"/>
                <w:szCs w:val="18"/>
                <w:color w:val="auto"/>
              </w:rPr>
              <w:t>shares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(19,544)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9,762</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(29,306)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(300.2)%</w:t>
            </w: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63"/>
        </w:trPr>
        <w:tc>
          <w:tcPr>
            <w:tcW w:w="4280" w:type="dxa"/>
            <w:vAlign w:val="bottom"/>
          </w:tcPr>
          <w:p>
            <w:pPr>
              <w:ind w:left="460"/>
              <w:spacing w:after="0"/>
              <w:rPr>
                <w:sz w:val="20"/>
                <w:szCs w:val="20"/>
                <w:color w:val="auto"/>
              </w:rPr>
            </w:pPr>
            <w:r>
              <w:rPr>
                <w:rFonts w:ascii="Arial" w:cs="Arial" w:eastAsia="Arial" w:hAnsi="Arial"/>
                <w:sz w:val="18"/>
                <w:szCs w:val="18"/>
                <w:b w:val="1"/>
                <w:bCs w:val="1"/>
                <w:color w:val="auto"/>
              </w:rPr>
              <w:t>Income before income tax expense</w:t>
            </w: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94,762</w:t>
            </w: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46,576</w:t>
            </w:r>
          </w:p>
        </w:tc>
        <w:tc>
          <w:tcPr>
            <w:tcW w:w="1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48,186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103.5 %</w:t>
            </w: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20,660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15,017</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37.6 %</w:t>
            </w:r>
          </w:p>
        </w:tc>
      </w:tr>
      <w:tr>
        <w:trPr>
          <w:trHeight w:val="263"/>
        </w:trPr>
        <w:tc>
          <w:tcPr>
            <w:tcW w:w="4280" w:type="dxa"/>
            <w:vAlign w:val="bottom"/>
          </w:tcPr>
          <w:p>
            <w:pPr>
              <w:ind w:left="46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74,102</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31,559</w:t>
            </w:r>
          </w:p>
        </w:tc>
        <w:tc>
          <w:tcPr>
            <w:tcW w:w="14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(134.8)%</w:t>
            </w:r>
          </w:p>
        </w:tc>
      </w:tr>
      <w:tr>
        <w:trPr>
          <w:trHeight w:val="21"/>
        </w:trPr>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jc w:val="both"/>
        <w:ind w:firstLine="324"/>
        <w:spacing w:after="0" w:line="350" w:lineRule="auto"/>
        <w:rPr>
          <w:sz w:val="20"/>
          <w:szCs w:val="20"/>
          <w:color w:val="auto"/>
        </w:rPr>
      </w:pPr>
      <w:r>
        <w:rPr>
          <w:rFonts w:ascii="Arial" w:cs="Arial" w:eastAsia="Arial" w:hAnsi="Arial"/>
          <w:sz w:val="16"/>
          <w:szCs w:val="16"/>
          <w:color w:val="auto"/>
        </w:rPr>
        <w:t>Total net revenues for the year ended December 31, 2022 were $969.8 million, an increase of $235.1 million, or 32.0%, compared to the prior year. The increase was driven by an increase in net gaming revenue of $219.2 million, or 31.1%, manufacturing revenue of $7.6 million, an increase in amusement revenue of $4.4 million, or 26.6%, and an increase in ATM fees and other revenue of $3.8 million, or 31.0%. The increase in net gaming revenue for the year ended December 31, 2022 reflected an increase in gaming terminals and locations due primarily to the acquisition of Century. Also impacting comparability was the prior year IGB-mandated shutdown of Illinois video gaming due to the ongoing COVID-19 outbreak, which impacted 18 of the 365 gaming days (or 5% of gaming days) during the year ended December 31, 2021. Net revenues by state are presented below (in thousands):</w:t>
      </w:r>
    </w:p>
    <w:p>
      <w:pPr>
        <w:spacing w:after="0" w:line="114" w:lineRule="exact"/>
        <w:rPr>
          <w:sz w:val="20"/>
          <w:szCs w:val="20"/>
          <w:color w:val="auto"/>
        </w:rPr>
      </w:pPr>
    </w:p>
    <w:tbl>
      <w:tblPr>
        <w:tblLayout w:type="fixed"/>
        <w:tblInd w:w="228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2"/>
              </w:rPr>
              <w:t>Year Ended December 31,</w:t>
            </w:r>
          </w:p>
        </w:tc>
      </w:tr>
      <w:tr>
        <w:trPr>
          <w:trHeight w:val="27"/>
        </w:trPr>
        <w:tc>
          <w:tcPr>
            <w:tcW w:w="4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7"/>
        </w:trPr>
        <w:tc>
          <w:tcPr>
            <w:tcW w:w="4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 by state:</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4500" w:type="dxa"/>
            <w:vAlign w:val="bottom"/>
          </w:tcPr>
          <w:p>
            <w:pPr>
              <w:ind w:left="240"/>
              <w:spacing w:after="0"/>
              <w:rPr>
                <w:sz w:val="20"/>
                <w:szCs w:val="20"/>
                <w:color w:val="auto"/>
              </w:rPr>
            </w:pPr>
            <w:r>
              <w:rPr>
                <w:rFonts w:ascii="Arial" w:cs="Arial" w:eastAsia="Arial" w:hAnsi="Arial"/>
                <w:sz w:val="18"/>
                <w:szCs w:val="18"/>
                <w:color w:val="auto"/>
              </w:rPr>
              <w:t>Illinois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808,652</w:t>
            </w:r>
          </w:p>
        </w:tc>
        <w:tc>
          <w:tcPr>
            <w:tcW w:w="1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730,244</w:t>
            </w:r>
          </w:p>
        </w:tc>
      </w:tr>
      <w:tr>
        <w:trPr>
          <w:trHeight w:val="27"/>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Nevada</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66,989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500" w:type="dxa"/>
            <w:vAlign w:val="bottom"/>
          </w:tcPr>
          <w:p>
            <w:pPr>
              <w:ind w:left="240"/>
              <w:spacing w:after="0"/>
              <w:rPr>
                <w:sz w:val="20"/>
                <w:szCs w:val="20"/>
                <w:color w:val="auto"/>
              </w:rPr>
            </w:pPr>
            <w:r>
              <w:rPr>
                <w:rFonts w:ascii="Arial" w:cs="Arial" w:eastAsia="Arial" w:hAnsi="Arial"/>
                <w:sz w:val="18"/>
                <w:szCs w:val="18"/>
                <w:color w:val="auto"/>
              </w:rPr>
              <w:t>Montana</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79,639</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All other</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14,517</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4,463</w:t>
            </w:r>
          </w:p>
        </w:tc>
      </w:tr>
      <w:tr>
        <w:trPr>
          <w:trHeight w:val="236"/>
        </w:trPr>
        <w:tc>
          <w:tcPr>
            <w:tcW w:w="4500" w:type="dxa"/>
            <w:vAlign w:val="bottom"/>
          </w:tcPr>
          <w:p>
            <w:pPr>
              <w:ind w:left="480"/>
              <w:spacing w:after="0"/>
              <w:rPr>
                <w:sz w:val="20"/>
                <w:szCs w:val="20"/>
                <w:color w:val="auto"/>
              </w:rPr>
            </w:pPr>
            <w:r>
              <w:rPr>
                <w:rFonts w:ascii="Arial" w:cs="Arial" w:eastAsia="Arial" w:hAnsi="Arial"/>
                <w:sz w:val="18"/>
                <w:szCs w:val="18"/>
                <w:color w:val="auto"/>
              </w:rPr>
              <w:t>Total net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969,797</w:t>
            </w:r>
          </w:p>
        </w:tc>
        <w:tc>
          <w:tcPr>
            <w:tcW w:w="14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734,707</w:t>
            </w:r>
          </w:p>
        </w:tc>
      </w:tr>
      <w:tr>
        <w:trPr>
          <w:trHeight w:val="27"/>
        </w:trPr>
        <w:tc>
          <w:tcPr>
            <w:tcW w:w="4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4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98"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Total cost of revenue for the year ended December 31, 2022 was $670.9 million, an increase of $176.9 million, or 35.8%, compared to the prior year due primarily to higher revenue, described above.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5" w:lineRule="exact"/>
        <w:rPr>
          <w:sz w:val="20"/>
          <w:szCs w:val="20"/>
          <w:color w:val="auto"/>
        </w:rPr>
      </w:pPr>
    </w:p>
    <w:p>
      <w:pPr>
        <w:jc w:val="both"/>
        <w:ind w:firstLine="324"/>
        <w:spacing w:after="0" w:line="360" w:lineRule="auto"/>
        <w:rPr>
          <w:sz w:val="20"/>
          <w:szCs w:val="20"/>
          <w:color w:val="auto"/>
        </w:rPr>
      </w:pPr>
      <w:r>
        <w:rPr>
          <w:rFonts w:ascii="Arial" w:cs="Arial" w:eastAsia="Arial" w:hAnsi="Arial"/>
          <w:sz w:val="16"/>
          <w:szCs w:val="16"/>
          <w:color w:val="auto"/>
        </w:rPr>
        <w:t>Total general and administrative expenses for the year ended December 31, 2022 were $145.9 million, an increase of $35.1 million, or 31.7%, compared to the prior year. General and administrative expenses for the year ended December 31, 2022 reflected additional operating costs from Century and higher payroll-related costs as we continue to grow our operations as well as higher fleet-related costs, including fuel, and marketing expenses. The increase was also attributable to a reduction in our prior-year monthly expenses during the previously mentioned IGB-mandated shutdown in 2021.</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of property and equipment</w:t>
      </w:r>
    </w:p>
    <w:p>
      <w:pPr>
        <w:spacing w:after="0" w:line="198"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Depreciation and amortization of property and equipment for the year ended December 31, 2022 was $29.3 million, an increase of $4.7 million, or 18.9%, compared to the prior year, primarily due to an increased number of locations and gaming terminals. In the fourth quarter of 2021, we extended the useful lives of our gaming terminals and equipment from 10 years to 13 years. The impact of this change in estimate was a decrease in depreciation expense of $3.7 million for the year ended December 31, 2022.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 and route and customer acquisition costs</w:t>
      </w:r>
    </w:p>
    <w:p>
      <w:pPr>
        <w:spacing w:after="0" w:line="198"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8"/>
          <w:szCs w:val="18"/>
          <w:color w:val="auto"/>
        </w:rPr>
        <w:t>Amortization of intangible assets and route and customer acquisition costs for the year ended December 31, 2022 was $17.5 million, a decrease of $4.6 million, or 20.7%, compared to the prior year. In the fourth quarter of 2021, we extended the useful lives of our route and customer acquisition costs from 12.4 years to 18 years and location contracts acquired from 10 to 15 years. The impact of these changes in estimate was a decrease in amortization expense of $8.2 million for the year ended December 31, 2022. This decrease was partially offset by an increase in location contracts acquired and amortization expense on other intangible assets acquired with Century.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 net</w:t>
      </w:r>
    </w:p>
    <w:p>
      <w:pPr>
        <w:spacing w:after="0" w:line="198"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8"/>
          <w:szCs w:val="18"/>
          <w:color w:val="auto"/>
        </w:rPr>
        <w:t>Other expenses, net for the year ended December 31, 2022 were $9.3 million, a decrease of $3.7 million, or 28.2%, compared to the prior-year period. The decrease was primarily attributable to lower fair value adjustments associated with the revaluation of contingent consideration liabilities, partially offset by higher non-recurring expenses relating to lobbying efforts and new market development.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8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Interest expense, net for the year ended December 31, 2022 was $21.6 million, an increase of $8.9 million, or 70.3%, compared to the prior year primarily due to an increase in average outstanding debt and higher interest rates, partially offset by the benefit realized on our interest rate caplets. For the year ended December 31, 2022, the weighted-average interest rate was approximately 4.4% compared to the weighted-average interest rate of approximately 3.2% for the prior year.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change in fair value of contingent earnout shares</w:t>
      </w:r>
    </w:p>
    <w:p>
      <w:pPr>
        <w:spacing w:after="0" w:line="198"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Gain on change in fair value of contingent earnout shares for the year ended December 31, 2022 was $19.5 million, an increase of $29.3 million, or 300.2%, compared to the prior year which had a loss of $9.8 million. The increase was primarily due to the change in the market value of our Class A-1 common stock, which is the primary input to the valuation of the contingent earnout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debt extinguishment</w:t>
      </w:r>
    </w:p>
    <w:p>
      <w:pPr>
        <w:spacing w:after="0" w:line="198"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Loss on debt extinguishment was $1.2 million for the year ended December 31, 2021 and was recorded in connection with the entry into Amendment No.2 of our Credit Facility in October 2021. For more information on Amendment No. 2 of our Credit Facility, see the discussion within the Liquidity and Capital Resources later in this section.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98" w:lineRule="exact"/>
        <w:rPr>
          <w:sz w:val="20"/>
          <w:szCs w:val="20"/>
          <w:color w:val="auto"/>
        </w:rPr>
      </w:pPr>
    </w:p>
    <w:p>
      <w:pPr>
        <w:jc w:val="both"/>
        <w:ind w:firstLine="324"/>
        <w:spacing w:after="0" w:line="354" w:lineRule="auto"/>
        <w:rPr>
          <w:sz w:val="20"/>
          <w:szCs w:val="20"/>
          <w:color w:val="auto"/>
        </w:rPr>
      </w:pPr>
      <w:r>
        <w:rPr>
          <w:rFonts w:ascii="Arial" w:cs="Arial" w:eastAsia="Arial" w:hAnsi="Arial"/>
          <w:sz w:val="16"/>
          <w:szCs w:val="16"/>
          <w:color w:val="auto"/>
        </w:rPr>
        <w:t>Income tax expense for the year ended December 31, 2022 was $20.7 million, an increase of $5.6 million, or 37.6%, compared to $15.0 million in the prior year. The effective tax rate for the year ended December 31, 2022 was 21.8% compared to 32.2% in the prior year period. Our effective income tax rate can vary from period to period depending on, among other factors, the amount of permanent tax adjustments and discrete items. The change in the fair value of the contingent earnout shares does not create tax expense and is the primary driver for the fluctuations in the tax rate year over year.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89" w:lineRule="exact"/>
        <w:rPr>
          <w:sz w:val="20"/>
          <w:szCs w:val="20"/>
          <w:color w:val="auto"/>
        </w:rPr>
      </w:pPr>
    </w:p>
    <w:p>
      <w:pPr>
        <w:jc w:val="both"/>
        <w:ind w:firstLine="324"/>
        <w:spacing w:after="0" w:line="336" w:lineRule="auto"/>
        <w:rPr>
          <w:sz w:val="20"/>
          <w:szCs w:val="20"/>
          <w:color w:val="auto"/>
        </w:rPr>
      </w:pPr>
      <w:r>
        <w:rPr>
          <w:rFonts w:ascii="Arial" w:cs="Arial" w:eastAsia="Arial" w:hAnsi="Arial"/>
          <w:sz w:val="17"/>
          <w:szCs w:val="17"/>
          <w:color w:val="auto"/>
        </w:rPr>
        <w:t>We use statistical data and comparative information commonly used in the gaming industry to monitor the performance of the business, none of which are prepared in accordance with U.S. GAAP, and therefore should not be viewed as indicators of operational performance. Our management uses these key business metrics for financial planning, strategic planning and employee compensation decisions. The key business metrics include:</w:t>
      </w:r>
    </w:p>
    <w:p>
      <w:pPr>
        <w:spacing w:after="0" w:line="9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Number of locations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color w:val="auto"/>
        </w:rPr>
        <w:t>Number of gaming terminals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periodically review and revise our key business metrics to reflect changes in our business.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locations</w:t>
      </w:r>
    </w:p>
    <w:p>
      <w:pPr>
        <w:spacing w:after="0" w:line="185"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The number of locations is based on a combination of third-party portal data and data from our internal systems. We utilize this metric to continually monitor growth from organic openings, purchased locations, and competitor conversions. Competitor conversions occur when a location chooses to change terminal operators.</w:t>
      </w:r>
    </w:p>
    <w:p>
      <w:pPr>
        <w:spacing w:after="0" w:line="116" w:lineRule="exact"/>
        <w:rPr>
          <w:sz w:val="20"/>
          <w:szCs w:val="20"/>
          <w:color w:val="auto"/>
        </w:rPr>
      </w:pPr>
    </w:p>
    <w:p>
      <w:pPr>
        <w:jc w:val="both"/>
        <w:ind w:firstLine="324"/>
        <w:spacing w:after="0" w:line="360" w:lineRule="auto"/>
        <w:rPr>
          <w:sz w:val="20"/>
          <w:szCs w:val="20"/>
          <w:color w:val="auto"/>
        </w:rPr>
      </w:pPr>
      <w:r>
        <w:rPr>
          <w:rFonts w:ascii="Arial" w:cs="Arial" w:eastAsia="Arial" w:hAnsi="Arial"/>
          <w:sz w:val="16"/>
          <w:szCs w:val="16"/>
          <w:color w:val="auto"/>
        </w:rPr>
        <w:t>In January 2022, the IGB began enforcing the 72-hour rule. The 72-hour rule requires terminal operators to disconnect and remove their equipment from a location if there is no activity for 72 hours. In the past, we could leave our equipment if a location was temporarily closed for repairs, remodeling or an ownership change. In addition, if a location went out of business, we could remove our equipment at our convenience. The 72-hour rule accelerated all planned removals in the first quarter of 2022. This did not materially impact gaming revenue but reduced our reported number of locations in Illinois.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with respect to our primary locations:</w:t>
      </w:r>
    </w:p>
    <w:p>
      <w:pPr>
        <w:spacing w:after="0" w:line="302" w:lineRule="exact"/>
        <w:rPr>
          <w:sz w:val="20"/>
          <w:szCs w:val="20"/>
          <w:color w:val="auto"/>
        </w:rPr>
      </w:pPr>
    </w:p>
    <w:tbl>
      <w:tblPr>
        <w:tblLayout w:type="fixed"/>
        <w:tblInd w:w="178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2400" w:type="dxa"/>
            <w:vAlign w:val="bottom"/>
            <w:gridSpan w:val="4"/>
          </w:tcPr>
          <w:p>
            <w:pPr>
              <w:ind w:left="400"/>
              <w:spacing w:after="0"/>
              <w:rPr>
                <w:sz w:val="20"/>
                <w:szCs w:val="20"/>
                <w:color w:val="auto"/>
              </w:rPr>
            </w:pPr>
            <w:r>
              <w:rPr>
                <w:rFonts w:ascii="Arial" w:cs="Arial" w:eastAsia="Arial" w:hAnsi="Arial"/>
                <w:sz w:val="18"/>
                <w:szCs w:val="18"/>
                <w:b w:val="1"/>
                <w:bCs w:val="1"/>
                <w:color w:val="auto"/>
              </w:rPr>
              <w:t>As of December 31,</w:t>
            </w:r>
          </w:p>
        </w:tc>
        <w:tc>
          <w:tcPr>
            <w:tcW w:w="244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Increase / (Decrease)</w:t>
            </w:r>
          </w:p>
        </w:tc>
      </w:tr>
      <w:tr>
        <w:trPr>
          <w:trHeight w:val="27"/>
        </w:trPr>
        <w:tc>
          <w:tcPr>
            <w:tcW w:w="28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84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Change %</w:t>
            </w:r>
          </w:p>
        </w:tc>
      </w:tr>
      <w:tr>
        <w:trPr>
          <w:trHeight w:val="27"/>
        </w:trPr>
        <w:tc>
          <w:tcPr>
            <w:tcW w:w="28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Montana</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610</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7"/>
        </w:trPr>
        <w:tc>
          <w:tcPr>
            <w:tcW w:w="2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64"/>
        </w:trPr>
        <w:tc>
          <w:tcPr>
            <w:tcW w:w="2840" w:type="dxa"/>
            <w:vAlign w:val="bottom"/>
          </w:tcPr>
          <w:p>
            <w:pPr>
              <w:ind w:left="140"/>
              <w:spacing w:after="0"/>
              <w:rPr>
                <w:sz w:val="20"/>
                <w:szCs w:val="20"/>
                <w:color w:val="auto"/>
              </w:rPr>
            </w:pPr>
            <w:r>
              <w:rPr>
                <w:rFonts w:ascii="Arial" w:cs="Arial" w:eastAsia="Arial" w:hAnsi="Arial"/>
                <w:sz w:val="18"/>
                <w:szCs w:val="18"/>
                <w:color w:val="auto"/>
              </w:rPr>
              <w:t>Total locations</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3,598</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2,584</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39.2 %</w:t>
            </w:r>
          </w:p>
        </w:tc>
      </w:tr>
      <w:tr>
        <w:trPr>
          <w:trHeight w:val="20"/>
        </w:trPr>
        <w:tc>
          <w:tcPr>
            <w:tcW w:w="2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gaming terminals</w:t>
      </w:r>
    </w:p>
    <w:p>
      <w:pPr>
        <w:spacing w:after="0" w:line="185" w:lineRule="exact"/>
        <w:rPr>
          <w:sz w:val="20"/>
          <w:szCs w:val="20"/>
          <w:color w:val="auto"/>
        </w:rPr>
      </w:pPr>
    </w:p>
    <w:p>
      <w:pPr>
        <w:ind w:firstLine="324"/>
        <w:spacing w:after="0" w:line="324" w:lineRule="auto"/>
        <w:rPr>
          <w:sz w:val="20"/>
          <w:szCs w:val="20"/>
          <w:color w:val="auto"/>
        </w:rPr>
      </w:pPr>
      <w:r>
        <w:rPr>
          <w:rFonts w:ascii="Arial" w:cs="Arial" w:eastAsia="Arial" w:hAnsi="Arial"/>
          <w:sz w:val="18"/>
          <w:szCs w:val="18"/>
          <w:color w:val="auto"/>
        </w:rPr>
        <w:t>The number of gaming terminals in operation is based on a combination of third-party portal data and data from our internal systems. We utilize this metric to continually monitor growth from existing locations, organic openings, purchased locations, and competitor conversions.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As a result of the previously mentioned 72-hour rule, the removal of gaming terminals did not materially impact gaming revenue but reduced our reported number of gaming terminals.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with respect to the number of gaming terminals in our primary locations:</w:t>
      </w:r>
    </w:p>
    <w:p>
      <w:pPr>
        <w:spacing w:after="0" w:line="221"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2420" w:type="dxa"/>
            <w:vAlign w:val="bottom"/>
            <w:gridSpan w:val="4"/>
          </w:tcPr>
          <w:p>
            <w:pPr>
              <w:ind w:left="400"/>
              <w:spacing w:after="0"/>
              <w:rPr>
                <w:sz w:val="20"/>
                <w:szCs w:val="20"/>
                <w:color w:val="auto"/>
              </w:rPr>
            </w:pPr>
            <w:r>
              <w:rPr>
                <w:rFonts w:ascii="Arial" w:cs="Arial" w:eastAsia="Arial" w:hAnsi="Arial"/>
                <w:sz w:val="18"/>
                <w:szCs w:val="18"/>
                <w:b w:val="1"/>
                <w:bCs w:val="1"/>
                <w:color w:val="auto"/>
              </w:rPr>
              <w:t>As of December 31,</w:t>
            </w:r>
          </w:p>
        </w:tc>
        <w:tc>
          <w:tcPr>
            <w:tcW w:w="242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Increase / (Decrease)</w:t>
            </w:r>
          </w:p>
        </w:tc>
      </w:tr>
      <w:tr>
        <w:trPr>
          <w:trHeight w:val="27"/>
        </w:trPr>
        <w:tc>
          <w:tcPr>
            <w:tcW w:w="28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Change %</w:t>
            </w:r>
          </w:p>
        </w:tc>
      </w:tr>
      <w:tr>
        <w:trPr>
          <w:trHeight w:val="27"/>
        </w:trPr>
        <w:tc>
          <w:tcPr>
            <w:tcW w:w="28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13,639</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Montana</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6,108</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6,108</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7"/>
        </w:trPr>
        <w:tc>
          <w:tcPr>
            <w:tcW w:w="2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2,645</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63"/>
        </w:trPr>
        <w:tc>
          <w:tcPr>
            <w:tcW w:w="2820" w:type="dxa"/>
            <w:vAlign w:val="bottom"/>
          </w:tcPr>
          <w:p>
            <w:pPr>
              <w:ind w:left="20"/>
              <w:spacing w:after="0"/>
              <w:rPr>
                <w:sz w:val="20"/>
                <w:szCs w:val="20"/>
                <w:color w:val="auto"/>
              </w:rPr>
            </w:pPr>
            <w:r>
              <w:rPr>
                <w:rFonts w:ascii="Arial" w:cs="Arial" w:eastAsia="Arial" w:hAnsi="Arial"/>
                <w:sz w:val="18"/>
                <w:szCs w:val="18"/>
                <w:color w:val="auto"/>
              </w:rPr>
              <w:t>Total gaming terminals</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23,150</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13,639</w:t>
            </w:r>
          </w:p>
        </w:tc>
        <w:tc>
          <w:tcPr>
            <w:tcW w:w="14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69.7 %</w:t>
            </w:r>
          </w:p>
        </w:tc>
      </w:tr>
      <w:tr>
        <w:trPr>
          <w:trHeight w:val="21"/>
        </w:trPr>
        <w:tc>
          <w:tcPr>
            <w:tcW w:w="2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02" w:lineRule="exact"/>
        <w:rPr>
          <w:sz w:val="20"/>
          <w:szCs w:val="20"/>
          <w:color w:val="auto"/>
        </w:rPr>
      </w:pPr>
    </w:p>
    <w:p>
      <w:pPr>
        <w:jc w:val="both"/>
        <w:ind w:firstLine="324"/>
        <w:spacing w:after="0" w:line="326" w:lineRule="auto"/>
        <w:rPr>
          <w:sz w:val="20"/>
          <w:szCs w:val="20"/>
          <w:color w:val="auto"/>
        </w:rPr>
      </w:pPr>
      <w:r>
        <w:rPr>
          <w:rFonts w:ascii="Arial" w:cs="Arial" w:eastAsia="Arial" w:hAnsi="Arial"/>
          <w:sz w:val="17"/>
          <w:szCs w:val="17"/>
          <w:color w:val="auto"/>
        </w:rPr>
        <w:t>Adjusted EBITDA and Adjusted net income are non-GAAP financial measures and are key metrics used to monitor ongoing core operations. Management believes Adjusted EBITDA and Adjusted net income enhance the understanding of Accel’s underlying drivers of profitability and trends in Accel’s business and facilitate company-to-company and period-to-period comparisons, because these non-GAAP financial measures exclude the effects of certain non-cash items or represent certain nonrecurring items that are unrelated to core performance. Management also believes that these non-GAAP financial measures are used by investors, analysts and other interested parties as measures of financial performance and to evaluate Accel’s ability to fund capital expenditures, service debt obligations and meet working capital requirements.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Adjusted net income and Adjusted EBITDA</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65"/>
        </w:trPr>
        <w:tc>
          <w:tcPr>
            <w:tcW w:w="780" w:type="dxa"/>
            <w:vAlign w:val="bottom"/>
          </w:tcPr>
          <w:p>
            <w:pPr>
              <w:spacing w:after="0"/>
              <w:rPr>
                <w:sz w:val="24"/>
                <w:szCs w:val="24"/>
                <w:color w:val="auto"/>
              </w:rPr>
            </w:pPr>
          </w:p>
        </w:tc>
        <w:tc>
          <w:tcPr>
            <w:tcW w:w="43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4"/>
                <w:szCs w:val="24"/>
                <w:color w:val="auto"/>
              </w:rPr>
            </w:pPr>
          </w:p>
        </w:tc>
        <w:tc>
          <w:tcPr>
            <w:tcW w:w="2400" w:type="dxa"/>
            <w:vAlign w:val="bottom"/>
            <w:gridSpan w:val="5"/>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24"/>
                <w:szCs w:val="24"/>
                <w:color w:val="auto"/>
              </w:rPr>
            </w:pPr>
          </w:p>
        </w:tc>
        <w:tc>
          <w:tcPr>
            <w:tcW w:w="228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Increase / (Decrease)</w:t>
            </w:r>
          </w:p>
        </w:tc>
      </w:tr>
      <w:tr>
        <w:trPr>
          <w:trHeight w:val="27"/>
        </w:trPr>
        <w:tc>
          <w:tcPr>
            <w:tcW w:w="7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8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140" w:type="dxa"/>
            <w:vAlign w:val="bottom"/>
          </w:tcPr>
          <w:p>
            <w:pPr>
              <w:spacing w:after="0"/>
              <w:rPr>
                <w:sz w:val="22"/>
                <w:szCs w:val="22"/>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 %</w:t>
            </w:r>
          </w:p>
        </w:tc>
      </w:tr>
      <w:tr>
        <w:trPr>
          <w:trHeight w:val="250"/>
        </w:trPr>
        <w:tc>
          <w:tcPr>
            <w:tcW w:w="78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780" w:type="dxa"/>
            <w:vAlign w:val="bottom"/>
          </w:tcPr>
          <w:p>
            <w:pPr>
              <w:spacing w:after="0"/>
              <w:rPr>
                <w:sz w:val="23"/>
                <w:szCs w:val="23"/>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74,102</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31,559</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134.8 %</w:t>
            </w:r>
          </w:p>
        </w:tc>
      </w:tr>
      <w:tr>
        <w:trPr>
          <w:trHeight w:val="243"/>
        </w:trPr>
        <w:tc>
          <w:tcPr>
            <w:tcW w:w="780" w:type="dxa"/>
            <w:vAlign w:val="bottom"/>
          </w:tcPr>
          <w:p>
            <w:pPr>
              <w:spacing w:after="0"/>
              <w:rPr>
                <w:sz w:val="21"/>
                <w:szCs w:val="21"/>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3"/>
        </w:trPr>
        <w:tc>
          <w:tcPr>
            <w:tcW w:w="78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Amortization of intangible assets and route and customer</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63"/>
        </w:trPr>
        <w:tc>
          <w:tcPr>
            <w:tcW w:w="780" w:type="dxa"/>
            <w:vAlign w:val="bottom"/>
          </w:tcPr>
          <w:p>
            <w:pPr>
              <w:spacing w:after="0"/>
              <w:rPr>
                <w:sz w:val="22"/>
                <w:szCs w:val="22"/>
                <w:color w:val="auto"/>
              </w:rPr>
            </w:pPr>
          </w:p>
        </w:tc>
        <w:tc>
          <w:tcPr>
            <w:tcW w:w="434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acquisition costs</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17,484</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22,040</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70"/>
        </w:trPr>
        <w:tc>
          <w:tcPr>
            <w:tcW w:w="780" w:type="dxa"/>
            <w:vAlign w:val="bottom"/>
          </w:tcPr>
          <w:p>
            <w:pPr>
              <w:spacing w:after="0"/>
              <w:rPr>
                <w:sz w:val="23"/>
                <w:szCs w:val="23"/>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Stock-based compensation</w:t>
            </w:r>
            <w:r>
              <w:rPr>
                <w:rFonts w:ascii="Arial" w:cs="Arial" w:eastAsia="Arial" w:hAnsi="Arial"/>
                <w:sz w:val="9"/>
                <w:szCs w:val="9"/>
                <w:color w:val="auto"/>
              </w:rPr>
              <w:t>(2)</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6,840</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6.8 %</w:t>
            </w:r>
          </w:p>
        </w:tc>
      </w:tr>
      <w:tr>
        <w:trPr>
          <w:trHeight w:val="229"/>
        </w:trPr>
        <w:tc>
          <w:tcPr>
            <w:tcW w:w="78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(Gain) loss on change in fair value of contingent earnout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780" w:type="dxa"/>
            <w:vAlign w:val="bottom"/>
          </w:tcPr>
          <w:p>
            <w:pPr>
              <w:spacing w:after="0"/>
              <w:rPr>
                <w:sz w:val="22"/>
                <w:szCs w:val="22"/>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w:t>
            </w:r>
            <w:r>
              <w:rPr>
                <w:rFonts w:ascii="Arial" w:cs="Arial" w:eastAsia="Arial" w:hAnsi="Arial"/>
                <w:sz w:val="9"/>
                <w:szCs w:val="9"/>
                <w:color w:val="auto"/>
              </w:rPr>
              <w:t>(3)</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(19,544)</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(300.2)%</w:t>
            </w:r>
          </w:p>
        </w:tc>
      </w:tr>
      <w:tr>
        <w:trPr>
          <w:trHeight w:val="270"/>
        </w:trPr>
        <w:tc>
          <w:tcPr>
            <w:tcW w:w="780" w:type="dxa"/>
            <w:vAlign w:val="bottom"/>
          </w:tcPr>
          <w:p>
            <w:pPr>
              <w:spacing w:after="0"/>
              <w:rPr>
                <w:sz w:val="23"/>
                <w:szCs w:val="23"/>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Other expenses, net</w:t>
            </w:r>
            <w:r>
              <w:rPr>
                <w:rFonts w:ascii="Arial" w:cs="Arial" w:eastAsia="Arial" w:hAnsi="Arial"/>
                <w:sz w:val="9"/>
                <w:szCs w:val="9"/>
                <w:color w:val="auto"/>
              </w:rPr>
              <w:t>(4)</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9,320</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12,989</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(3,669)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(28.2)%</w:t>
            </w:r>
          </w:p>
        </w:tc>
      </w:tr>
      <w:tr>
        <w:trPr>
          <w:trHeight w:val="270"/>
        </w:trPr>
        <w:tc>
          <w:tcPr>
            <w:tcW w:w="780" w:type="dxa"/>
            <w:vAlign w:val="bottom"/>
          </w:tcPr>
          <w:p>
            <w:pPr>
              <w:spacing w:after="0"/>
              <w:rPr>
                <w:sz w:val="23"/>
                <w:szCs w:val="23"/>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effect of adjustments</w:t>
            </w:r>
            <w:r>
              <w:rPr>
                <w:rFonts w:ascii="Arial" w:cs="Arial" w:eastAsia="Arial" w:hAnsi="Arial"/>
                <w:sz w:val="9"/>
                <w:szCs w:val="9"/>
                <w:color w:val="auto"/>
              </w:rPr>
              <w:t>(5)</w:t>
            </w: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37"/>
        </w:trPr>
        <w:tc>
          <w:tcPr>
            <w:tcW w:w="78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79,875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71,407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8,468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11.9 %</w:t>
            </w:r>
          </w:p>
        </w:tc>
      </w:tr>
      <w:tr>
        <w:trPr>
          <w:trHeight w:val="27"/>
        </w:trPr>
        <w:tc>
          <w:tcPr>
            <w:tcW w:w="7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80" w:type="dxa"/>
            <w:vAlign w:val="bottom"/>
          </w:tcPr>
          <w:p>
            <w:pPr>
              <w:spacing w:after="0"/>
              <w:rPr>
                <w:sz w:val="23"/>
                <w:szCs w:val="23"/>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Depreciation and amortization of property and equipment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29,295</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24,636</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18.9 %</w:t>
            </w:r>
          </w:p>
        </w:tc>
      </w:tr>
      <w:tr>
        <w:trPr>
          <w:trHeight w:val="270"/>
        </w:trPr>
        <w:tc>
          <w:tcPr>
            <w:tcW w:w="780" w:type="dxa"/>
            <w:vAlign w:val="bottom"/>
          </w:tcPr>
          <w:p>
            <w:pPr>
              <w:spacing w:after="0"/>
              <w:rPr>
                <w:sz w:val="23"/>
                <w:szCs w:val="23"/>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21,637</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12,702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8,935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70.3 %</w:t>
            </w:r>
          </w:p>
        </w:tc>
      </w:tr>
      <w:tr>
        <w:trPr>
          <w:trHeight w:val="270"/>
        </w:trPr>
        <w:tc>
          <w:tcPr>
            <w:tcW w:w="780" w:type="dxa"/>
            <w:vAlign w:val="bottom"/>
          </w:tcPr>
          <w:p>
            <w:pPr>
              <w:spacing w:after="0"/>
              <w:rPr>
                <w:sz w:val="23"/>
                <w:szCs w:val="23"/>
                <w:color w:val="auto"/>
              </w:rPr>
            </w:pP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markets</w:t>
            </w:r>
            <w:r>
              <w:rPr>
                <w:rFonts w:ascii="Arial" w:cs="Arial" w:eastAsia="Arial" w:hAnsi="Arial"/>
                <w:sz w:val="23"/>
                <w:szCs w:val="23"/>
                <w:color w:val="auto"/>
                <w:vertAlign w:val="superscript"/>
              </w:rPr>
              <w:t>(6)</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70"/>
        </w:trPr>
        <w:tc>
          <w:tcPr>
            <w:tcW w:w="780" w:type="dxa"/>
            <w:vAlign w:val="bottom"/>
          </w:tcPr>
          <w:p>
            <w:pPr>
              <w:spacing w:after="0"/>
              <w:rPr>
                <w:sz w:val="23"/>
                <w:szCs w:val="23"/>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28,987</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26,363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0"/>
        </w:trPr>
        <w:tc>
          <w:tcPr>
            <w:tcW w:w="780" w:type="dxa"/>
            <w:vAlign w:val="bottom"/>
          </w:tcPr>
          <w:p>
            <w:pPr>
              <w:spacing w:after="0"/>
              <w:rPr>
                <w:sz w:val="23"/>
                <w:szCs w:val="23"/>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63"/>
        </w:trPr>
        <w:tc>
          <w:tcPr>
            <w:tcW w:w="780" w:type="dxa"/>
            <w:vAlign w:val="bottom"/>
          </w:tcPr>
          <w:p>
            <w:pPr>
              <w:spacing w:after="0"/>
              <w:rPr>
                <w:sz w:val="22"/>
                <w:szCs w:val="22"/>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162,392</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139,663</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16.3 %</w:t>
            </w:r>
          </w:p>
        </w:tc>
      </w:tr>
      <w:tr>
        <w:trPr>
          <w:trHeight w:val="21"/>
        </w:trPr>
        <w:tc>
          <w:tcPr>
            <w:tcW w:w="7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left="740" w:hanging="327"/>
        <w:spacing w:after="0" w:line="301" w:lineRule="auto"/>
        <w:tabs>
          <w:tab w:leader="none" w:pos="727" w:val="left"/>
        </w:tabs>
        <w:numPr>
          <w:ilvl w:val="0"/>
          <w:numId w:val="25"/>
        </w:numPr>
        <w:rPr>
          <w:rFonts w:ascii="Arial" w:cs="Arial" w:eastAsia="Arial" w:hAnsi="Arial"/>
          <w:sz w:val="17"/>
          <w:szCs w:val="17"/>
          <w:color w:val="auto"/>
          <w:vertAlign w:val="superscript"/>
        </w:rPr>
      </w:pPr>
      <w:r>
        <w:rPr>
          <w:rFonts w:ascii="Arial" w:cs="Arial" w:eastAsia="Arial" w:hAnsi="Arial"/>
          <w:sz w:val="13"/>
          <w:szCs w:val="13"/>
          <w:color w:val="auto"/>
        </w:rPr>
        <w:t>Amortization of intangible assets and route and customer acquisition costs consist of upfront cash payments and future cash payments to third-party sales agents to acquire the location partners that are not connected with a business acquisition, as well as the amortization of other intangible assets. Accel amortizes the upfront cash payment over the life of the contract, including expected renewals, beginning on the date the location goes live, and recognizes non-cash amortization charges with respect to such items. Future or deferred</w:t>
      </w:r>
    </w:p>
    <w:p>
      <w:pPr>
        <w:jc w:val="both"/>
        <w:ind w:left="740"/>
        <w:spacing w:after="0" w:line="360" w:lineRule="auto"/>
        <w:rPr>
          <w:rFonts w:ascii="Arial" w:cs="Arial" w:eastAsia="Arial" w:hAnsi="Arial"/>
          <w:sz w:val="17"/>
          <w:szCs w:val="17"/>
          <w:color w:val="auto"/>
          <w:vertAlign w:val="superscript"/>
        </w:rPr>
      </w:pPr>
      <w:r>
        <w:rPr>
          <w:rFonts w:ascii="Arial" w:cs="Arial" w:eastAsia="Arial" w:hAnsi="Arial"/>
          <w:sz w:val="12"/>
          <w:szCs w:val="12"/>
          <w:color w:val="auto"/>
        </w:rPr>
        <w:t>cash payments, which may occur based on terms of the underlying contract, are generally lower in the aggregate as compared to established practice of providing higher upfront payments, and are also capitalized and amortized over the remaining life of the contract. Future cash payments do not include cash costs associated with renewing customer contracts as Accel does not generally incur significant costs as a result of extension or renewal of an existing contract. Location contracts acquired in a business combination are recorded at</w:t>
      </w:r>
    </w:p>
    <w:p>
      <w:pPr>
        <w:ind w:left="740"/>
        <w:spacing w:after="0" w:line="333" w:lineRule="auto"/>
        <w:rPr>
          <w:rFonts w:ascii="Arial" w:cs="Arial" w:eastAsia="Arial" w:hAnsi="Arial"/>
          <w:sz w:val="17"/>
          <w:szCs w:val="17"/>
          <w:color w:val="auto"/>
          <w:vertAlign w:val="superscript"/>
        </w:rPr>
      </w:pPr>
      <w:r>
        <w:rPr>
          <w:rFonts w:ascii="Arial" w:cs="Arial" w:eastAsia="Arial" w:hAnsi="Arial"/>
          <w:sz w:val="14"/>
          <w:szCs w:val="14"/>
          <w:color w:val="auto"/>
        </w:rPr>
        <w:t>fair value as part of the business combination accounting and then amortized as an intangible asset on a straight-line basis over the expected useful life of the contract of 15 years. “Amortization of intangible assets and route and customer acquisition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740"/>
        <w:spacing w:after="0" w:line="308" w:lineRule="auto"/>
        <w:rPr>
          <w:sz w:val="20"/>
          <w:szCs w:val="20"/>
          <w:color w:val="auto"/>
        </w:rPr>
      </w:pPr>
      <w:r>
        <w:rPr>
          <w:rFonts w:ascii="Arial" w:cs="Arial" w:eastAsia="Arial" w:hAnsi="Arial"/>
          <w:sz w:val="14"/>
          <w:szCs w:val="14"/>
          <w:color w:val="auto"/>
        </w:rPr>
        <w:t>costs” aggregates the non-cash amortization charges relating to upfront route and customer acquisition cost payments and location contracts acquired, as well as the amortization of other intangible assets.</w:t>
      </w:r>
    </w:p>
    <w:p>
      <w:pPr>
        <w:ind w:left="720" w:hanging="307"/>
        <w:spacing w:after="0" w:line="205" w:lineRule="auto"/>
        <w:tabs>
          <w:tab w:leader="none" w:pos="720"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Stock-based compensation consists of options, restricted stock units and warrants.</w:t>
      </w:r>
    </w:p>
    <w:p>
      <w:pPr>
        <w:spacing w:after="0" w:line="33" w:lineRule="exact"/>
        <w:rPr>
          <w:rFonts w:ascii="Arial" w:cs="Arial" w:eastAsia="Arial" w:hAnsi="Arial"/>
          <w:sz w:val="19"/>
          <w:szCs w:val="19"/>
          <w:color w:val="auto"/>
          <w:vertAlign w:val="superscript"/>
        </w:rPr>
      </w:pPr>
    </w:p>
    <w:p>
      <w:pPr>
        <w:ind w:left="740" w:hanging="327"/>
        <w:spacing w:after="0" w:line="279" w:lineRule="auto"/>
        <w:tabs>
          <w:tab w:leader="none" w:pos="727" w:val="left"/>
        </w:tabs>
        <w:numPr>
          <w:ilvl w:val="0"/>
          <w:numId w:val="26"/>
        </w:numPr>
        <w:rPr>
          <w:rFonts w:ascii="Arial" w:cs="Arial" w:eastAsia="Arial" w:hAnsi="Arial"/>
          <w:sz w:val="17"/>
          <w:szCs w:val="17"/>
          <w:color w:val="auto"/>
          <w:vertAlign w:val="superscript"/>
        </w:rPr>
      </w:pPr>
      <w:r>
        <w:rPr>
          <w:rFonts w:ascii="Arial" w:cs="Arial" w:eastAsia="Arial" w:hAnsi="Arial"/>
          <w:sz w:val="13"/>
          <w:szCs w:val="13"/>
          <w:color w:val="auto"/>
        </w:rPr>
        <w:t>(Gain) loss on change in fair value of contingent earnout shares represents a non-cash fair value adjustment at each reporting period end related to the value of these contingent shares. Upon achieving such contingency, shares of Class A-2 common stock convert to Class A-1 common stock resulting in a non-cash settlement of the obligation.</w:t>
      </w:r>
    </w:p>
    <w:p>
      <w:pPr>
        <w:spacing w:after="0" w:line="5" w:lineRule="exact"/>
        <w:rPr>
          <w:rFonts w:ascii="Arial" w:cs="Arial" w:eastAsia="Arial" w:hAnsi="Arial"/>
          <w:sz w:val="17"/>
          <w:szCs w:val="17"/>
          <w:color w:val="auto"/>
          <w:vertAlign w:val="superscript"/>
        </w:rPr>
      </w:pPr>
    </w:p>
    <w:p>
      <w:pPr>
        <w:ind w:left="740" w:hanging="327"/>
        <w:spacing w:after="0" w:line="247" w:lineRule="auto"/>
        <w:tabs>
          <w:tab w:leader="none" w:pos="727"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Other expenses, net consists of (i) non-cash expenses including the remeasurement of contingent consideration liabilities, (ii) non-recurring lobbying and legal expenses related to distributed gaming expansion in current or prospective markets, (iii) non-recurring costs associated with COVID-19 and (iv) other non-recurring expenses.</w:t>
      </w:r>
    </w:p>
    <w:p>
      <w:pPr>
        <w:ind w:left="720" w:hanging="307"/>
        <w:spacing w:after="0" w:line="237" w:lineRule="auto"/>
        <w:tabs>
          <w:tab w:leader="none" w:pos="720"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Calculated by excluding the impact of the non-GAAP adjustments from the current period tax provision calculations.</w:t>
      </w:r>
    </w:p>
    <w:p>
      <w:pPr>
        <w:spacing w:after="0" w:line="32" w:lineRule="exact"/>
        <w:rPr>
          <w:rFonts w:ascii="Arial" w:cs="Arial" w:eastAsia="Arial" w:hAnsi="Arial"/>
          <w:sz w:val="19"/>
          <w:szCs w:val="19"/>
          <w:color w:val="auto"/>
          <w:vertAlign w:val="superscript"/>
        </w:rPr>
      </w:pPr>
    </w:p>
    <w:p>
      <w:pPr>
        <w:ind w:left="740" w:right="60" w:hanging="327"/>
        <w:spacing w:after="0" w:line="282" w:lineRule="auto"/>
        <w:tabs>
          <w:tab w:leader="none" w:pos="727" w:val="left"/>
        </w:tabs>
        <w:numPr>
          <w:ilvl w:val="0"/>
          <w:numId w:val="26"/>
        </w:numPr>
        <w:rPr>
          <w:rFonts w:ascii="Arial" w:cs="Arial" w:eastAsia="Arial" w:hAnsi="Arial"/>
          <w:sz w:val="17"/>
          <w:szCs w:val="17"/>
          <w:color w:val="auto"/>
          <w:vertAlign w:val="superscript"/>
        </w:rPr>
      </w:pPr>
      <w:r>
        <w:rPr>
          <w:rFonts w:ascii="Arial" w:cs="Arial" w:eastAsia="Arial" w:hAnsi="Arial"/>
          <w:sz w:val="13"/>
          <w:szCs w:val="13"/>
          <w:color w:val="auto"/>
        </w:rPr>
        <w:t>Emerging markets consist of the results, on an Adjusted EBITDA basis, for non-core jurisdictions where our operations are developing. Markets are no longer considered emerging when Accel has installed or acquired at least 500 gaming terminals in the jurisdiction, or when 24 months have elapsed from the date Accel first installs or acquires gaming terminals</w:t>
      </w:r>
    </w:p>
    <w:p>
      <w:pPr>
        <w:spacing w:after="0" w:line="1" w:lineRule="exact"/>
        <w:rPr>
          <w:rFonts w:ascii="Arial" w:cs="Arial" w:eastAsia="Arial" w:hAnsi="Arial"/>
          <w:sz w:val="17"/>
          <w:szCs w:val="17"/>
          <w:color w:val="auto"/>
          <w:vertAlign w:val="superscript"/>
        </w:rPr>
      </w:pPr>
    </w:p>
    <w:p>
      <w:pPr>
        <w:ind w:left="740" w:right="200"/>
        <w:spacing w:after="0" w:line="333" w:lineRule="auto"/>
        <w:rPr>
          <w:rFonts w:ascii="Arial" w:cs="Arial" w:eastAsia="Arial" w:hAnsi="Arial"/>
          <w:sz w:val="17"/>
          <w:szCs w:val="17"/>
          <w:color w:val="auto"/>
          <w:vertAlign w:val="superscript"/>
        </w:rPr>
      </w:pPr>
      <w:r>
        <w:rPr>
          <w:rFonts w:ascii="Arial" w:cs="Arial" w:eastAsia="Arial" w:hAnsi="Arial"/>
          <w:sz w:val="14"/>
          <w:szCs w:val="14"/>
          <w:color w:val="auto"/>
        </w:rPr>
        <w:t>in the jurisdiction, whichever occurs first. The Company currently views Nebraska, Iowa and Pennsylvania as its emerging markets. Prior to July 2022, Georgia was considered an emerging market.</w:t>
      </w:r>
    </w:p>
    <w:p>
      <w:pPr>
        <w:spacing w:after="0" w:line="1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Adjusted EBITDA for the year ended December 31, 2022 was $162.4 million, an increase of $22.7 million, or 16.3%, compared to the prior year. The increase in performance was attributable to an increase in the number of locations and gaming terminals, due primarily to the acquisition of Century. Also impacting the year-over-year comparison was the absence of the previously mentioned IGB-mandated shutdown of Illinois video gaming due to the ongoing COVID-19 outbreak that impacted our performance in the prior-year period.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8"/>
          <w:szCs w:val="18"/>
          <w:color w:val="auto"/>
        </w:rPr>
        <w:t>In order to maintain sufficient liquidity, we review our cash flow projections and available funds with our Board of Directors to consider modifying our capital structure and seeking additional sources of liquidity, if needed. The availability of additional liquidity options will depend on the economic and financial environment, our creditworthiness, our historical and projected financial and operating performance, and our continued compliance with financial covenants. As a result of possible future economic, financial and operating declines, possible declines in our creditworthiness and potential non-compliance with financial covenants, we may have less liquidity than anticipated, fewer sources of liquidity than anticipated, less attractive financing terms and less flexibility in determining when and how to use the liquidity that is available.</w:t>
      </w:r>
    </w:p>
    <w:p>
      <w:pPr>
        <w:spacing w:after="0" w:line="136"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7"/>
          <w:szCs w:val="17"/>
          <w:color w:val="auto"/>
        </w:rPr>
        <w:t>We believe that our cash and cash equivalents, cash flows from operations and borrowing availability under our senior secured credit facility will be sufficient to meet our capital requirements for the next twelve months. Our primary short-term cash needs are paying operating expenses, contingent earnout payments and equipment purchase commitments, servicing outstanding indebtedness, and funding our Board of Directors approved share repurchase program and near-term acquisitions. As of December 31, 2022, we had $224.1 million in cash and cash equivalents.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98" w:lineRule="exact"/>
        <w:rPr>
          <w:sz w:val="20"/>
          <w:szCs w:val="20"/>
          <w:color w:val="auto"/>
        </w:rPr>
      </w:pPr>
    </w:p>
    <w:p>
      <w:pPr>
        <w:jc w:val="both"/>
        <w:ind w:firstLine="324"/>
        <w:spacing w:after="0" w:line="354" w:lineRule="auto"/>
        <w:rPr>
          <w:sz w:val="20"/>
          <w:szCs w:val="20"/>
          <w:color w:val="auto"/>
        </w:rPr>
      </w:pPr>
      <w:r>
        <w:rPr>
          <w:rFonts w:ascii="Arial" w:cs="Arial" w:eastAsia="Arial" w:hAnsi="Arial"/>
          <w:sz w:val="16"/>
          <w:szCs w:val="16"/>
          <w:color w:val="auto"/>
        </w:rPr>
        <w:t>On November 13, 2019, in order to refinance our prior credit facility, for working capital and other general purposes, we entered into a credit agreement (as amended, the “Credit Agreement”) as borrower, Accel and our wholly-owned domestic subsidiaries, as a guarantor,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spacing w:after="0" w:line="89" w:lineRule="exact"/>
        <w:rPr>
          <w:sz w:val="20"/>
          <w:szCs w:val="20"/>
          <w:color w:val="auto"/>
        </w:rPr>
      </w:pPr>
    </w:p>
    <w:p>
      <w:pPr>
        <w:ind w:left="660" w:right="20" w:hanging="328"/>
        <w:spacing w:after="0" w:line="324"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$100.0 million revolving credit facility, including a letter of credit facility with a $10.0 million sublimit and a swing line facility with a $10.0 million sublimit,</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$240.0 million initial term loan facility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$125.0 million additional term loan facility.</w:t>
      </w:r>
    </w:p>
    <w:p>
      <w:pPr>
        <w:spacing w:after="0" w:line="198" w:lineRule="exact"/>
        <w:rPr>
          <w:sz w:val="20"/>
          <w:szCs w:val="20"/>
          <w:color w:val="auto"/>
        </w:rPr>
      </w:pPr>
    </w:p>
    <w:p>
      <w:pPr>
        <w:ind w:right="20" w:firstLine="324"/>
        <w:spacing w:after="0" w:line="324" w:lineRule="auto"/>
        <w:rPr>
          <w:sz w:val="20"/>
          <w:szCs w:val="20"/>
          <w:color w:val="auto"/>
        </w:rPr>
      </w:pPr>
      <w:r>
        <w:rPr>
          <w:rFonts w:ascii="Arial" w:cs="Arial" w:eastAsia="Arial" w:hAnsi="Arial"/>
          <w:sz w:val="18"/>
          <w:szCs w:val="18"/>
          <w:color w:val="auto"/>
        </w:rPr>
        <w:t>The additional term loan facility was available for borrowings until November 13, 2020. Each of the revolving loans and the term loans were scheduled to mature on November 13, 2024.</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Given the uncertainty of COVID-19 and the resulting potential impact to the gaming industry and our future assumptions, as well as to provide additional financial flexibility, we and the other parties thereto amended the Credit Agreement on August 4, 2020 to provide a waiver of financial covenant breach for the periods ended September 30, 2020 through March 31, 2021 of the First Lien Net Leverage Ratio and Fixed Charge Coverage Ratio (each as defined under the Credit Agreement). The amendment also raised the floor for the adjusted LIBOR rate to 0.50% and the floor for the Base Rate to 1.50%. We incurred costs of $0.4 million associated with the amendment of the Credit Agreement, of which $0.3 million was capitalized and will be amortized over the remaining life of the facility. The waivers of financial covenant breach were never utilized as we remained in compliance with all debt covenants during these periods.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October 22, 2021, in order to increase the borrowing capacity under the Credit Agreement, we and the other parties thereto entered into</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Amendment No. 2 to the Credit Agreement (“Amendment No. 2”). Amendment No. 2, among other things, provides for:</w:t>
      </w:r>
    </w:p>
    <w:p>
      <w:pPr>
        <w:spacing w:after="0" w:line="19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in the amount of the revolving credit facility from $100.0 million to $150.0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$350.0 million initial term loan facility, the proceeds of which were applied to refinancing existing indebtedness,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$400.0 million delayed draw term loan facility, which is available for borrowings until October 22, 2023.</w:t>
      </w:r>
    </w:p>
    <w:p>
      <w:pPr>
        <w:spacing w:after="0" w:line="198"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8"/>
          <w:szCs w:val="18"/>
          <w:color w:val="auto"/>
        </w:rPr>
        <w:t>The maturity date of the Credit Agreement was extended to October 22, 2026. The interest rate and covenants remained unchanged. The Company incurred $4.3 million in debt issuance costs associated with Amendment No. 2. The Company also recognized a loss on debt extinguishment of $1.2 million for the year ended December 31, 2021 in connection with the amendment.</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there remained $329 million of availability under the Credit Agreement.</w:t>
      </w:r>
    </w:p>
    <w:p>
      <w:pPr>
        <w:spacing w:after="0" w:line="198"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7"/>
          <w:szCs w:val="17"/>
          <w:color w:val="auto"/>
        </w:rPr>
        <w:t>The obligations under the Credit Agreement are guaranteed by us and our wholly-owned domestic subsidiaries, subject to certain exceptions (collectively, the “Guarantors”). The obligations under the Credit Agreement are secured by substantially all of the assets of the Guarantors, subject to certain exceptions. Certain future-formed or acquired wholly owned domestic subsidiaries will also be required to guarantee the Credit Agreement and grant a security interest in substantially all of its assets (subject to certain exceptions) to secure the obligations under the Credit Agreement.</w:t>
      </w:r>
    </w:p>
    <w:p>
      <w:pPr>
        <w:spacing w:after="0" w:line="100"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color w:val="auto"/>
        </w:rPr>
        <w:t>Borrowings under the Credit Agreement bear interest, at our option, at a rate per annum equal to either (a) the adjusted LIBOR rate (“LIBOR”) (which cannot be less than zero) for interest periods of 1, 2, 3 or 6 months (or if consented to by (i) each applicable Lender, 12 months or any period shorter than 1 month or (ii) the Agent, a shorter period necessary to ensure that the end of the relevant interest period would coincide with any required amortization payment ) plus the applicable LIBOR margin or (b) the alternative base rate (“ABR”) plus the applicable ABR margin. ABR is a fluctuating rate per annum equal to the highest of (i) the Federal Funds Effective Rate plus 1/2 of 1.0%, (ii) the prime rate announced from time to time by Capital One, National Association and (iii) LIBOR for a 1-month Interest Period on such day plus 1.0%. The Credit Agreement also includes provisions for determining a replacement rate when LIBOR is no longer available. As of December 31, 2022, the weighted-average interest rate was approximately 4.4%.</w:t>
      </w:r>
    </w:p>
    <w:p>
      <w:pPr>
        <w:spacing w:after="0" w:line="95"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Interest is payable quarterly in arrears for ABR loans, at the end of the applicable interest period for LIBOR loans (but not less frequently than quarterly) and upon the prepayment or maturity of the underlying loans. We are required to pay a commitment fee quarterly in arrears in respect of unused commitments under the revolving credit facility and the additional term loan facility.</w:t>
      </w:r>
    </w:p>
    <w:p>
      <w:pPr>
        <w:spacing w:after="0" w:line="116" w:lineRule="exact"/>
        <w:rPr>
          <w:sz w:val="20"/>
          <w:szCs w:val="20"/>
          <w:color w:val="auto"/>
        </w:rPr>
      </w:pPr>
    </w:p>
    <w:p>
      <w:pPr>
        <w:jc w:val="both"/>
        <w:ind w:firstLine="324"/>
        <w:spacing w:after="0" w:line="336" w:lineRule="auto"/>
        <w:rPr>
          <w:sz w:val="20"/>
          <w:szCs w:val="20"/>
          <w:color w:val="auto"/>
        </w:rPr>
      </w:pPr>
      <w:r>
        <w:rPr>
          <w:rFonts w:ascii="Arial" w:cs="Arial" w:eastAsia="Arial" w:hAnsi="Arial"/>
          <w:sz w:val="17"/>
          <w:szCs w:val="17"/>
          <w:color w:val="auto"/>
        </w:rPr>
        <w:t>The applicable LIBOR and ABR margins and the commitment fee rate are calculated based upon the first lien net leverage ratio of the Company and its restricted subsidiaries on a consolidated basis, as defined in the Credit Agreement. The revolving loans and term loans bear interest at either (a) ABR (150 bps floor) plus a margin up to 1.75% or (b) LIBOR (50 bps floor) plus a margin up to 2.75%, at the option of the Company.</w:t>
      </w:r>
    </w:p>
    <w:p>
      <w:pPr>
        <w:spacing w:after="0" w:line="97"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The term loans and, once drawn, the additional term loans will amortize at an annual rate equal to approximately 5.00% per annum. Upon the consummation of certain non-ordinary course asset sales, we may be required to apply the net cash proceeds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thereof to prepay outstanding term loans and additional term loans. The loans under the Credit Agreement may be prepaid without premium or penalty, subject to customary LIBOR “breakage” costs.</w:t>
      </w:r>
    </w:p>
    <w:p>
      <w:pPr>
        <w:spacing w:after="0" w:line="103" w:lineRule="exact"/>
        <w:rPr>
          <w:sz w:val="20"/>
          <w:szCs w:val="20"/>
          <w:color w:val="auto"/>
        </w:rPr>
      </w:pPr>
    </w:p>
    <w:p>
      <w:pPr>
        <w:jc w:val="both"/>
        <w:ind w:firstLine="324"/>
        <w:spacing w:after="0" w:line="357" w:lineRule="auto"/>
        <w:rPr>
          <w:sz w:val="20"/>
          <w:szCs w:val="20"/>
          <w:color w:val="auto"/>
        </w:rPr>
      </w:pPr>
      <w:r>
        <w:rPr>
          <w:rFonts w:ascii="Arial" w:cs="Arial" w:eastAsia="Arial" w:hAnsi="Arial"/>
          <w:sz w:val="17"/>
          <w:szCs w:val="17"/>
          <w:color w:val="auto"/>
        </w:rPr>
        <w:t>The Credit Agreement contains certain customary affirmative and negative covenants and events of default and requires Accel and certain of its affiliates obligated under the Credit Agreement to make customary representations and warranties in connection with credit extensions thereunder.</w:t>
      </w:r>
    </w:p>
    <w:p>
      <w:pPr>
        <w:spacing w:after="0" w:line="80"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In addition, the Credit Agreement requires Accel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the Closing Date and determined on the basis of the four most recently ended fiscal quarters of Accel for which financial statements have been delivered pursuant to the Credit Agreement, subject to customary “equity cure” rights.</w:t>
      </w:r>
    </w:p>
    <w:p>
      <w:pPr>
        <w:spacing w:after="0" w:line="10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If an event of default (as such term is defined in the Credit Agreement) occurs, the lenders would be entitled to take various actions, including the acceleration of amounts due under the Credit Agreement, termination of the lenders’ commitments thereunder, foreclosure on collateral, and all other remedial actions available to a secured creditor. The failure to pay certain amounts owing under the Credit Agreement may result in an increase in the interest rate applicable thereto.</w:t>
      </w:r>
    </w:p>
    <w:p>
      <w:pPr>
        <w:spacing w:after="0" w:line="115" w:lineRule="exact"/>
        <w:rPr>
          <w:sz w:val="20"/>
          <w:szCs w:val="20"/>
          <w:color w:val="auto"/>
        </w:rPr>
      </w:pPr>
    </w:p>
    <w:p>
      <w:pPr>
        <w:jc w:val="both"/>
        <w:ind w:right="20" w:firstLine="324"/>
        <w:spacing w:after="0" w:line="324" w:lineRule="auto"/>
        <w:rPr>
          <w:sz w:val="20"/>
          <w:szCs w:val="20"/>
          <w:color w:val="auto"/>
        </w:rPr>
      </w:pPr>
      <w:r>
        <w:rPr>
          <w:rFonts w:ascii="Arial" w:cs="Arial" w:eastAsia="Arial" w:hAnsi="Arial"/>
          <w:sz w:val="18"/>
          <w:szCs w:val="18"/>
          <w:color w:val="auto"/>
        </w:rPr>
        <w:t>We were in compliance with all debt covenants as of December 31, 2022 and we expect to remain in compliance with all debt covenants for the next 12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caplets</w:t>
      </w:r>
    </w:p>
    <w:p>
      <w:pPr>
        <w:spacing w:after="0" w:line="212" w:lineRule="exact"/>
        <w:rPr>
          <w:sz w:val="20"/>
          <w:szCs w:val="20"/>
          <w:color w:val="auto"/>
        </w:rPr>
      </w:pPr>
    </w:p>
    <w:p>
      <w:pPr>
        <w:jc w:val="both"/>
        <w:ind w:firstLine="324"/>
        <w:spacing w:after="0" w:line="322" w:lineRule="auto"/>
        <w:rPr>
          <w:sz w:val="20"/>
          <w:szCs w:val="20"/>
          <w:color w:val="auto"/>
        </w:rPr>
      </w:pPr>
      <w:r>
        <w:rPr>
          <w:rFonts w:ascii="Arial" w:cs="Arial" w:eastAsia="Arial" w:hAnsi="Arial"/>
          <w:sz w:val="17"/>
          <w:szCs w:val="17"/>
          <w:color w:val="auto"/>
        </w:rPr>
        <w:t>We manage our exposure to some of its interest rate risk through the use of interest rate caplets, which are derivative financial instruments. On January 12, 2022, we hedged the variability of the cash flows attributable to the changes in the 1-month LIBOR interest rate on the first $300 million of the term loan under the Credit Agreement by entering into a 4-year series of 48 deferred premium caplets (“caplets”). The caplets mature at the end of each month and protect us if interest rates exceed 2% of 1-month LIBOR. The maturing dates of these caplets coincide with the timing of our interest payments and each caplet is expected to be highly effective at offsetting changes in interest payment cash flows. The aggregate premium for these caplets was $3.9 million, which was the initial fair value of the caplets recorded in the Company's financial statements, and was financed as additional debt. The Company recognized an unrealized gain on the change in fair value of the interest rate caplets of $12.2 million, net of income taxes, for the year ended December 31, 2022. For more information on how we determine the fair value of the caplets, see Note 13 to our consolidated financial statements included herein. Further, as the 1-month LIBOR interest rate exceeded 2% in second half of 2022, the Company recognized interest income on the caplets of $1.5 million for the year ended December 31, 2022, which is reflected in interest expense, net in the consolidated statements of operations and other comprehensive income (loss).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02"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8"/>
          <w:szCs w:val="18"/>
          <w:color w:val="auto"/>
        </w:rPr>
        <w:t>The following table summarizes Accel’s net cash provided by or used in operating activities, investing activities and financing activities for the periods indicated and should be read in conjunction with our consolidated financial statements and the notes thereto included in Part II, Item 8 of this Annual Report on Form 10-K:</w:t>
      </w:r>
    </w:p>
    <w:p>
      <w:pPr>
        <w:spacing w:after="0" w:line="78"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44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20"/>
                <w:szCs w:val="20"/>
                <w:color w:val="auto"/>
              </w:rPr>
            </w:pPr>
          </w:p>
        </w:tc>
        <w:tc>
          <w:tcPr>
            <w:tcW w:w="266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w w:val="90"/>
              </w:rPr>
              <w:t>Year Ended December 31,</w:t>
            </w:r>
          </w:p>
        </w:tc>
        <w:tc>
          <w:tcPr>
            <w:tcW w:w="88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4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4"/>
              </w:rPr>
              <w:t>Change</w:t>
            </w:r>
          </w:p>
        </w:tc>
      </w:tr>
      <w:tr>
        <w:trPr>
          <w:trHeight w:val="243"/>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107,999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110,755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r>
      <w:tr>
        <w:trPr>
          <w:trHeight w:val="270"/>
        </w:trPr>
        <w:tc>
          <w:tcPr>
            <w:tcW w:w="44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3"/>
                <w:szCs w:val="23"/>
                <w:color w:val="auto"/>
              </w:rPr>
            </w:pPr>
          </w:p>
        </w:tc>
        <w:tc>
          <w:tcPr>
            <w:tcW w:w="920" w:type="dxa"/>
            <w:vAlign w:val="bottom"/>
          </w:tcPr>
          <w:p>
            <w:pPr>
              <w:jc w:val="center"/>
              <w:ind w:left="50"/>
              <w:spacing w:after="0"/>
              <w:rPr>
                <w:sz w:val="20"/>
                <w:szCs w:val="20"/>
                <w:color w:val="auto"/>
              </w:rPr>
            </w:pPr>
            <w:r>
              <w:rPr>
                <w:rFonts w:ascii="Arial" w:cs="Arial" w:eastAsia="Arial" w:hAnsi="Arial"/>
                <w:sz w:val="18"/>
                <w:szCs w:val="18"/>
                <w:color w:val="auto"/>
                <w:w w:val="90"/>
              </w:rPr>
              <w:t>(189,263)</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ind w:left="260"/>
              <w:spacing w:after="0"/>
              <w:rPr>
                <w:sz w:val="20"/>
                <w:szCs w:val="20"/>
                <w:color w:val="auto"/>
              </w:rPr>
            </w:pPr>
            <w:r>
              <w:rPr>
                <w:rFonts w:ascii="Arial" w:cs="Arial" w:eastAsia="Arial" w:hAnsi="Arial"/>
                <w:sz w:val="18"/>
                <w:szCs w:val="18"/>
                <w:color w:val="auto"/>
                <w:w w:val="95"/>
              </w:rPr>
              <w:t>(34,544)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(154,719)</w:t>
            </w:r>
          </w:p>
        </w:tc>
      </w:tr>
      <w:tr>
        <w:trPr>
          <w:trHeight w:val="27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9"/>
              </w:rPr>
              <w:t>106,591</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(11,876)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118,467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98"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For the year ended December 31, 2022, net cash provided by operating activities was $108.0 million, a decrease of $2.8 million over the prior year. The decrease can be attributed to lower working capital adjustments and payments made on our contingent consideration, partially offset by higher net income and an increase in deferred income taxes.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12"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8"/>
          <w:szCs w:val="18"/>
          <w:color w:val="auto"/>
        </w:rPr>
        <w:t>For the year ended December 31, 2022, net cash used in investing activities was $189.3 million, an increase in cash used of $154.7 million over the prior year and was primarily attributable to cash used for business and asset acquisitions in addition to higher purchases of property and equipment. We anticipate our capital expenditures will be approximately $40–45 million in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98"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For the year ended December 31, 2022, net cash provided by financing activities was $106.6 million, an increase of $118.5 million over the prior year. The increase reflects an increase in net borrowings on our Credit Facility, partially offset by purchases of our Class A-1 common stock under our share repurchase program and higher payments on consideration payable.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8"/>
          <w:szCs w:val="18"/>
          <w:color w:val="auto"/>
        </w:rPr>
        <w:t>We prepare our consolidated financial statements in accordance with U.S. GAAP. In applying accounting principles, it is often required to use estimates. These estimates consider the facts, circumstances and information available, and may be based on subjective inputs, assumptions and information known and unknown to us. Material changes in certain of the estimates that we use could affect, by a material amount, our consolidated financial position and results of operations. Although results may vary, we believe our estimates are reasonable and appropriate. The following describes certain significant accounting policies that involve more subjective and complex judgments where the effect on our consolidated financial position and operating performance could be material.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Route and customer acquisition costs</w:t>
      </w:r>
    </w:p>
    <w:p>
      <w:pPr>
        <w:spacing w:after="0" w:line="225" w:lineRule="exact"/>
        <w:rPr>
          <w:sz w:val="20"/>
          <w:szCs w:val="20"/>
          <w:color w:val="auto"/>
        </w:rPr>
      </w:pPr>
    </w:p>
    <w:p>
      <w:pPr>
        <w:jc w:val="both"/>
        <w:ind w:firstLine="324"/>
        <w:spacing w:after="0" w:line="344" w:lineRule="auto"/>
        <w:rPr>
          <w:sz w:val="20"/>
          <w:szCs w:val="20"/>
          <w:color w:val="auto"/>
        </w:rPr>
      </w:pPr>
      <w:r>
        <w:rPr>
          <w:rFonts w:ascii="Arial" w:cs="Arial" w:eastAsia="Arial" w:hAnsi="Arial"/>
          <w:sz w:val="16"/>
          <w:szCs w:val="16"/>
          <w:color w:val="auto"/>
        </w:rPr>
        <w:t>Our route and customer acquisition costs consist of fees paid, typically an upfront payment and future installment payments over the life of the contract, entered into with third parties and location partners. These contracts are non-cancelable and allow us to install and operate gaming terminals in the various gaming locations in the states we serve. The upfront payment and future installment payments are recorded at the net present value using a discount rate equal to our incremental borrowing costs. In certain instances, future installment payments are estimated based on a forecast of the location's future revenue performance or the number of gaming terminals at the location. These estimates may change over time and cause a change in the net present value of the liability. For locations that close prior to the end of the contractual term, we write-off the net book value of the route and the related installment payables not yet paid and record a gain or loss in the consolidated statements of operations and comprehensive income (loss) as a component of general and administrative expense. Additionally, most of the route acquisition contracts allow us to clawback some upfront and installment payments over the initial years of a contract if the location is unable to secure the appropriate licensing or it goes out of business prior to the end of the contract term. In the instances where a claw-back or recovery is triggered and we assess it as probable of being recovered, a receivable will be recorded. Upfront payments with a claw-back prior to a location going live are capitalized and will not begin amortization until the respective location commences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and goodwill</w:t>
      </w:r>
    </w:p>
    <w:p>
      <w:pPr>
        <w:spacing w:after="0" w:line="212" w:lineRule="exact"/>
        <w:rPr>
          <w:sz w:val="20"/>
          <w:szCs w:val="20"/>
          <w:color w:val="auto"/>
        </w:rPr>
      </w:pPr>
    </w:p>
    <w:p>
      <w:pPr>
        <w:jc w:val="both"/>
        <w:ind w:firstLine="324"/>
        <w:spacing w:after="0" w:line="322" w:lineRule="auto"/>
        <w:rPr>
          <w:sz w:val="20"/>
          <w:szCs w:val="20"/>
          <w:color w:val="auto"/>
        </w:rPr>
      </w:pPr>
      <w:r>
        <w:rPr>
          <w:rFonts w:ascii="Arial" w:cs="Arial" w:eastAsia="Arial" w:hAnsi="Arial"/>
          <w:sz w:val="17"/>
          <w:szCs w:val="17"/>
          <w:color w:val="auto"/>
        </w:rPr>
        <w:t>For acquisitions meeting the definition of a business combination, the acquisition method of accounting is used. The acquisition date is the date on which Accel obtains operating control over the acquired business. The consideration paid is determined on the acquisition date and is the sum of the fair values of the assets acquired by Accel and the liabilities assumed by Accel, including the fair value of any asset or liability resulting from a deferred consideration arrangement. Acquisition-related costs, such as professional fees, are excluded from the consideration transferred and are expensed as incurred. Any contingent consideration is measured at its fair value on the acquisition date, recorded as a liability and accreted over its payment term in Accel’s consolidated statements of operations and comprehensive income (loss) as other expenses, net. Location contract intangibles, which represent the acquisition-date fair value of the preexisting relationships between the acquired company and gaming locations, are generally measured at fair value using an income approach which measures the fair value based on the estimated future cash flows using certain projected financial information such as revenue projections, cost of revenue margins and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other assumptions such as discount rates. Acquired tangible personal property such as gaming equipment is generally measured at fair value using a cost approach which measures the fair value based on the cost to reproduce or replace the asset. Goodwill is measured as the excess of the consideration transferred over the fair value of the net identifiable assets acquired and liabilities assumed. The relevance of this policy and the described methods and assumptions vary from period to period depending on the volume of applicable acquisitions occurring.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16" w:lineRule="exact"/>
        <w:rPr>
          <w:sz w:val="20"/>
          <w:szCs w:val="20"/>
          <w:color w:val="auto"/>
        </w:rPr>
      </w:pPr>
    </w:p>
    <w:p>
      <w:pPr>
        <w:jc w:val="both"/>
        <w:ind w:firstLine="324"/>
        <w:spacing w:after="0" w:line="364" w:lineRule="auto"/>
        <w:rPr>
          <w:sz w:val="20"/>
          <w:szCs w:val="20"/>
          <w:color w:val="auto"/>
        </w:rPr>
      </w:pPr>
      <w:r>
        <w:rPr>
          <w:rFonts w:ascii="Arial" w:cs="Arial" w:eastAsia="Arial" w:hAnsi="Arial"/>
          <w:sz w:val="16"/>
          <w:szCs w:val="16"/>
          <w:color w:val="auto"/>
        </w:rPr>
        <w:t>Accel’s results of operations can fluctuate due to seasonal trends and other factors. For example, the gross revenue per machine per day is typically lower in the summer when players will typically spend less time indoors at licensed establishments, and higher in cold weather between February and April, when players will typically spend more time indoors. Holidays, vacation seasons, and sporting events may also cause Accel’s results to fluctuate.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Market risk represents the risk of loss that may impact Accel’s financial position due to adverse changes in financial market prices and rates. Market risk exposure is primarily the result of fluctuations in interest rates.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color w:val="auto"/>
        </w:rPr>
        <w:t>Accel is exposed to interest rate risk in the ordinary course of its business. Accel’s borrowings under its senior secured credit facility were $545.4 million as of December 31, 2022. If the underlying interest rates were to increase by 1.0%, or 100 basis points, the increase in interest expense on Accel’s floating rate debt would negatively impact Accel’s future earnings and cash flows by approximately $2.5 million annually, assuming the balance outstanding under Accel’s Credit Facility remained at $545.4 million. Our exposure to higher interest rates is partially mitigated as the Company hedged the variability of the cash flows attributable to the changes in the 1-month LIBOR interest rate on the first $300 million of the term loan under the Credit Agreement by entering into a 4-year series of 48 deferred premium caplets (“caplets”) on January 12, 2022. The caplets mature at the end of each month and are used to protect the Company's exposure as the 1-month LIBOR interest rate exceeded 2% in the second half of 2022.</w:t>
      </w:r>
    </w:p>
    <w:p>
      <w:pPr>
        <w:spacing w:after="0" w:line="95"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Cash and cash equivalents are held in cash vaults, highly liquid, checking and money market accounts, gaming terminals, redemption terminals, ATMs, and amusement equipment. As a result, these amounts are not materially affected by changes in interest rates.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2" w:lineRule="exact"/>
        <w:rPr>
          <w:sz w:val="20"/>
          <w:szCs w:val="20"/>
          <w:color w:val="auto"/>
        </w:rPr>
      </w:pPr>
    </w:p>
    <w:p>
      <w:pPr>
        <w:jc w:val="both"/>
        <w:ind w:firstLine="324"/>
        <w:spacing w:after="0" w:line="357" w:lineRule="auto"/>
        <w:rPr>
          <w:sz w:val="20"/>
          <w:szCs w:val="20"/>
          <w:color w:val="auto"/>
        </w:rPr>
      </w:pPr>
      <w:r>
        <w:rPr>
          <w:rFonts w:ascii="Arial" w:cs="Arial" w:eastAsia="Arial" w:hAnsi="Arial"/>
          <w:sz w:val="17"/>
          <w:szCs w:val="17"/>
          <w:color w:val="auto"/>
        </w:rPr>
        <w:t>Reference is made to the financial statements, the notes thereto, and the report of our independent registered public accounting firm commencing at page F-1 of this Annual Report on Form 10-K, which financial statements, notes, and report are incorporated herein by reference.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ind w:left="80" w:firstLine="445"/>
        <w:spacing w:after="0" w:line="324" w:lineRule="auto"/>
        <w:rPr>
          <w:sz w:val="20"/>
          <w:szCs w:val="20"/>
          <w:color w:val="auto"/>
        </w:rPr>
      </w:pPr>
      <w:r>
        <w:rPr>
          <w:rFonts w:ascii="Arial" w:cs="Arial" w:eastAsia="Arial" w:hAnsi="Arial"/>
          <w:sz w:val="17"/>
          <w:szCs w:val="17"/>
          <w:color w:val="auto"/>
        </w:rPr>
        <w:t>We have developed “disclosure controls and procedures,” as defined in Rule 13a-15(e) and 15d-15(e) under the Securities Exchange Act of 1934 (the “Exchange Act”) that are designed to ensure information required to be disclosed is recorded, processed, summarized and reported within the time periods specified in the SEC’s rules and forms. Our management, under the supervision and participation of our Chief Executive Officer (“CEO”, serving as our Principal Executive Officer) and our Chief Financial Officer (“CFO”, serving as our Principal Financial Officer), have performed an evaluation of the effectiveness of the design and operation of our disclosure controls and procedures as of the end of the period covered by this report. Based on that evaluation, our CEO and CFO concluded that as a result of the material weaknesses in our internal control over financial reporting described below, Accel’s disclosure controls and procedures were not effective as of December 31, 2022.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2" w:lineRule="exact"/>
        <w:rPr>
          <w:sz w:val="20"/>
          <w:szCs w:val="20"/>
          <w:color w:val="auto"/>
        </w:rPr>
      </w:pPr>
    </w:p>
    <w:p>
      <w:pPr>
        <w:jc w:val="both"/>
        <w:ind w:left="80" w:firstLine="445"/>
        <w:spacing w:after="0" w:line="334" w:lineRule="auto"/>
        <w:rPr>
          <w:sz w:val="20"/>
          <w:szCs w:val="20"/>
          <w:color w:val="auto"/>
        </w:rPr>
      </w:pPr>
      <w:r>
        <w:rPr>
          <w:rFonts w:ascii="Arial" w:cs="Arial" w:eastAsia="Arial" w:hAnsi="Arial"/>
          <w:sz w:val="17"/>
          <w:szCs w:val="17"/>
          <w:color w:val="auto"/>
        </w:rPr>
        <w:t>Management, including our CEO and CFO, is responsible for establishing and maintaining adequate internal control over financial reporting as defined in Rules 13a-15(f) and 15d-15(f) under the Exchange Act. Our internal control over financial reporting includes those policies and procedures designed to, in reasonable detail, accurately and fairly reflect the Company’s transactions, and provide reasonable assurance regarding the reliability of our financial reporting and the preparation of our financial statements for external reporting purposes in accordance with GAAP.</w:t>
      </w:r>
    </w:p>
    <w:p>
      <w:pPr>
        <w:spacing w:after="0" w:line="113" w:lineRule="exact"/>
        <w:rPr>
          <w:sz w:val="20"/>
          <w:szCs w:val="20"/>
          <w:color w:val="auto"/>
        </w:rPr>
      </w:pPr>
    </w:p>
    <w:p>
      <w:pPr>
        <w:jc w:val="both"/>
        <w:ind w:left="80" w:firstLine="445"/>
        <w:spacing w:after="0" w:line="308" w:lineRule="auto"/>
        <w:rPr>
          <w:sz w:val="20"/>
          <w:szCs w:val="20"/>
          <w:color w:val="auto"/>
        </w:rPr>
      </w:pPr>
      <w:r>
        <w:rPr>
          <w:rFonts w:ascii="Arial" w:cs="Arial" w:eastAsia="Arial" w:hAnsi="Arial"/>
          <w:sz w:val="18"/>
          <w:szCs w:val="18"/>
          <w:color w:val="auto"/>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provide only reasonable assurance with respect to the preparation and fair presentation of financial statements.</w:t>
      </w:r>
    </w:p>
    <w:p>
      <w:pPr>
        <w:spacing w:after="0" w:line="130" w:lineRule="exact"/>
        <w:rPr>
          <w:sz w:val="20"/>
          <w:szCs w:val="20"/>
          <w:color w:val="auto"/>
        </w:rPr>
      </w:pPr>
    </w:p>
    <w:p>
      <w:pPr>
        <w:jc w:val="both"/>
        <w:ind w:left="80" w:firstLine="445"/>
        <w:spacing w:after="0" w:line="308" w:lineRule="auto"/>
        <w:rPr>
          <w:sz w:val="20"/>
          <w:szCs w:val="20"/>
          <w:color w:val="auto"/>
        </w:rPr>
      </w:pPr>
      <w:r>
        <w:rPr>
          <w:rFonts w:ascii="Arial" w:cs="Arial" w:eastAsia="Arial" w:hAnsi="Arial"/>
          <w:sz w:val="18"/>
          <w:szCs w:val="18"/>
          <w:color w:val="auto"/>
        </w:rPr>
        <w:t>Under guidance issued by the staff of the SEC, companies are permitted to exclude acquisitions from their assessment of internal control over financial reporting during the first fiscal year in which an acquisition qualifying as a business combination occurred. The Company acquired Century on June 1, 2022. Management has excluded Century from its assessment of the effectiveness of the Company’s internal control over financial reporting as of December 31, 2022. Century represented 9% of the Company’s total assets, and 15% of the Company’s total net revenues as of and for the year ended December 31, 2022.</w:t>
      </w:r>
    </w:p>
    <w:p>
      <w:pPr>
        <w:spacing w:after="0" w:line="130" w:lineRule="exact"/>
        <w:rPr>
          <w:sz w:val="20"/>
          <w:szCs w:val="20"/>
          <w:color w:val="auto"/>
        </w:rPr>
      </w:pPr>
    </w:p>
    <w:p>
      <w:pPr>
        <w:jc w:val="both"/>
        <w:ind w:left="80" w:firstLine="445"/>
        <w:spacing w:after="0" w:line="360" w:lineRule="auto"/>
        <w:rPr>
          <w:sz w:val="20"/>
          <w:szCs w:val="20"/>
          <w:color w:val="auto"/>
        </w:rPr>
      </w:pPr>
      <w:r>
        <w:rPr>
          <w:rFonts w:ascii="Arial" w:cs="Arial" w:eastAsia="Arial" w:hAnsi="Arial"/>
          <w:sz w:val="16"/>
          <w:szCs w:val="16"/>
          <w:color w:val="auto"/>
        </w:rPr>
        <w:t>Our management evaluated the effectiveness of our internal control over financial reporting as of December 31, 2022. In making this evaluation, management used the criteria set forth by the Committee of Sponsoring Organizations of the Treadway Commission (“COSO”) in Internal Control-Integrated Framework (2013). Based on this evaluation, management has concluded our internal control over financial reporting as of December 31, 2022 was not effective due to the material weaknesses in the Company’s internal control over financial reporting, described below.</w:t>
      </w:r>
    </w:p>
    <w:p>
      <w:pPr>
        <w:spacing w:after="0" w:line="98" w:lineRule="exact"/>
        <w:rPr>
          <w:sz w:val="20"/>
          <w:szCs w:val="20"/>
          <w:color w:val="auto"/>
        </w:rPr>
      </w:pPr>
    </w:p>
    <w:p>
      <w:pPr>
        <w:jc w:val="both"/>
        <w:ind w:left="80" w:firstLine="445"/>
        <w:spacing w:after="0" w:line="395"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Accel’s annual or interim financial statements will not be prevented or detected on a timely basis.</w:t>
      </w:r>
    </w:p>
    <w:p>
      <w:pPr>
        <w:spacing w:after="0" w:line="69" w:lineRule="exact"/>
        <w:rPr>
          <w:sz w:val="20"/>
          <w:szCs w:val="20"/>
          <w:color w:val="auto"/>
        </w:rPr>
      </w:pPr>
    </w:p>
    <w:p>
      <w:pPr>
        <w:jc w:val="both"/>
        <w:ind w:left="80" w:firstLine="445"/>
        <w:spacing w:after="0" w:line="311" w:lineRule="auto"/>
        <w:rPr>
          <w:sz w:val="20"/>
          <w:szCs w:val="20"/>
          <w:color w:val="auto"/>
        </w:rPr>
      </w:pPr>
      <w:r>
        <w:rPr>
          <w:rFonts w:ascii="Arial" w:cs="Arial" w:eastAsia="Arial" w:hAnsi="Arial"/>
          <w:sz w:val="18"/>
          <w:szCs w:val="18"/>
          <w:color w:val="auto"/>
        </w:rPr>
        <w:t>There are deficiencies in the design and implementation of the Company’s internal controls due to ineffective control environment, risk assessment, and information and communication resulting from an insufficient headcount necessary to support general information technology controls and most process-level controls. These deficiencies represent material weaknesses in internal control over financial reporting, which could impact the consistency, timeliness and accuracy of financial reporting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80" w:right="40" w:firstLine="445"/>
        <w:spacing w:after="0" w:line="310" w:lineRule="auto"/>
        <w:rPr>
          <w:sz w:val="20"/>
          <w:szCs w:val="20"/>
          <w:color w:val="auto"/>
        </w:rPr>
      </w:pPr>
      <w:r>
        <w:rPr>
          <w:rFonts w:ascii="Arial" w:cs="Arial" w:eastAsia="Arial" w:hAnsi="Arial"/>
          <w:sz w:val="18"/>
          <w:szCs w:val="18"/>
          <w:color w:val="auto"/>
        </w:rPr>
        <w:t>These control deficiencies did not result in material misstatements identified in the preparation of consolidated financial statements as of and for the year ended December 31, 2022. However, these control deficiencies create a reasonable possibility that a material misstatement to the consolidated financial statements would not have been prevented or detected on a timely basis.</w:t>
      </w:r>
    </w:p>
    <w:p>
      <w:pPr>
        <w:spacing w:after="0" w:line="143" w:lineRule="exact"/>
        <w:rPr>
          <w:sz w:val="20"/>
          <w:szCs w:val="20"/>
          <w:color w:val="auto"/>
        </w:rPr>
      </w:pPr>
    </w:p>
    <w:p>
      <w:pPr>
        <w:jc w:val="both"/>
        <w:ind w:left="80" w:right="40" w:firstLine="445"/>
        <w:spacing w:after="0" w:line="310" w:lineRule="auto"/>
        <w:rPr>
          <w:sz w:val="20"/>
          <w:szCs w:val="20"/>
          <w:color w:val="auto"/>
        </w:rPr>
      </w:pPr>
      <w:r>
        <w:rPr>
          <w:rFonts w:ascii="Arial" w:cs="Arial" w:eastAsia="Arial" w:hAnsi="Arial"/>
          <w:sz w:val="18"/>
          <w:szCs w:val="18"/>
          <w:color w:val="auto"/>
        </w:rPr>
        <w:t>Our independent registered public accounting firm, KPMG LLP, who audited the consolidated financial statements included in this annual report, issued an adverse opinion on the effectiveness of Accel's internal control over financial reporting, due to the identification of the material weaknesses described above. KPMG LLP’s report appears on pages F4-F5 of this Annual Report on Form 10-K.</w:t>
      </w:r>
    </w:p>
    <w:p>
      <w:pPr>
        <w:spacing w:after="0" w:line="17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Remediation of Previously Disclosed Material Weakness</w:t>
      </w:r>
    </w:p>
    <w:p>
      <w:pPr>
        <w:spacing w:after="0" w:line="216" w:lineRule="exact"/>
        <w:rPr>
          <w:sz w:val="20"/>
          <w:szCs w:val="20"/>
          <w:color w:val="auto"/>
        </w:rPr>
      </w:pPr>
    </w:p>
    <w:p>
      <w:pPr>
        <w:jc w:val="both"/>
        <w:ind w:left="80" w:right="40" w:firstLine="445"/>
        <w:spacing w:after="0" w:line="344" w:lineRule="auto"/>
        <w:rPr>
          <w:sz w:val="20"/>
          <w:szCs w:val="20"/>
          <w:color w:val="auto"/>
        </w:rPr>
      </w:pPr>
      <w:r>
        <w:rPr>
          <w:rFonts w:ascii="Arial" w:cs="Arial" w:eastAsia="Arial" w:hAnsi="Arial"/>
          <w:sz w:val="17"/>
          <w:szCs w:val="17"/>
          <w:color w:val="auto"/>
        </w:rPr>
        <w:t>As previously disclosed in Item 9A of our prior periodic Annual Reports and Item 4 in our Quarterly Reports, management previously identified and disclosed a material weakness in internal control over financial reporting related to business combination accounting. During the quarter ended December 31, 2022, the Company remediated the aspects of its previously reported material weakness related to these matters.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 to Address Material Weaknesses</w:t>
      </w:r>
    </w:p>
    <w:p>
      <w:pPr>
        <w:spacing w:after="0" w:line="202" w:lineRule="exact"/>
        <w:rPr>
          <w:sz w:val="20"/>
          <w:szCs w:val="20"/>
          <w:color w:val="auto"/>
        </w:rPr>
      </w:pPr>
    </w:p>
    <w:p>
      <w:pPr>
        <w:jc w:val="both"/>
        <w:ind w:left="80" w:right="40" w:firstLine="445"/>
        <w:spacing w:after="0" w:line="324" w:lineRule="auto"/>
        <w:rPr>
          <w:sz w:val="20"/>
          <w:szCs w:val="20"/>
          <w:color w:val="auto"/>
        </w:rPr>
      </w:pPr>
      <w:r>
        <w:rPr>
          <w:rFonts w:ascii="Arial" w:cs="Arial" w:eastAsia="Arial" w:hAnsi="Arial"/>
          <w:sz w:val="18"/>
          <w:szCs w:val="18"/>
          <w:color w:val="auto"/>
        </w:rPr>
        <w:t>Accel has invested considerable time and resources toward improving the design, implementation and operation of internal control over financial reporting. The progress we have made can be summarized as follows:</w:t>
      </w:r>
    </w:p>
    <w:p>
      <w:pPr>
        <w:spacing w:after="0" w:line="116" w:lineRule="exact"/>
        <w:rPr>
          <w:sz w:val="20"/>
          <w:szCs w:val="20"/>
          <w:color w:val="auto"/>
        </w:rPr>
      </w:pPr>
    </w:p>
    <w:p>
      <w:pPr>
        <w:ind w:left="820" w:hanging="326"/>
        <w:spacing w:after="0" w:line="228" w:lineRule="auto"/>
        <w:tabs>
          <w:tab w:leader="none" w:pos="815" w:val="left"/>
        </w:tabs>
        <w:numPr>
          <w:ilvl w:val="0"/>
          <w:numId w:val="29"/>
        </w:numPr>
        <w:rPr>
          <w:rFonts w:ascii="Arial" w:cs="Arial" w:eastAsia="Arial" w:hAnsi="Arial"/>
          <w:sz w:val="22"/>
          <w:szCs w:val="22"/>
          <w:color w:val="auto"/>
        </w:rPr>
      </w:pPr>
      <w:r>
        <w:rPr>
          <w:rFonts w:ascii="Arial" w:cs="Arial" w:eastAsia="Arial" w:hAnsi="Arial"/>
          <w:sz w:val="18"/>
          <w:szCs w:val="18"/>
          <w:color w:val="auto"/>
        </w:rPr>
        <w:t>We have frequent communications between our Audit Committee and management regarding the progression on material weakness remediation and our financial reporting and internal control environment. Additionally, an internal control project plan that is monitored by the Audit Committee was developed, but implementation remains in process.</w:t>
      </w:r>
    </w:p>
    <w:p>
      <w:pPr>
        <w:spacing w:after="0" w:line="176" w:lineRule="exact"/>
        <w:rPr>
          <w:rFonts w:ascii="Arial" w:cs="Arial" w:eastAsia="Arial" w:hAnsi="Arial"/>
          <w:sz w:val="22"/>
          <w:szCs w:val="22"/>
          <w:color w:val="auto"/>
        </w:rPr>
      </w:pPr>
    </w:p>
    <w:p>
      <w:pPr>
        <w:jc w:val="both"/>
        <w:ind w:left="820" w:right="40" w:hanging="326"/>
        <w:spacing w:after="0" w:line="311"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continue to enhance the controls and procedures related to the NetSuite enterprise resource planning (“ERP”) system that replaced our previous accounting system and general ledger. We started to implement NetSuite in 2020 and began using the ERP in the first quarter of 2021. Through the use of NetSuite, we have begun establishing automated processes to enhance the information technology controls and create efficiencies in financial reporting.</w:t>
      </w:r>
    </w:p>
    <w:p>
      <w:pPr>
        <w:spacing w:after="0" w:line="128" w:lineRule="exact"/>
        <w:rPr>
          <w:rFonts w:ascii="Arial" w:cs="Arial" w:eastAsia="Arial" w:hAnsi="Arial"/>
          <w:sz w:val="18"/>
          <w:szCs w:val="18"/>
          <w:color w:val="auto"/>
        </w:rPr>
      </w:pPr>
    </w:p>
    <w:p>
      <w:pPr>
        <w:jc w:val="both"/>
        <w:ind w:left="820" w:right="40" w:hanging="326"/>
        <w:spacing w:after="0" w:line="310"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added additional resources and expanded our organizational chart in accounting, finance, and the information technology organizations, including hiring a Chief Accounting Officer overseeing accounting, reporting, treasury, cash processing, and tax functions. In addition, we hired a Chief People Officer to set our hiring strategy and focus on retention.</w:t>
      </w:r>
    </w:p>
    <w:p>
      <w:pPr>
        <w:spacing w:after="0" w:line="129" w:lineRule="exact"/>
        <w:rPr>
          <w:rFonts w:ascii="Arial" w:cs="Arial" w:eastAsia="Arial" w:hAnsi="Arial"/>
          <w:sz w:val="18"/>
          <w:szCs w:val="18"/>
          <w:color w:val="auto"/>
        </w:rPr>
      </w:pPr>
    </w:p>
    <w:p>
      <w:pPr>
        <w:ind w:left="820" w:right="60" w:hanging="326"/>
        <w:spacing w:after="0" w:line="374" w:lineRule="auto"/>
        <w:tabs>
          <w:tab w:leader="none" w:pos="8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continue to train our employees to reinforce the importance of a strong control environment and clearly communicate expectations to emphasize responsibilities and the technical requirements for controls, and to set the appropriate expectations on internal controls.</w:t>
      </w:r>
    </w:p>
    <w:p>
      <w:pPr>
        <w:spacing w:after="0" w:line="79" w:lineRule="exact"/>
        <w:rPr>
          <w:rFonts w:ascii="Arial" w:cs="Arial" w:eastAsia="Arial" w:hAnsi="Arial"/>
          <w:sz w:val="17"/>
          <w:szCs w:val="17"/>
          <w:color w:val="auto"/>
        </w:rPr>
      </w:pPr>
    </w:p>
    <w:p>
      <w:pPr>
        <w:ind w:left="820" w:right="40" w:hanging="326"/>
        <w:spacing w:after="0" w:line="395" w:lineRule="auto"/>
        <w:tabs>
          <w:tab w:leader="none" w:pos="815"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developed accounting policies and procedures to assist our accounting and finance organization in recording transactions appropriately. We continue to make progress in designing and implementing internal controls to ensure consistent application of our polices and procedures.</w:t>
      </w:r>
    </w:p>
    <w:p>
      <w:pPr>
        <w:spacing w:after="0" w:line="69" w:lineRule="exact"/>
        <w:rPr>
          <w:rFonts w:ascii="Arial" w:cs="Arial" w:eastAsia="Arial" w:hAnsi="Arial"/>
          <w:sz w:val="16"/>
          <w:szCs w:val="16"/>
          <w:color w:val="auto"/>
        </w:rPr>
      </w:pPr>
    </w:p>
    <w:p>
      <w:pPr>
        <w:ind w:left="820" w:right="60" w:hanging="326"/>
        <w:spacing w:after="0" w:line="324"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continue to make progress in the development and implementation of a framework to identify risks of material misstatement to our consolidated financial statements and are designing controls to mitigate those risks.</w:t>
      </w:r>
    </w:p>
    <w:p>
      <w:pPr>
        <w:spacing w:after="0" w:line="116" w:lineRule="exact"/>
        <w:rPr>
          <w:rFonts w:ascii="Arial" w:cs="Arial" w:eastAsia="Arial" w:hAnsi="Arial"/>
          <w:sz w:val="18"/>
          <w:szCs w:val="18"/>
          <w:color w:val="auto"/>
        </w:rPr>
      </w:pPr>
    </w:p>
    <w:p>
      <w:pPr>
        <w:ind w:left="820" w:right="40" w:hanging="326"/>
        <w:spacing w:after="0" w:line="340"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implemented practices to evaluate and use third-party specialists to assist with complex and technical areas of accounting, valuation, and adoption of new accounting standards.</w:t>
      </w:r>
    </w:p>
    <w:p>
      <w:pPr>
        <w:spacing w:after="0" w:line="102" w:lineRule="exact"/>
        <w:rPr>
          <w:rFonts w:ascii="Arial" w:cs="Arial" w:eastAsia="Arial" w:hAnsi="Arial"/>
          <w:sz w:val="18"/>
          <w:szCs w:val="18"/>
          <w:color w:val="auto"/>
        </w:rPr>
      </w:pPr>
    </w:p>
    <w:p>
      <w:pPr>
        <w:ind w:left="820" w:right="40" w:hanging="326"/>
        <w:spacing w:after="0" w:line="324"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developed an internal control framework for our general information technology controls, including the controls around access to information systems and change management internal controls to information systems. The</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implementation and consistent operation of the framework remains as an in-progress focus for future remediation efforts.</w:t>
      </w:r>
    </w:p>
    <w:p>
      <w:pPr>
        <w:spacing w:after="0" w:line="212" w:lineRule="exact"/>
        <w:rPr>
          <w:sz w:val="20"/>
          <w:szCs w:val="20"/>
          <w:color w:val="auto"/>
        </w:rPr>
      </w:pPr>
    </w:p>
    <w:p>
      <w:pPr>
        <w:ind w:left="820" w:right="80" w:hanging="326"/>
        <w:spacing w:after="0" w:line="324"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are establishing policies and procedures over the segregation of incompatible duties within our information technology systems and are working to implement controls that mitigate the segregation of duties risks.</w:t>
      </w:r>
    </w:p>
    <w:p>
      <w:pPr>
        <w:spacing w:after="0" w:line="130" w:lineRule="exact"/>
        <w:rPr>
          <w:sz w:val="20"/>
          <w:szCs w:val="20"/>
          <w:color w:val="auto"/>
        </w:rPr>
      </w:pPr>
    </w:p>
    <w:p>
      <w:pPr>
        <w:jc w:val="both"/>
        <w:ind w:left="80" w:right="80" w:firstLine="445"/>
        <w:spacing w:after="0" w:line="357" w:lineRule="auto"/>
        <w:rPr>
          <w:sz w:val="20"/>
          <w:szCs w:val="20"/>
          <w:color w:val="auto"/>
        </w:rPr>
      </w:pPr>
      <w:r>
        <w:rPr>
          <w:rFonts w:ascii="Arial" w:cs="Arial" w:eastAsia="Arial" w:hAnsi="Arial"/>
          <w:sz w:val="17"/>
          <w:szCs w:val="17"/>
          <w:color w:val="auto"/>
        </w:rPr>
        <w:t>The remediation of material weaknesses can be a multi-year process. As we continue to evaluate and work to improve our internal control over financial reporting, we may determine to take additional measures or modify certain activities of the remediation measures described above.</w:t>
      </w:r>
    </w:p>
    <w:p>
      <w:pPr>
        <w:spacing w:after="0" w:line="93" w:lineRule="exact"/>
        <w:rPr>
          <w:sz w:val="20"/>
          <w:szCs w:val="20"/>
          <w:color w:val="auto"/>
        </w:rPr>
      </w:pPr>
    </w:p>
    <w:p>
      <w:pPr>
        <w:jc w:val="both"/>
        <w:ind w:left="80" w:right="80" w:firstLine="445"/>
        <w:spacing w:after="0" w:line="308" w:lineRule="auto"/>
        <w:rPr>
          <w:sz w:val="20"/>
          <w:szCs w:val="20"/>
          <w:color w:val="auto"/>
        </w:rPr>
      </w:pPr>
      <w:r>
        <w:rPr>
          <w:rFonts w:ascii="Arial" w:cs="Arial" w:eastAsia="Arial" w:hAnsi="Arial"/>
          <w:sz w:val="18"/>
          <w:szCs w:val="18"/>
          <w:color w:val="auto"/>
        </w:rPr>
        <w:t>While we have put forth significant effort in our remediation activities as described above, additional actions are required to fully remediate the material weaknesses. In addition, while certain of the above activities have already improved our internal control over financial reporting, many of these improvements have not operated for a sufficient period of time to be able to conclude on effectiveness. We remain committed to continue investing significant time and resources and taking actions to remediate the material weaknesses in our internal control over financial reporting as we work to further enhance our control environment.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ind w:firstLine="405"/>
        <w:spacing w:after="0" w:line="310" w:lineRule="auto"/>
        <w:rPr>
          <w:sz w:val="20"/>
          <w:szCs w:val="20"/>
          <w:color w:val="auto"/>
        </w:rPr>
      </w:pPr>
      <w:r>
        <w:rPr>
          <w:rFonts w:ascii="Arial" w:cs="Arial" w:eastAsia="Arial" w:hAnsi="Arial"/>
          <w:sz w:val="18"/>
          <w:szCs w:val="18"/>
          <w:color w:val="auto"/>
        </w:rPr>
        <w:t>Other than the changes described under “Remediation of Previously Disclosed Material Weakness” and “Remediation Efforts to Address Material Weaknesses” above, there were no changes during the quarter ended December 31, 2022, in our internal control over financial reporting that have materially affected, or are reasonably likely to materially affect, our internal control over financial reporting.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2"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to be filed with the SEC pursuant to Regulation 14A of the Exchange Act within 120 days after the end of the fiscal year ended December 31, 2022 in connection with our 2023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information required by this Item is included in our definitive Proxy Statement (see Item 10 above), and is incorporated herein by reference.</w:t>
      </w:r>
    </w:p>
    <w:p>
      <w:pPr>
        <w:spacing w:after="0" w:line="246" w:lineRule="exact"/>
        <w:rPr>
          <w:sz w:val="20"/>
          <w:szCs w:val="20"/>
          <w:color w:val="auto"/>
        </w:rPr>
      </w:pPr>
    </w:p>
    <w:p>
      <w:pPr>
        <w:jc w:val="both"/>
        <w:ind w:left="900" w:hanging="89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information required by this Item is included in our definitive Proxy Statement (see Item 10 above), and is incorporated herein by reference.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information required by this Item is included in our definitive Proxy Statement (see Item 10 above), and is incorporated herein by reference.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independent registered accounting firm is KPMG LLP, Chicago, IL, Auditor Firm ID: 185.</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information required by this Item is included in our definitive Proxy Statement (see Item 10 above),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225"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Financial Statement Schedules</w:t>
      </w:r>
    </w:p>
    <w:p>
      <w:pPr>
        <w:spacing w:after="0" w:line="188" w:lineRule="exact"/>
        <w:rPr>
          <w:rFonts w:ascii="Arial" w:cs="Arial" w:eastAsia="Arial" w:hAnsi="Arial"/>
          <w:sz w:val="18"/>
          <w:szCs w:val="18"/>
          <w:b w:val="1"/>
          <w:bCs w:val="1"/>
          <w:color w:val="auto"/>
        </w:rPr>
      </w:pPr>
    </w:p>
    <w:p>
      <w:pPr>
        <w:ind w:left="720" w:hanging="388"/>
        <w:spacing w:after="0"/>
        <w:tabs>
          <w:tab w:leader="none" w:pos="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Financial Statements are listed in the Index to Financial Statements on page F-1 of this Annual Report on Form 10-K.</w:t>
      </w:r>
    </w:p>
    <w:p>
      <w:pPr>
        <w:spacing w:after="0" w:line="198" w:lineRule="exact"/>
        <w:rPr>
          <w:rFonts w:ascii="Arial" w:cs="Arial" w:eastAsia="Arial" w:hAnsi="Arial"/>
          <w:sz w:val="18"/>
          <w:szCs w:val="18"/>
          <w:color w:val="auto"/>
        </w:rPr>
      </w:pPr>
    </w:p>
    <w:p>
      <w:pPr>
        <w:ind w:left="660" w:right="20" w:hanging="328"/>
        <w:spacing w:after="0" w:line="324" w:lineRule="auto"/>
        <w:tabs>
          <w:tab w:leader="none" w:pos="831" w:val="left"/>
        </w:tabs>
        <w:numPr>
          <w:ilvl w:val="1"/>
          <w:numId w:val="31"/>
        </w:numPr>
        <w:rPr>
          <w:rFonts w:ascii="Arial" w:cs="Arial" w:eastAsia="Arial" w:hAnsi="Arial"/>
          <w:sz w:val="18"/>
          <w:szCs w:val="18"/>
          <w:color w:val="auto"/>
        </w:rPr>
      </w:pPr>
      <w:r>
        <w:rPr>
          <w:rFonts w:ascii="Arial" w:cs="Arial" w:eastAsia="Arial" w:hAnsi="Arial"/>
          <w:sz w:val="18"/>
          <w:szCs w:val="18"/>
          <w:color w:val="auto"/>
        </w:rPr>
        <w:t>Other schedules are omitted because they are not applicable, not required, or because required information is included in the consolidated financial statements or notes thereto.</w:t>
      </w:r>
    </w:p>
    <w:p>
      <w:pPr>
        <w:sectPr>
          <w:pgSz w:w="11900" w:h="16838" w:orient="portrait"/>
          <w:cols w:equalWidth="0" w:num="1">
            <w:col w:w="11240"/>
          </w:cols>
          <w:pgMar w:left="320" w:top="125" w:right="339" w:bottom="1440"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Exhibits</w:t>
      </w:r>
    </w:p>
    <w:p>
      <w:pPr>
        <w:spacing w:after="0" w:line="168"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Exhibit</w:t>
      </w:r>
    </w:p>
    <w:p>
      <w:pPr>
        <w:jc w:val="center"/>
        <w:ind w:left="380"/>
        <w:spacing w:after="0"/>
        <w:rPr>
          <w:sz w:val="20"/>
          <w:szCs w:val="20"/>
          <w:color w:val="auto"/>
        </w:rPr>
      </w:pPr>
      <w:r>
        <w:rPr>
          <w:rFonts w:ascii="Arial" w:cs="Arial" w:eastAsia="Arial" w:hAnsi="Arial"/>
          <w:sz w:val="16"/>
          <w:szCs w:val="16"/>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8147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3.1</w:t>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3.2</w:t>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3.3</w:t>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4.1</w:t>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4.2</w:t>
      </w:r>
    </w:p>
    <w:p>
      <w:pPr>
        <w:spacing w:after="0" w:line="26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4.3</w:t>
      </w:r>
    </w:p>
    <w:p>
      <w:pPr>
        <w:spacing w:after="0" w:line="2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10.1**</w:t>
      </w:r>
    </w:p>
    <w:p>
      <w:pPr>
        <w:spacing w:after="0" w:line="2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10.2**</w:t>
      </w:r>
    </w:p>
    <w:p>
      <w:pPr>
        <w:spacing w:after="0" w:line="26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10.3**</w:t>
      </w:r>
    </w:p>
    <w:p>
      <w:pPr>
        <w:spacing w:after="0" w:line="2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10.4</w:t>
      </w:r>
    </w:p>
    <w:p>
      <w:pPr>
        <w:spacing w:after="0" w:line="2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10.5</w:t>
      </w:r>
    </w:p>
    <w:p>
      <w:pPr>
        <w:spacing w:after="0" w:line="2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10.6</w:t>
      </w:r>
    </w:p>
    <w:p>
      <w:pPr>
        <w:spacing w:after="0" w:line="2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10.7</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62490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79" w:lineRule="exact"/>
        <w:rPr>
          <w:sz w:val="20"/>
          <w:szCs w:val="20"/>
          <w:color w:val="auto"/>
        </w:rPr>
      </w:pPr>
    </w:p>
    <w:p>
      <w:pPr>
        <w:ind w:right="600"/>
        <w:spacing w:after="0" w:line="235" w:lineRule="auto"/>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Amended and Restated Certificate of Incorporation of Accel Entertainment, Inc. (Incorporated by reference to Exhibit 3.2 to the</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Company’s Current Report on Form 8-K dated November 20, 2019).</w:t>
        </w:r>
      </w:hyperlink>
    </w:p>
    <w:p>
      <w:pPr>
        <w:spacing w:after="0" w:line="67" w:lineRule="exact"/>
        <w:rPr>
          <w:sz w:val="20"/>
          <w:szCs w:val="20"/>
          <w:color w:val="auto"/>
        </w:rPr>
      </w:pPr>
    </w:p>
    <w:p>
      <w:pPr>
        <w:ind w:right="40"/>
        <w:spacing w:after="0" w:line="235" w:lineRule="auto"/>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Amended and Restated Bylaws of Accel Entertainment, Inc. (Incorporated by reference to Exhibit 3.3 to the Company’s Current Report</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on Form 8-K dated November 20, 2019).</w:t>
        </w:r>
      </w:hyperlink>
    </w:p>
    <w:p>
      <w:pPr>
        <w:spacing w:after="0" w:line="67" w:lineRule="exact"/>
        <w:rPr>
          <w:sz w:val="20"/>
          <w:szCs w:val="20"/>
          <w:color w:val="auto"/>
        </w:rPr>
      </w:pPr>
    </w:p>
    <w:p>
      <w:pPr>
        <w:ind w:right="180"/>
        <w:spacing w:after="0" w:line="235" w:lineRule="auto"/>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Amendment No. 1 to the Bylaws of Accel Entertainment, Inc (Incorporated by reference to Exhibit 3.3 to the Current Report on Form</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8-K dated May 6, 2020).</w:t>
        </w:r>
      </w:hyperlink>
    </w:p>
    <w:p>
      <w:pPr>
        <w:spacing w:after="0" w:line="67" w:lineRule="exact"/>
        <w:rPr>
          <w:sz w:val="20"/>
          <w:szCs w:val="20"/>
          <w:color w:val="auto"/>
        </w:rPr>
      </w:pPr>
    </w:p>
    <w:p>
      <w:pPr>
        <w:ind w:right="480"/>
        <w:spacing w:after="0" w:line="289" w:lineRule="auto"/>
        <w:rPr>
          <w:rFonts w:ascii="Arial" w:cs="Arial" w:eastAsia="Arial" w:hAnsi="Arial"/>
          <w:sz w:val="16"/>
          <w:szCs w:val="16"/>
          <w:u w:val="single" w:color="auto"/>
          <w:color w:val="0000FF"/>
        </w:rPr>
      </w:pPr>
      <w:hyperlink r:id="rId78">
        <w:r>
          <w:rPr>
            <w:rFonts w:ascii="Arial" w:cs="Arial" w:eastAsia="Arial" w:hAnsi="Arial"/>
            <w:sz w:val="16"/>
            <w:szCs w:val="16"/>
            <w:u w:val="single" w:color="auto"/>
            <w:color w:val="0000FF"/>
          </w:rPr>
          <w:t>Description of the Company’s Common Stock Registered Under Section 12 of the Securities Exchange Act of 1934, as amended</w:t>
        </w:r>
      </w:hyperlink>
      <w:r>
        <w:rPr>
          <w:rFonts w:ascii="Arial" w:cs="Arial" w:eastAsia="Arial" w:hAnsi="Arial"/>
          <w:sz w:val="16"/>
          <w:szCs w:val="16"/>
          <w:u w:val="single" w:color="auto"/>
          <w:color w:val="0000FF"/>
        </w:rPr>
        <w:t xml:space="preserve"> </w:t>
      </w:r>
      <w:hyperlink r:id="rId78">
        <w:r>
          <w:rPr>
            <w:rFonts w:ascii="Arial" w:cs="Arial" w:eastAsia="Arial" w:hAnsi="Arial"/>
            <w:sz w:val="16"/>
            <w:szCs w:val="16"/>
            <w:u w:val="single" w:color="auto"/>
            <w:color w:val="0000FF"/>
          </w:rPr>
          <w:t>(Incorporated by reference to Exhibit 4.1 to the Company's Annual Report on Form 10-K for the year ended December 31, 2020).</w:t>
        </w:r>
      </w:hyperlink>
    </w:p>
    <w:p>
      <w:pPr>
        <w:spacing w:after="0" w:line="29" w:lineRule="exact"/>
        <w:rPr>
          <w:sz w:val="20"/>
          <w:szCs w:val="20"/>
          <w:color w:val="auto"/>
        </w:rPr>
      </w:pPr>
    </w:p>
    <w:p>
      <w:pPr>
        <w:ind w:right="380"/>
        <w:spacing w:after="0" w:line="235" w:lineRule="auto"/>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Nominating and Support Agreement, dated November 6, 2019 (Incorporated by reference to Exhibit 10.1 filed with the Company’s</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Current Report on Form 8-K dated November 6, 2019).</w:t>
        </w:r>
      </w:hyperlink>
    </w:p>
    <w:p>
      <w:pPr>
        <w:spacing w:after="0" w:line="67" w:lineRule="exact"/>
        <w:rPr>
          <w:sz w:val="20"/>
          <w:szCs w:val="20"/>
          <w:color w:val="auto"/>
        </w:rPr>
      </w:pPr>
    </w:p>
    <w:p>
      <w:pPr>
        <w:ind w:right="420"/>
        <w:spacing w:after="0" w:line="235" w:lineRule="auto"/>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Mutual Support Agreement, dated November 6, 2019 (Incorporated by reference to Exhibit 99.1 filed with the Company’s Current</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Report on Form 8-K dated November 6, 2019).</w:t>
        </w:r>
      </w:hyperlink>
    </w:p>
    <w:p>
      <w:pPr>
        <w:spacing w:after="0" w:line="67" w:lineRule="exact"/>
        <w:rPr>
          <w:sz w:val="20"/>
          <w:szCs w:val="20"/>
          <w:color w:val="auto"/>
        </w:rPr>
      </w:pPr>
    </w:p>
    <w:p>
      <w:pPr>
        <w:ind w:right="300"/>
        <w:spacing w:after="0" w:line="235" w:lineRule="auto"/>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Accel Entertainment, Inc. Long Term Incentive Plan (Incorporated by reference to Exhibit 10.1 to the Company’s Current Report on</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Form 8-K dated November 20, 2019).</w:t>
        </w:r>
      </w:hyperlink>
    </w:p>
    <w:p>
      <w:pPr>
        <w:spacing w:after="0" w:line="67" w:lineRule="exact"/>
        <w:rPr>
          <w:sz w:val="20"/>
          <w:szCs w:val="20"/>
          <w:color w:val="auto"/>
        </w:rPr>
      </w:pPr>
    </w:p>
    <w:p>
      <w:pPr>
        <w:ind w:right="740"/>
        <w:spacing w:after="0" w:line="235" w:lineRule="auto"/>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Accel Entertainment, Inc. 2011 Equity Incentive Plan (Incorporated by reference to Exhibit 4.4 to the Company’s Registration</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Statement on Form S-8 dated January 24, 2020).</w:t>
        </w:r>
      </w:hyperlink>
    </w:p>
    <w:p>
      <w:pPr>
        <w:spacing w:after="0" w:line="67" w:lineRule="exact"/>
        <w:rPr>
          <w:sz w:val="20"/>
          <w:szCs w:val="20"/>
          <w:color w:val="auto"/>
        </w:rPr>
      </w:pPr>
    </w:p>
    <w:p>
      <w:pPr>
        <w:ind w:right="740"/>
        <w:spacing w:after="0" w:line="235" w:lineRule="auto"/>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Accel Entertainment, Inc. 2016 Equity Incentive Plan (Incorporated by reference to Exhibit 4.5 to the Company’s Registration</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Statement on Form S-8 dated January 24, 2020).</w:t>
        </w:r>
      </w:hyperlink>
    </w:p>
    <w:p>
      <w:pPr>
        <w:spacing w:after="0" w:line="67" w:lineRule="exact"/>
        <w:rPr>
          <w:sz w:val="20"/>
          <w:szCs w:val="20"/>
          <w:color w:val="auto"/>
        </w:rPr>
      </w:pPr>
    </w:p>
    <w:p>
      <w:pPr>
        <w:ind w:right="460"/>
        <w:spacing w:after="0" w:line="235" w:lineRule="auto"/>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Restricted Stock Agreement, dated as of November 20, 2019 (Incorporated by reference to Exhibit 10.2 to the Company’s Current</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Report on Form 8-K dated November 20, 2019).</w:t>
        </w:r>
      </w:hyperlink>
    </w:p>
    <w:p>
      <w:pPr>
        <w:spacing w:after="0" w:line="67" w:lineRule="exact"/>
        <w:rPr>
          <w:sz w:val="20"/>
          <w:szCs w:val="20"/>
          <w:color w:val="auto"/>
        </w:rPr>
      </w:pPr>
    </w:p>
    <w:p>
      <w:pPr>
        <w:ind w:right="300"/>
        <w:spacing w:after="0" w:line="235" w:lineRule="auto"/>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Warrant Agreement, dated as of November 20, 2019 (Incorporated by reference to Exhibit 10.3 to the Company’s Current Report on</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Form 8-K dated November 20, 2019).</w:t>
        </w:r>
      </w:hyperlink>
    </w:p>
    <w:p>
      <w:pPr>
        <w:spacing w:after="0" w:line="67" w:lineRule="exact"/>
        <w:rPr>
          <w:sz w:val="20"/>
          <w:szCs w:val="20"/>
          <w:color w:val="auto"/>
        </w:rPr>
      </w:pPr>
    </w:p>
    <w:p>
      <w:pPr>
        <w:ind w:right="240"/>
        <w:spacing w:after="0" w:line="235" w:lineRule="auto"/>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Registration Rights Agreement, dated as of November 20, 2019 (Incorporated by reference to Exhibit 10.4 to the Company’s Current</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Report on Form 8-K dated November 20, 2019).</w:t>
        </w:r>
      </w:hyperlink>
    </w:p>
    <w:p>
      <w:pPr>
        <w:spacing w:after="0" w:line="67" w:lineRule="exact"/>
        <w:rPr>
          <w:sz w:val="20"/>
          <w:szCs w:val="20"/>
          <w:color w:val="auto"/>
        </w:rPr>
      </w:pPr>
    </w:p>
    <w:p>
      <w:pPr>
        <w:ind w:right="660"/>
        <w:spacing w:after="0" w:line="235" w:lineRule="auto"/>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Form of Indemnity Agreement (Incorporated by reference to Exhibit 10.5 to the Company’s Current Report on Form 8-K dated</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November 20, 2019).</w:t>
        </w:r>
      </w:hyperlink>
    </w:p>
    <w:p>
      <w:pPr>
        <w:spacing w:after="0" w:line="67" w:lineRule="exact"/>
        <w:rPr>
          <w:sz w:val="20"/>
          <w:szCs w:val="20"/>
          <w:color w:val="auto"/>
        </w:rPr>
      </w:pPr>
    </w:p>
    <w:p>
      <w:pPr>
        <w:ind w:right="80"/>
        <w:spacing w:after="0" w:line="224" w:lineRule="auto"/>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Membership Interest Purchase Agreement, by and among GRE-Illinois, LLC, Great River Entertainment, LLC, Grand River Jackpot,</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LLC and Accel Entertainment Gaming, LLC, dated as of August 26, 2019 (Incorporated by reference to Exhibit 10.6 to the Company’s</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Current Report on Form 8-K dated November 20, 2019).</w:t>
        </w:r>
      </w:hyperlink>
    </w:p>
    <w:p>
      <w:pPr>
        <w:spacing w:after="0" w:line="31" w:lineRule="exact"/>
        <w:rPr>
          <w:rFonts w:ascii="Arial" w:cs="Arial" w:eastAsia="Arial" w:hAnsi="Arial"/>
          <w:sz w:val="18"/>
          <w:szCs w:val="18"/>
          <w:u w:val="single" w:color="auto"/>
          <w:color w:val="0000FF"/>
        </w:rPr>
      </w:pPr>
    </w:p>
    <w:p>
      <w:pPr>
        <w:sectPr>
          <w:pgSz w:w="11900" w:h="16838" w:orient="portrait"/>
          <w:cols w:equalWidth="0" w:num="2">
            <w:col w:w="920" w:space="500"/>
            <w:col w:w="98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1420" w:type="dxa"/>
            <w:vAlign w:val="bottom"/>
          </w:tcPr>
          <w:p>
            <w:pPr>
              <w:jc w:val="right"/>
              <w:ind w:right="530"/>
              <w:spacing w:after="0"/>
              <w:rPr>
                <w:sz w:val="20"/>
                <w:szCs w:val="20"/>
                <w:color w:val="auto"/>
              </w:rPr>
            </w:pPr>
            <w:r>
              <w:rPr>
                <w:rFonts w:ascii="Arial" w:cs="Arial" w:eastAsia="Arial" w:hAnsi="Arial"/>
                <w:sz w:val="18"/>
                <w:szCs w:val="18"/>
                <w:color w:val="auto"/>
              </w:rPr>
              <w:t>10.9</w:t>
            </w:r>
          </w:p>
        </w:tc>
        <w:tc>
          <w:tcPr>
            <w:tcW w:w="9820" w:type="dxa"/>
            <w:vAlign w:val="bottom"/>
            <w:gridSpan w:val="7"/>
          </w:tcPr>
          <w:p>
            <w:pPr>
              <w:spacing w:after="0"/>
              <w:rPr>
                <w:rFonts w:ascii="Arial" w:cs="Arial" w:eastAsia="Arial" w:hAnsi="Arial"/>
                <w:sz w:val="18"/>
                <w:szCs w:val="18"/>
                <w:color w:val="0000FF"/>
                <w:w w:val="91"/>
              </w:rPr>
            </w:pPr>
            <w:hyperlink r:id="rId89">
              <w:r>
                <w:rPr>
                  <w:rFonts w:ascii="Arial" w:cs="Arial" w:eastAsia="Arial" w:hAnsi="Arial"/>
                  <w:sz w:val="18"/>
                  <w:szCs w:val="18"/>
                  <w:color w:val="0000FF"/>
                  <w:w w:val="91"/>
                </w:rPr>
                <w:t>Credit Agreement, by and among New Pace LLC, the Company, Capital One, National Association and the other parties thereto, dated</w:t>
              </w:r>
            </w:hyperlink>
          </w:p>
        </w:tc>
      </w:tr>
      <w:tr>
        <w:trPr>
          <w:trHeight w:val="155"/>
        </w:trPr>
        <w:tc>
          <w:tcPr>
            <w:tcW w:w="1420" w:type="dxa"/>
            <w:vAlign w:val="bottom"/>
          </w:tcPr>
          <w:p>
            <w:pPr>
              <w:spacing w:after="0"/>
              <w:rPr>
                <w:sz w:val="13"/>
                <w:szCs w:val="13"/>
                <w:color w:val="auto"/>
              </w:rPr>
            </w:pPr>
          </w:p>
        </w:tc>
        <w:tc>
          <w:tcPr>
            <w:tcW w:w="9680" w:type="dxa"/>
            <w:vAlign w:val="bottom"/>
            <w:tcBorders>
              <w:top w:val="single" w:sz="8" w:color="0000FF"/>
            </w:tcBorders>
            <w:gridSpan w:val="6"/>
          </w:tcPr>
          <w:p>
            <w:pPr>
              <w:spacing w:after="0" w:line="156"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as of November 13, 2019 (Incorporated by reference to Exhibit 10.1 to the Company’s Current Report on Form 8-K dated November</w:t>
              </w:r>
            </w:hyperlink>
          </w:p>
        </w:tc>
        <w:tc>
          <w:tcPr>
            <w:tcW w:w="140" w:type="dxa"/>
            <w:vAlign w:val="bottom"/>
          </w:tcPr>
          <w:p>
            <w:pPr>
              <w:spacing w:after="0"/>
              <w:rPr>
                <w:sz w:val="13"/>
                <w:szCs w:val="13"/>
                <w:color w:val="auto"/>
              </w:rPr>
            </w:pPr>
          </w:p>
        </w:tc>
      </w:tr>
      <w:tr>
        <w:trPr>
          <w:trHeight w:val="156"/>
        </w:trPr>
        <w:tc>
          <w:tcPr>
            <w:tcW w:w="142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89">
              <w:r>
                <w:rPr>
                  <w:rFonts w:ascii="Arial" w:cs="Arial" w:eastAsia="Arial" w:hAnsi="Arial"/>
                  <w:sz w:val="18"/>
                  <w:szCs w:val="18"/>
                  <w:color w:val="0000FF"/>
                  <w:w w:val="88"/>
                </w:rPr>
                <w:t>13, 2019).</w:t>
              </w:r>
            </w:hyperlink>
          </w:p>
        </w:tc>
        <w:tc>
          <w:tcPr>
            <w:tcW w:w="460" w:type="dxa"/>
            <w:vAlign w:val="bottom"/>
            <w:tcBorders>
              <w:top w:val="single" w:sz="8" w:color="0000FF"/>
            </w:tcBorders>
          </w:tcPr>
          <w:p>
            <w:pPr>
              <w:spacing w:after="0"/>
              <w:rPr>
                <w:sz w:val="13"/>
                <w:szCs w:val="13"/>
                <w:color w:val="auto"/>
              </w:rPr>
            </w:pPr>
          </w:p>
        </w:tc>
        <w:tc>
          <w:tcPr>
            <w:tcW w:w="81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77"/>
        </w:trPr>
        <w:tc>
          <w:tcPr>
            <w:tcW w:w="1420" w:type="dxa"/>
            <w:vAlign w:val="bottom"/>
          </w:tcPr>
          <w:p>
            <w:pPr>
              <w:jc w:val="center"/>
              <w:ind w:right="30"/>
              <w:spacing w:after="0"/>
              <w:rPr>
                <w:sz w:val="20"/>
                <w:szCs w:val="20"/>
                <w:color w:val="auto"/>
              </w:rPr>
            </w:pPr>
            <w:r>
              <w:rPr>
                <w:rFonts w:ascii="Arial" w:cs="Arial" w:eastAsia="Arial" w:hAnsi="Arial"/>
                <w:sz w:val="18"/>
                <w:szCs w:val="18"/>
                <w:color w:val="auto"/>
                <w:w w:val="98"/>
              </w:rPr>
              <w:t>10.9(A)</w:t>
            </w:r>
          </w:p>
        </w:tc>
        <w:tc>
          <w:tcPr>
            <w:tcW w:w="9820" w:type="dxa"/>
            <w:vAlign w:val="bottom"/>
            <w:gridSpan w:val="7"/>
          </w:tcPr>
          <w:p>
            <w:pPr>
              <w:spacing w:after="0"/>
              <w:rPr>
                <w:rFonts w:ascii="Arial" w:cs="Arial" w:eastAsia="Arial" w:hAnsi="Arial"/>
                <w:sz w:val="18"/>
                <w:szCs w:val="18"/>
                <w:color w:val="0000FF"/>
                <w:w w:val="95"/>
              </w:rPr>
            </w:pPr>
            <w:hyperlink r:id="rId90">
              <w:r>
                <w:rPr>
                  <w:rFonts w:ascii="Arial" w:cs="Arial" w:eastAsia="Arial" w:hAnsi="Arial"/>
                  <w:sz w:val="18"/>
                  <w:szCs w:val="18"/>
                  <w:color w:val="0000FF"/>
                  <w:w w:val="95"/>
                </w:rPr>
                <w:t>Amendment No.1 to the Credit Agreement, by and among the Registrant, Capital One, National Association and the other parties</w:t>
              </w:r>
            </w:hyperlink>
          </w:p>
        </w:tc>
      </w:tr>
      <w:tr>
        <w:trPr>
          <w:trHeight w:val="156"/>
        </w:trPr>
        <w:tc>
          <w:tcPr>
            <w:tcW w:w="1420" w:type="dxa"/>
            <w:vAlign w:val="bottom"/>
          </w:tcPr>
          <w:p>
            <w:pPr>
              <w:spacing w:after="0"/>
              <w:rPr>
                <w:sz w:val="13"/>
                <w:szCs w:val="13"/>
                <w:color w:val="auto"/>
              </w:rPr>
            </w:pPr>
          </w:p>
        </w:tc>
        <w:tc>
          <w:tcPr>
            <w:tcW w:w="9300" w:type="dxa"/>
            <w:vAlign w:val="bottom"/>
            <w:tcBorders>
              <w:top w:val="single" w:sz="8" w:color="0000FF"/>
            </w:tcBorders>
            <w:gridSpan w:val="3"/>
          </w:tcPr>
          <w:p>
            <w:pPr>
              <w:spacing w:after="0" w:line="156" w:lineRule="exact"/>
              <w:rPr>
                <w:rFonts w:ascii="Arial" w:cs="Arial" w:eastAsia="Arial" w:hAnsi="Arial"/>
                <w:sz w:val="18"/>
                <w:szCs w:val="18"/>
                <w:color w:val="0000FF"/>
                <w:w w:val="92"/>
              </w:rPr>
            </w:pPr>
            <w:hyperlink r:id="rId90">
              <w:r>
                <w:rPr>
                  <w:rFonts w:ascii="Arial" w:cs="Arial" w:eastAsia="Arial" w:hAnsi="Arial"/>
                  <w:sz w:val="18"/>
                  <w:szCs w:val="18"/>
                  <w:color w:val="0000FF"/>
                  <w:w w:val="92"/>
                </w:rPr>
                <w:t>thereto, dated November 13, 2019 (Incorporated by reference to Exhibit 10.9(A) to the Company’s Current Report on Form 8-K</w:t>
              </w:r>
            </w:hyperlink>
          </w:p>
        </w:tc>
        <w:tc>
          <w:tcPr>
            <w:tcW w:w="520" w:type="dxa"/>
            <w:vAlign w:val="bottom"/>
            <w:gridSpan w:val="4"/>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dated</w:t>
              </w:r>
            </w:hyperlink>
          </w:p>
        </w:tc>
      </w:tr>
      <w:tr>
        <w:trPr>
          <w:trHeight w:val="155"/>
        </w:trPr>
        <w:tc>
          <w:tcPr>
            <w:tcW w:w="1420" w:type="dxa"/>
            <w:vAlign w:val="bottom"/>
          </w:tcPr>
          <w:p>
            <w:pPr>
              <w:spacing w:after="0"/>
              <w:rPr>
                <w:sz w:val="13"/>
                <w:szCs w:val="13"/>
                <w:color w:val="auto"/>
              </w:rPr>
            </w:pPr>
          </w:p>
        </w:tc>
        <w:tc>
          <w:tcPr>
            <w:tcW w:w="964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August 6, 2020).</w:t>
              </w:r>
            </w:hyperlink>
          </w:p>
        </w:tc>
        <w:tc>
          <w:tcPr>
            <w:tcW w:w="180" w:type="dxa"/>
            <w:vAlign w:val="bottom"/>
            <w:gridSpan w:val="2"/>
          </w:tcPr>
          <w:p>
            <w:pPr>
              <w:spacing w:after="0"/>
              <w:rPr>
                <w:sz w:val="13"/>
                <w:szCs w:val="13"/>
                <w:color w:val="auto"/>
              </w:rPr>
            </w:pPr>
          </w:p>
        </w:tc>
      </w:tr>
      <w:tr>
        <w:trPr>
          <w:trHeight w:val="979"/>
        </w:trPr>
        <w:tc>
          <w:tcPr>
            <w:tcW w:w="1420" w:type="dxa"/>
            <w:vAlign w:val="bottom"/>
          </w:tcPr>
          <w:p>
            <w:pPr>
              <w:spacing w:after="0"/>
              <w:rPr>
                <w:sz w:val="24"/>
                <w:szCs w:val="24"/>
                <w:color w:val="auto"/>
              </w:rPr>
            </w:pPr>
          </w:p>
        </w:tc>
        <w:tc>
          <w:tcPr>
            <w:tcW w:w="1200" w:type="dxa"/>
            <w:vAlign w:val="bottom"/>
            <w:tcBorders>
              <w:top w:val="single" w:sz="8" w:color="0000FF"/>
            </w:tcBorders>
            <w:gridSpan w:val="2"/>
          </w:tcPr>
          <w:p>
            <w:pPr>
              <w:spacing w:after="0"/>
              <w:rPr>
                <w:sz w:val="24"/>
                <w:szCs w:val="24"/>
                <w:color w:val="auto"/>
              </w:rPr>
            </w:pPr>
          </w:p>
        </w:tc>
        <w:tc>
          <w:tcPr>
            <w:tcW w:w="8100" w:type="dxa"/>
            <w:vAlign w:val="bottom"/>
          </w:tcPr>
          <w:p>
            <w:pPr>
              <w:jc w:val="right"/>
              <w:ind w:right="491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10.9(B)</w:t>
      </w:r>
    </w:p>
    <w:p>
      <w:pPr>
        <w:spacing w:after="0" w:line="200" w:lineRule="exact"/>
        <w:rPr>
          <w:sz w:val="20"/>
          <w:szCs w:val="20"/>
          <w:color w:val="auto"/>
        </w:rPr>
      </w:pP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10.10(A)**</w:t>
      </w:r>
    </w:p>
    <w:p>
      <w:pPr>
        <w:spacing w:after="0" w:line="200" w:lineRule="exact"/>
        <w:rPr>
          <w:sz w:val="20"/>
          <w:szCs w:val="20"/>
          <w:color w:val="auto"/>
        </w:rPr>
      </w:pPr>
    </w:p>
    <w:p>
      <w:pPr>
        <w:spacing w:after="0" w:line="25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10.11(A)**</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10.12(A)**</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10.12(B)**</w:t>
      </w:r>
    </w:p>
    <w:p>
      <w:pPr>
        <w:spacing w:after="0" w:line="3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10.13**</w:t>
      </w:r>
    </w:p>
    <w:p>
      <w:pPr>
        <w:spacing w:after="0" w:line="3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10.14**</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10.15**</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10.16**</w:t>
      </w:r>
    </w:p>
    <w:p>
      <w:pPr>
        <w:spacing w:after="0" w:line="30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10.17**</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10.17(A) **</w:t>
      </w:r>
    </w:p>
    <w:p>
      <w:pPr>
        <w:spacing w:after="0" w:line="200" w:lineRule="exact"/>
        <w:rPr>
          <w:sz w:val="20"/>
          <w:szCs w:val="20"/>
          <w:color w:val="auto"/>
        </w:rPr>
      </w:pPr>
    </w:p>
    <w:p>
      <w:pPr>
        <w:spacing w:after="0" w:line="241"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10.18**</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10.19</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10.20</w:t>
      </w:r>
    </w:p>
    <w:p>
      <w:pPr>
        <w:spacing w:after="0" w:line="3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60"/>
        <w:spacing w:after="0" w:line="224" w:lineRule="auto"/>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Amendment No. 2 to the Credit Agreement, by and among the Registrant, Capital One, National Association and the other parties</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thereto, dated November 13, 2019 (Incorporated by reference to Exhibit 10.9(B) to the Company’s Current Report on Form 8-K dated</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October 22, 2021)</w:t>
        </w:r>
      </w:hyperlink>
    </w:p>
    <w:p>
      <w:pPr>
        <w:spacing w:after="0" w:line="14" w:lineRule="exact"/>
        <w:rPr>
          <w:rFonts w:ascii="Arial" w:cs="Arial" w:eastAsia="Arial" w:hAnsi="Arial"/>
          <w:sz w:val="18"/>
          <w:szCs w:val="18"/>
          <w:u w:val="single" w:color="auto"/>
          <w:color w:val="0000FF"/>
        </w:rPr>
      </w:pPr>
    </w:p>
    <w:p>
      <w:pPr>
        <w:ind w:right="80"/>
        <w:spacing w:after="0" w:line="241" w:lineRule="auto"/>
        <w:rPr>
          <w:rFonts w:ascii="Arial" w:cs="Arial" w:eastAsia="Arial" w:hAnsi="Arial"/>
          <w:sz w:val="16"/>
          <w:szCs w:val="16"/>
          <w:u w:val="single" w:color="auto"/>
          <w:color w:val="0000FF"/>
        </w:rPr>
      </w:pPr>
      <w:hyperlink r:id="rId94">
        <w:r>
          <w:rPr>
            <w:rFonts w:ascii="Arial" w:cs="Arial" w:eastAsia="Arial" w:hAnsi="Arial"/>
            <w:sz w:val="16"/>
            <w:szCs w:val="16"/>
            <w:u w:val="single" w:color="auto"/>
            <w:color w:val="0000FF"/>
          </w:rPr>
          <w:t>Employment Agreement by and between Accel Entertainment Gaming, LLC and Andrew Rubenstein, dated as of January 28, 2013, as</w:t>
        </w:r>
      </w:hyperlink>
      <w:r>
        <w:rPr>
          <w:rFonts w:ascii="Arial" w:cs="Arial" w:eastAsia="Arial" w:hAnsi="Arial"/>
          <w:sz w:val="16"/>
          <w:szCs w:val="16"/>
          <w:u w:val="single" w:color="auto"/>
          <w:color w:val="0000FF"/>
        </w:rPr>
        <w:t xml:space="preserve"> </w:t>
      </w:r>
      <w:hyperlink r:id="rId94">
        <w:r>
          <w:rPr>
            <w:rFonts w:ascii="Arial" w:cs="Arial" w:eastAsia="Arial" w:hAnsi="Arial"/>
            <w:sz w:val="16"/>
            <w:szCs w:val="16"/>
            <w:u w:val="single" w:color="auto"/>
            <w:color w:val="0000FF"/>
          </w:rPr>
          <w:t>amended by First Amendment to Employment Agreement, dated December 13, 2016, and Second Amendment to Employment</w:t>
        </w:r>
      </w:hyperlink>
      <w:r>
        <w:rPr>
          <w:rFonts w:ascii="Arial" w:cs="Arial" w:eastAsia="Arial" w:hAnsi="Arial"/>
          <w:sz w:val="16"/>
          <w:szCs w:val="16"/>
          <w:u w:val="single" w:color="auto"/>
          <w:color w:val="0000FF"/>
        </w:rPr>
        <w:t xml:space="preserve"> </w:t>
      </w:r>
      <w:hyperlink r:id="rId94">
        <w:r>
          <w:rPr>
            <w:rFonts w:ascii="Arial" w:cs="Arial" w:eastAsia="Arial" w:hAnsi="Arial"/>
            <w:sz w:val="16"/>
            <w:szCs w:val="16"/>
            <w:u w:val="single" w:color="auto"/>
            <w:color w:val="0000FF"/>
          </w:rPr>
          <w:t>Agreement, dated as of January 31, 2019 (Incorporated by reference to Exhibit 10.16 to the proxy statement/prospectus on Form S-4/A</w:t>
        </w:r>
      </w:hyperlink>
    </w:p>
    <w:p>
      <w:pPr>
        <w:spacing w:after="0" w:line="2" w:lineRule="exact"/>
        <w:rPr>
          <w:rFonts w:ascii="Arial" w:cs="Arial" w:eastAsia="Arial" w:hAnsi="Arial"/>
          <w:sz w:val="16"/>
          <w:szCs w:val="16"/>
          <w:u w:val="single" w:color="auto"/>
          <w:color w:val="0000FF"/>
        </w:rPr>
      </w:pPr>
    </w:p>
    <w:p>
      <w:pPr>
        <w:spacing w:after="0"/>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dated October 24, 2019).</w:t>
        </w:r>
      </w:hyperlink>
    </w:p>
    <w:p>
      <w:pPr>
        <w:spacing w:after="0" w:line="61" w:lineRule="exact"/>
        <w:rPr>
          <w:rFonts w:ascii="Arial" w:cs="Arial" w:eastAsia="Arial" w:hAnsi="Arial"/>
          <w:sz w:val="16"/>
          <w:szCs w:val="16"/>
          <w:u w:val="single" w:color="auto"/>
          <w:color w:val="0000FF"/>
        </w:rPr>
      </w:pPr>
    </w:p>
    <w:p>
      <w:pPr>
        <w:ind w:right="160"/>
        <w:spacing w:after="0" w:line="224" w:lineRule="auto"/>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Amended and Restated Executive Employment Agreement, dated July 15, 2020, by and between Accel Entertainment, Inc., and</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Andrew Rubenstein (Incorporated by reference to Exhibit 10.10(A) to the Current Report on Form 8-K filed with the SEC on July 20,</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2020).</w:t>
        </w:r>
      </w:hyperlink>
    </w:p>
    <w:p>
      <w:pPr>
        <w:spacing w:after="0" w:line="68" w:lineRule="exact"/>
        <w:rPr>
          <w:rFonts w:ascii="Arial" w:cs="Arial" w:eastAsia="Arial" w:hAnsi="Arial"/>
          <w:sz w:val="18"/>
          <w:szCs w:val="18"/>
          <w:u w:val="single" w:color="auto"/>
          <w:color w:val="0000FF"/>
        </w:rPr>
      </w:pPr>
    </w:p>
    <w:p>
      <w:pPr>
        <w:ind w:right="420"/>
        <w:spacing w:after="0" w:line="241" w:lineRule="auto"/>
        <w:rPr>
          <w:rFonts w:ascii="Arial" w:cs="Arial" w:eastAsia="Arial" w:hAnsi="Arial"/>
          <w:sz w:val="16"/>
          <w:szCs w:val="16"/>
          <w:u w:val="single" w:color="auto"/>
          <w:color w:val="0000FF"/>
        </w:rPr>
      </w:pPr>
      <w:hyperlink r:id="rId96">
        <w:r>
          <w:rPr>
            <w:rFonts w:ascii="Arial" w:cs="Arial" w:eastAsia="Arial" w:hAnsi="Arial"/>
            <w:sz w:val="16"/>
            <w:szCs w:val="16"/>
            <w:u w:val="single" w:color="auto"/>
            <w:color w:val="0000FF"/>
          </w:rPr>
          <w:t>Employment Agreement by and between Accel Entertainment Gaming, LLC and Brian Carroll, dated as of March 18, 2014, as</w:t>
        </w:r>
      </w:hyperlink>
      <w:r>
        <w:rPr>
          <w:rFonts w:ascii="Arial" w:cs="Arial" w:eastAsia="Arial" w:hAnsi="Arial"/>
          <w:sz w:val="16"/>
          <w:szCs w:val="16"/>
          <w:u w:val="single" w:color="auto"/>
          <w:color w:val="0000FF"/>
        </w:rPr>
        <w:t xml:space="preserve"> </w:t>
      </w:r>
      <w:hyperlink r:id="rId96">
        <w:r>
          <w:rPr>
            <w:rFonts w:ascii="Arial" w:cs="Arial" w:eastAsia="Arial" w:hAnsi="Arial"/>
            <w:sz w:val="16"/>
            <w:szCs w:val="16"/>
            <w:u w:val="single" w:color="auto"/>
            <w:color w:val="0000FF"/>
          </w:rPr>
          <w:t>amended by First Amendment to Employment Agreement, dated November 9, 2017, and Second Amendment to Employment</w:t>
        </w:r>
      </w:hyperlink>
      <w:r>
        <w:rPr>
          <w:rFonts w:ascii="Arial" w:cs="Arial" w:eastAsia="Arial" w:hAnsi="Arial"/>
          <w:sz w:val="16"/>
          <w:szCs w:val="16"/>
          <w:u w:val="single" w:color="auto"/>
          <w:color w:val="0000FF"/>
        </w:rPr>
        <w:t xml:space="preserve"> </w:t>
      </w:r>
      <w:hyperlink r:id="rId96">
        <w:r>
          <w:rPr>
            <w:rFonts w:ascii="Arial" w:cs="Arial" w:eastAsia="Arial" w:hAnsi="Arial"/>
            <w:sz w:val="16"/>
            <w:szCs w:val="16"/>
            <w:u w:val="single" w:color="auto"/>
            <w:color w:val="0000FF"/>
          </w:rPr>
          <w:t>Agreement, dated as of July 9, 2018 (Incorporated by reference to Exhibit 10.17 to the proxy statement/prospectus on Form S-4/A</w:t>
        </w:r>
      </w:hyperlink>
    </w:p>
    <w:p>
      <w:pPr>
        <w:spacing w:after="0" w:line="2" w:lineRule="exact"/>
        <w:rPr>
          <w:rFonts w:ascii="Arial" w:cs="Arial" w:eastAsia="Arial" w:hAnsi="Arial"/>
          <w:sz w:val="16"/>
          <w:szCs w:val="16"/>
          <w:u w:val="single" w:color="auto"/>
          <w:color w:val="0000FF"/>
        </w:rPr>
      </w:pPr>
    </w:p>
    <w:p>
      <w:pPr>
        <w:spacing w:after="0"/>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dated October 24, 2019).</w:t>
        </w:r>
      </w:hyperlink>
    </w:p>
    <w:p>
      <w:pPr>
        <w:spacing w:after="0" w:line="61" w:lineRule="exact"/>
        <w:rPr>
          <w:rFonts w:ascii="Arial" w:cs="Arial" w:eastAsia="Arial" w:hAnsi="Arial"/>
          <w:sz w:val="16"/>
          <w:szCs w:val="16"/>
          <w:u w:val="single" w:color="auto"/>
          <w:color w:val="0000FF"/>
        </w:rPr>
      </w:pPr>
    </w:p>
    <w:p>
      <w:pPr>
        <w:jc w:val="both"/>
        <w:ind w:right="100"/>
        <w:spacing w:after="0" w:line="289" w:lineRule="auto"/>
        <w:rPr>
          <w:rFonts w:ascii="Arial" w:cs="Arial" w:eastAsia="Arial" w:hAnsi="Arial"/>
          <w:sz w:val="16"/>
          <w:szCs w:val="16"/>
          <w:u w:val="single" w:color="auto"/>
          <w:color w:val="0000FF"/>
        </w:rPr>
      </w:pPr>
      <w:hyperlink r:id="rId97">
        <w:r>
          <w:rPr>
            <w:rFonts w:ascii="Arial" w:cs="Arial" w:eastAsia="Arial" w:hAnsi="Arial"/>
            <w:sz w:val="16"/>
            <w:szCs w:val="16"/>
            <w:u w:val="single" w:color="auto"/>
            <w:color w:val="0000FF"/>
          </w:rPr>
          <w:t>Amended and Restated Executive Employment Agreement, dated July 16, 2020, by and between Accel Entertainment, Inc., and Derek</w:t>
        </w:r>
      </w:hyperlink>
      <w:r>
        <w:rPr>
          <w:rFonts w:ascii="Arial" w:cs="Arial" w:eastAsia="Arial" w:hAnsi="Arial"/>
          <w:sz w:val="16"/>
          <w:szCs w:val="16"/>
          <w:u w:val="single" w:color="auto"/>
          <w:color w:val="0000FF"/>
        </w:rPr>
        <w:t xml:space="preserve"> </w:t>
      </w:r>
      <w:hyperlink r:id="rId97">
        <w:r>
          <w:rPr>
            <w:rFonts w:ascii="Arial" w:cs="Arial" w:eastAsia="Arial" w:hAnsi="Arial"/>
            <w:sz w:val="16"/>
            <w:szCs w:val="16"/>
            <w:u w:val="single" w:color="auto"/>
            <w:color w:val="0000FF"/>
          </w:rPr>
          <w:t>Harmer (Incorporated by reference to Exhibit 10.11(A) to the Current Report on Form 8-K filed with the SEC on July 20, 2020).</w:t>
        </w:r>
      </w:hyperlink>
    </w:p>
    <w:p>
      <w:pPr>
        <w:spacing w:after="0" w:line="29" w:lineRule="exact"/>
        <w:rPr>
          <w:sz w:val="20"/>
          <w:szCs w:val="20"/>
          <w:color w:val="auto"/>
        </w:rPr>
      </w:pPr>
    </w:p>
    <w:p>
      <w:pPr>
        <w:jc w:val="both"/>
        <w:ind w:right="100"/>
        <w:spacing w:after="0" w:line="241" w:lineRule="auto"/>
        <w:rPr>
          <w:rFonts w:ascii="Arial" w:cs="Arial" w:eastAsia="Arial" w:hAnsi="Arial"/>
          <w:sz w:val="16"/>
          <w:szCs w:val="16"/>
          <w:u w:val="single" w:color="auto"/>
          <w:color w:val="0000FF"/>
        </w:rPr>
      </w:pPr>
      <w:hyperlink r:id="rId98">
        <w:r>
          <w:rPr>
            <w:rFonts w:ascii="Arial" w:cs="Arial" w:eastAsia="Arial" w:hAnsi="Arial"/>
            <w:sz w:val="16"/>
            <w:szCs w:val="16"/>
            <w:u w:val="single" w:color="auto"/>
            <w:color w:val="0000FF"/>
          </w:rPr>
          <w:t>Employment Agreement by and between Accel Entertainment Gaming, LLC and Derek Harmer, dated as of July 9, 2012, as amended</w:t>
        </w:r>
      </w:hyperlink>
      <w:r>
        <w:rPr>
          <w:rFonts w:ascii="Arial" w:cs="Arial" w:eastAsia="Arial" w:hAnsi="Arial"/>
          <w:sz w:val="16"/>
          <w:szCs w:val="16"/>
          <w:u w:val="single" w:color="auto"/>
          <w:color w:val="0000FF"/>
        </w:rPr>
        <w:t xml:space="preserve"> </w:t>
      </w:r>
      <w:hyperlink r:id="rId98">
        <w:r>
          <w:rPr>
            <w:rFonts w:ascii="Arial" w:cs="Arial" w:eastAsia="Arial" w:hAnsi="Arial"/>
            <w:sz w:val="16"/>
            <w:szCs w:val="16"/>
            <w:u w:val="single" w:color="auto"/>
            <w:color w:val="0000FF"/>
          </w:rPr>
          <w:t>by First Amendment to Employment Agreement, dated November 8, 2017, and Second Amendment to Employment Agreement, dated</w:t>
        </w:r>
      </w:hyperlink>
      <w:r>
        <w:rPr>
          <w:rFonts w:ascii="Arial" w:cs="Arial" w:eastAsia="Arial" w:hAnsi="Arial"/>
          <w:sz w:val="16"/>
          <w:szCs w:val="16"/>
          <w:u w:val="single" w:color="auto"/>
          <w:color w:val="0000FF"/>
        </w:rPr>
        <w:t xml:space="preserve"> </w:t>
      </w:r>
      <w:hyperlink r:id="rId98">
        <w:r>
          <w:rPr>
            <w:rFonts w:ascii="Arial" w:cs="Arial" w:eastAsia="Arial" w:hAnsi="Arial"/>
            <w:sz w:val="16"/>
            <w:szCs w:val="16"/>
            <w:u w:val="single" w:color="auto"/>
            <w:color w:val="0000FF"/>
          </w:rPr>
          <w:t>as of July 9, 2018 (Incorporated by reference to Exhibit 10.18 to the proxy statement/prospectus on Form S-4/A dated October 24,</w:t>
        </w:r>
      </w:hyperlink>
    </w:p>
    <w:p>
      <w:pPr>
        <w:spacing w:after="0" w:line="2" w:lineRule="exact"/>
        <w:rPr>
          <w:rFonts w:ascii="Arial" w:cs="Arial" w:eastAsia="Arial" w:hAnsi="Arial"/>
          <w:sz w:val="16"/>
          <w:szCs w:val="16"/>
          <w:u w:val="single" w:color="auto"/>
          <w:color w:val="0000FF"/>
        </w:rPr>
      </w:pPr>
    </w:p>
    <w:p>
      <w:pPr>
        <w:spacing w:after="0"/>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2019).</w:t>
        </w:r>
      </w:hyperlink>
    </w:p>
    <w:p>
      <w:pPr>
        <w:spacing w:after="0" w:line="61" w:lineRule="exact"/>
        <w:rPr>
          <w:rFonts w:ascii="Arial" w:cs="Arial" w:eastAsia="Arial" w:hAnsi="Arial"/>
          <w:sz w:val="16"/>
          <w:szCs w:val="16"/>
          <w:u w:val="single" w:color="auto"/>
          <w:color w:val="0000FF"/>
        </w:rPr>
      </w:pPr>
    </w:p>
    <w:p>
      <w:pPr>
        <w:ind w:right="140"/>
        <w:spacing w:after="0" w:line="289" w:lineRule="auto"/>
        <w:rPr>
          <w:rFonts w:ascii="Arial" w:cs="Arial" w:eastAsia="Arial" w:hAnsi="Arial"/>
          <w:sz w:val="16"/>
          <w:szCs w:val="16"/>
          <w:u w:val="single" w:color="auto"/>
          <w:color w:val="0000FF"/>
        </w:rPr>
      </w:pPr>
      <w:hyperlink r:id="rId99">
        <w:r>
          <w:rPr>
            <w:rFonts w:ascii="Arial" w:cs="Arial" w:eastAsia="Arial" w:hAnsi="Arial"/>
            <w:sz w:val="16"/>
            <w:szCs w:val="16"/>
            <w:u w:val="single" w:color="auto"/>
            <w:color w:val="0000FF"/>
          </w:rPr>
          <w:t>Amended and Restated Executive Employment Agreement, dated July 16, 2020, by and between Accel Entertainment, Inc., and Brian</w:t>
        </w:r>
      </w:hyperlink>
      <w:r>
        <w:rPr>
          <w:rFonts w:ascii="Arial" w:cs="Arial" w:eastAsia="Arial" w:hAnsi="Arial"/>
          <w:sz w:val="16"/>
          <w:szCs w:val="16"/>
          <w:u w:val="single" w:color="auto"/>
          <w:color w:val="0000FF"/>
        </w:rPr>
        <w:t xml:space="preserve"> </w:t>
      </w:r>
      <w:hyperlink r:id="rId99">
        <w:r>
          <w:rPr>
            <w:rFonts w:ascii="Arial" w:cs="Arial" w:eastAsia="Arial" w:hAnsi="Arial"/>
            <w:sz w:val="16"/>
            <w:szCs w:val="16"/>
            <w:u w:val="single" w:color="auto"/>
            <w:color w:val="0000FF"/>
          </w:rPr>
          <w:t>Carroll (Incorporated by reference to Exhibit 10.12(A) to the Current Report on Form 8-K filed with the SEC on July 20, 2020).</w:t>
        </w:r>
      </w:hyperlink>
    </w:p>
    <w:p>
      <w:pPr>
        <w:spacing w:after="0" w:line="29" w:lineRule="exact"/>
        <w:rPr>
          <w:sz w:val="20"/>
          <w:szCs w:val="20"/>
          <w:color w:val="auto"/>
        </w:rPr>
      </w:pPr>
    </w:p>
    <w:p>
      <w:pPr>
        <w:spacing w:after="0" w:line="324" w:lineRule="auto"/>
        <w:rPr>
          <w:rFonts w:ascii="Arial" w:cs="Arial" w:eastAsia="Arial" w:hAnsi="Arial"/>
          <w:sz w:val="16"/>
          <w:szCs w:val="16"/>
          <w:u w:val="single" w:color="auto"/>
          <w:color w:val="0000FF"/>
        </w:rPr>
      </w:pPr>
      <w:hyperlink r:id="rId100">
        <w:r>
          <w:rPr>
            <w:rFonts w:ascii="Arial" w:cs="Arial" w:eastAsia="Arial" w:hAnsi="Arial"/>
            <w:sz w:val="16"/>
            <w:szCs w:val="16"/>
            <w:u w:val="single" w:color="auto"/>
            <w:color w:val="0000FF"/>
          </w:rPr>
          <w:t>Second Amended and Restated Employment Agreement, dated November 10, 2021, by and between Accel Entertainment, Inc. and</w:t>
        </w:r>
      </w:hyperlink>
      <w:r>
        <w:rPr>
          <w:rFonts w:ascii="Arial" w:cs="Arial" w:eastAsia="Arial" w:hAnsi="Arial"/>
          <w:sz w:val="16"/>
          <w:szCs w:val="16"/>
          <w:u w:val="single" w:color="auto"/>
          <w:color w:val="0000FF"/>
        </w:rPr>
        <w:t xml:space="preserve"> </w:t>
      </w:r>
      <w:hyperlink r:id="rId100">
        <w:r>
          <w:rPr>
            <w:rFonts w:ascii="Arial" w:cs="Arial" w:eastAsia="Arial" w:hAnsi="Arial"/>
            <w:sz w:val="16"/>
            <w:szCs w:val="16"/>
            <w:u w:val="single" w:color="auto"/>
            <w:color w:val="0000FF"/>
          </w:rPr>
          <w:t>Brian Carroll (Incorporated by reference to Exhibit 10.12(B) to the Company's Current Report on Form 8-K dated November 12, 2021).</w:t>
        </w:r>
      </w:hyperlink>
    </w:p>
    <w:p>
      <w:pPr>
        <w:spacing w:after="0" w:line="16" w:lineRule="exact"/>
        <w:rPr>
          <w:sz w:val="20"/>
          <w:szCs w:val="20"/>
          <w:color w:val="auto"/>
        </w:rPr>
      </w:pPr>
    </w:p>
    <w:p>
      <w:pPr>
        <w:ind w:right="460"/>
        <w:spacing w:after="0" w:line="235" w:lineRule="auto"/>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Form of Company Restricted Stock Unit Award Agreement (Incorporated by reference to Exhibit 10.13 to the Company's Current</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Report on Form 8-K dated February 27, 2020).</w:t>
        </w:r>
      </w:hyperlink>
    </w:p>
    <w:p>
      <w:pPr>
        <w:spacing w:after="0" w:line="108" w:lineRule="exact"/>
        <w:rPr>
          <w:sz w:val="20"/>
          <w:szCs w:val="20"/>
          <w:color w:val="auto"/>
        </w:rPr>
      </w:pPr>
    </w:p>
    <w:p>
      <w:pPr>
        <w:ind w:right="280"/>
        <w:spacing w:after="0" w:line="235" w:lineRule="auto"/>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Form of Company Stock Option Award Agreement (Incorporated by reference to Exhibit 10.13 to the Company's Current Report on</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Form 8-K dated February 27, 2020).</w:t>
        </w:r>
      </w:hyperlink>
    </w:p>
    <w:p>
      <w:pPr>
        <w:spacing w:after="0" w:line="67" w:lineRule="exact"/>
        <w:rPr>
          <w:sz w:val="20"/>
          <w:szCs w:val="20"/>
          <w:color w:val="auto"/>
        </w:rPr>
      </w:pPr>
    </w:p>
    <w:p>
      <w:pPr>
        <w:ind w:right="400"/>
        <w:spacing w:after="0" w:line="235" w:lineRule="auto"/>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Advisor Agreement, dated February 28, 2020, by and between Gordon Rubenstein and the Company (Incorporated by reference to</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Exhibit 10.13 to the Company's Current Report on Form 8-K dated February 27, 2020).</w:t>
        </w:r>
      </w:hyperlink>
    </w:p>
    <w:p>
      <w:pPr>
        <w:spacing w:after="0" w:line="67" w:lineRule="exact"/>
        <w:rPr>
          <w:sz w:val="20"/>
          <w:szCs w:val="20"/>
          <w:color w:val="auto"/>
        </w:rPr>
      </w:pPr>
    </w:p>
    <w:p>
      <w:pPr>
        <w:ind w:right="100"/>
        <w:spacing w:after="0" w:line="289" w:lineRule="auto"/>
        <w:rPr>
          <w:rFonts w:ascii="Arial" w:cs="Arial" w:eastAsia="Arial" w:hAnsi="Arial"/>
          <w:sz w:val="16"/>
          <w:szCs w:val="16"/>
          <w:u w:val="single" w:color="auto"/>
          <w:color w:val="0000FF"/>
        </w:rPr>
      </w:pPr>
      <w:hyperlink r:id="rId104">
        <w:r>
          <w:rPr>
            <w:rFonts w:ascii="Arial" w:cs="Arial" w:eastAsia="Arial" w:hAnsi="Arial"/>
            <w:sz w:val="16"/>
            <w:szCs w:val="16"/>
            <w:u w:val="single" w:color="auto"/>
            <w:color w:val="0000FF"/>
          </w:rPr>
          <w:t>Employment Agreement by and between Accel Entertainment Gaming, LLC and Mark Phelan, dated as of May 1, 2017. (Incorporated</w:t>
        </w:r>
      </w:hyperlink>
      <w:r>
        <w:rPr>
          <w:rFonts w:ascii="Arial" w:cs="Arial" w:eastAsia="Arial" w:hAnsi="Arial"/>
          <w:sz w:val="16"/>
          <w:szCs w:val="16"/>
          <w:u w:val="single" w:color="auto"/>
          <w:color w:val="0000FF"/>
        </w:rPr>
        <w:t xml:space="preserve"> </w:t>
      </w:r>
      <w:hyperlink r:id="rId104">
        <w:r>
          <w:rPr>
            <w:rFonts w:ascii="Arial" w:cs="Arial" w:eastAsia="Arial" w:hAnsi="Arial"/>
            <w:sz w:val="16"/>
            <w:szCs w:val="16"/>
            <w:u w:val="single" w:color="auto"/>
            <w:color w:val="0000FF"/>
          </w:rPr>
          <w:t>by reference to Exhibit 10.16 to the Company's Annual Report on Form 10-K for the year ended December 31, 2019).</w:t>
        </w:r>
      </w:hyperlink>
    </w:p>
    <w:p>
      <w:pPr>
        <w:spacing w:after="0" w:line="66" w:lineRule="exact"/>
        <w:rPr>
          <w:sz w:val="20"/>
          <w:szCs w:val="20"/>
          <w:color w:val="auto"/>
        </w:rPr>
      </w:pPr>
    </w:p>
    <w:p>
      <w:pPr>
        <w:spacing w:after="0"/>
        <w:rPr>
          <w:rFonts w:ascii="Arial" w:cs="Arial" w:eastAsia="Arial" w:hAnsi="Arial"/>
          <w:sz w:val="17"/>
          <w:szCs w:val="17"/>
          <w:u w:val="single" w:color="auto"/>
          <w:color w:val="0000FF"/>
        </w:rPr>
      </w:pPr>
      <w:hyperlink r:id="rId105">
        <w:r>
          <w:rPr>
            <w:rFonts w:ascii="Arial" w:cs="Arial" w:eastAsia="Arial" w:hAnsi="Arial"/>
            <w:sz w:val="17"/>
            <w:szCs w:val="17"/>
            <w:u w:val="single" w:color="auto"/>
            <w:color w:val="0000FF"/>
          </w:rPr>
          <w:t>Executive Employment Agreement by and between Accel Entertainment, Inc. and Michael Marino, dated as of March 8, 2020.</w:t>
        </w:r>
      </w:hyperlink>
    </w:p>
    <w:p>
      <w:pPr>
        <w:spacing w:after="0"/>
        <w:rPr>
          <w:rFonts w:ascii="Arial" w:cs="Arial" w:eastAsia="Arial" w:hAnsi="Arial"/>
          <w:sz w:val="16"/>
          <w:szCs w:val="16"/>
          <w:u w:val="single" w:color="auto"/>
          <w:color w:val="0000FF"/>
        </w:rPr>
      </w:pPr>
      <w:hyperlink r:id="rId105">
        <w:r>
          <w:rPr>
            <w:rFonts w:ascii="Arial" w:cs="Arial" w:eastAsia="Arial" w:hAnsi="Arial"/>
            <w:sz w:val="16"/>
            <w:szCs w:val="16"/>
            <w:u w:val="single" w:color="auto"/>
            <w:color w:val="0000FF"/>
          </w:rPr>
          <w:t>(Incorporated by reference to Exhibit 10.17 to the Company's Annual Report on Form 10-K for the year ended December 31, 2019).</w:t>
        </w:r>
      </w:hyperlink>
    </w:p>
    <w:p>
      <w:pPr>
        <w:spacing w:after="0" w:line="97" w:lineRule="exact"/>
        <w:rPr>
          <w:sz w:val="20"/>
          <w:szCs w:val="20"/>
          <w:color w:val="auto"/>
        </w:rPr>
      </w:pPr>
    </w:p>
    <w:p>
      <w:pPr>
        <w:ind w:right="200"/>
        <w:spacing w:after="0" w:line="224" w:lineRule="auto"/>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Separation Agreement by and between Accel Entertainment Gaming, LLC and Michael Marino, dated as of August 26, 2022.</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(Incorporated by reference to Exhibit 10.17(A) to the Company's Quarterly Report on Form 10-Q filed with the SEC on November 8,</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2022).</w:t>
        </w:r>
      </w:hyperlink>
    </w:p>
    <w:p>
      <w:pPr>
        <w:spacing w:after="0" w:line="64" w:lineRule="exact"/>
        <w:rPr>
          <w:rFonts w:ascii="Arial" w:cs="Arial" w:eastAsia="Arial" w:hAnsi="Arial"/>
          <w:sz w:val="18"/>
          <w:szCs w:val="18"/>
          <w:u w:val="single" w:color="auto"/>
          <w:color w:val="0000FF"/>
        </w:rPr>
      </w:pPr>
    </w:p>
    <w:p>
      <w:pPr>
        <w:spacing w:after="0"/>
        <w:rPr>
          <w:rFonts w:ascii="Arial" w:cs="Arial" w:eastAsia="Arial" w:hAnsi="Arial"/>
          <w:sz w:val="17"/>
          <w:szCs w:val="17"/>
          <w:u w:val="single" w:color="auto"/>
          <w:color w:val="0000FF"/>
        </w:rPr>
      </w:pPr>
      <w:hyperlink r:id="rId107">
        <w:r>
          <w:rPr>
            <w:rFonts w:ascii="Arial" w:cs="Arial" w:eastAsia="Arial" w:hAnsi="Arial"/>
            <w:sz w:val="17"/>
            <w:szCs w:val="17"/>
            <w:u w:val="single" w:color="auto"/>
            <w:color w:val="0000FF"/>
          </w:rPr>
          <w:t>Executive Employment Agreement by and between Accel Entertainment, Inc. and Ryan Hammer, dated as of March 6, 2020.</w:t>
        </w:r>
      </w:hyperlink>
    </w:p>
    <w:p>
      <w:pPr>
        <w:spacing w:after="0"/>
        <w:rPr>
          <w:rFonts w:ascii="Arial" w:cs="Arial" w:eastAsia="Arial" w:hAnsi="Arial"/>
          <w:sz w:val="16"/>
          <w:szCs w:val="16"/>
          <w:u w:val="single" w:color="auto"/>
          <w:color w:val="0000FF"/>
        </w:rPr>
      </w:pPr>
      <w:hyperlink r:id="rId107">
        <w:r>
          <w:rPr>
            <w:rFonts w:ascii="Arial" w:cs="Arial" w:eastAsia="Arial" w:hAnsi="Arial"/>
            <w:sz w:val="16"/>
            <w:szCs w:val="16"/>
            <w:u w:val="single" w:color="auto"/>
            <w:color w:val="0000FF"/>
          </w:rPr>
          <w:t>(incorporated by reference to Exhibit 10.18 to the Company's Annual Report on Form 10-K for the year ended December 31, 2019).</w:t>
        </w:r>
      </w:hyperlink>
    </w:p>
    <w:p>
      <w:pPr>
        <w:spacing w:after="0" w:line="97" w:lineRule="exact"/>
        <w:rPr>
          <w:rFonts w:ascii="Arial" w:cs="Arial" w:eastAsia="Arial" w:hAnsi="Arial"/>
          <w:sz w:val="18"/>
          <w:szCs w:val="18"/>
          <w:u w:val="single" w:color="auto"/>
          <w:color w:val="0000FF"/>
        </w:rPr>
      </w:pPr>
    </w:p>
    <w:p>
      <w:pPr>
        <w:ind w:right="60"/>
        <w:spacing w:after="0" w:line="289" w:lineRule="auto"/>
        <w:rPr>
          <w:rFonts w:ascii="Arial" w:cs="Arial" w:eastAsia="Arial" w:hAnsi="Arial"/>
          <w:sz w:val="16"/>
          <w:szCs w:val="16"/>
          <w:u w:val="single" w:color="auto"/>
          <w:color w:val="0000FF"/>
        </w:rPr>
      </w:pPr>
      <w:hyperlink r:id="rId108">
        <w:r>
          <w:rPr>
            <w:rFonts w:ascii="Arial" w:cs="Arial" w:eastAsia="Arial" w:hAnsi="Arial"/>
            <w:sz w:val="16"/>
            <w:szCs w:val="16"/>
            <w:u w:val="single" w:color="auto"/>
            <w:color w:val="0000FF"/>
          </w:rPr>
          <w:t>Tender and Exchange Agreement, dated June 18, 2020, by and among the Company and the holders of Private Placement Warrants</w:t>
        </w:r>
      </w:hyperlink>
      <w:r>
        <w:rPr>
          <w:rFonts w:ascii="Arial" w:cs="Arial" w:eastAsia="Arial" w:hAnsi="Arial"/>
          <w:sz w:val="16"/>
          <w:szCs w:val="16"/>
          <w:u w:val="single" w:color="auto"/>
          <w:color w:val="0000FF"/>
        </w:rPr>
        <w:t xml:space="preserve"> </w:t>
      </w:r>
      <w:hyperlink r:id="rId108">
        <w:r>
          <w:rPr>
            <w:rFonts w:ascii="Arial" w:cs="Arial" w:eastAsia="Arial" w:hAnsi="Arial"/>
            <w:sz w:val="16"/>
            <w:szCs w:val="16"/>
            <w:u w:val="single" w:color="auto"/>
            <w:color w:val="0000FF"/>
          </w:rPr>
          <w:t>party thereto (Incorporated by reference to Exhibit 10.19 to the Quarterly Report on Form 10-Q filed with the SEC on August 6, 2020).</w:t>
        </w:r>
      </w:hyperlink>
    </w:p>
    <w:p>
      <w:pPr>
        <w:spacing w:after="0" w:line="29" w:lineRule="exact"/>
        <w:rPr>
          <w:sz w:val="20"/>
          <w:szCs w:val="20"/>
          <w:color w:val="auto"/>
        </w:rPr>
      </w:pPr>
    </w:p>
    <w:p>
      <w:pPr>
        <w:jc w:val="both"/>
        <w:ind w:right="180"/>
        <w:spacing w:after="0" w:line="224" w:lineRule="auto"/>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Securities Purchase Agreement, by and among Century Gaming Inc., the shareholders of Century, the Company, Accel Entertainment</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LLC, and Steve W. Arntzen as the Sellers representative, dated as of March 2, 2021 (Incorporated by reference to Exhibit 10.1 to the</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Company's Current Report on Form 8-K dated March 2, 2021).</w:t>
        </w:r>
      </w:hyperlink>
    </w:p>
    <w:p>
      <w:pPr>
        <w:spacing w:after="0" w:line="14" w:lineRule="exact"/>
        <w:rPr>
          <w:rFonts w:ascii="Arial" w:cs="Arial" w:eastAsia="Arial" w:hAnsi="Arial"/>
          <w:sz w:val="18"/>
          <w:szCs w:val="18"/>
          <w:u w:val="single" w:color="auto"/>
          <w:color w:val="0000FF"/>
        </w:rPr>
      </w:pPr>
    </w:p>
    <w:p>
      <w:pPr>
        <w:jc w:val="both"/>
        <w:ind w:right="160"/>
        <w:spacing w:after="0" w:line="289" w:lineRule="auto"/>
        <w:rPr>
          <w:rFonts w:ascii="Arial" w:cs="Arial" w:eastAsia="Arial" w:hAnsi="Arial"/>
          <w:sz w:val="16"/>
          <w:szCs w:val="16"/>
          <w:u w:val="single" w:color="auto"/>
          <w:color w:val="0000FF"/>
        </w:rPr>
      </w:pPr>
      <w:hyperlink r:id="rId110">
        <w:r>
          <w:rPr>
            <w:rFonts w:ascii="Arial" w:cs="Arial" w:eastAsia="Arial" w:hAnsi="Arial"/>
            <w:sz w:val="16"/>
            <w:szCs w:val="16"/>
            <w:u w:val="single" w:color="auto"/>
            <w:color w:val="0000FF"/>
          </w:rPr>
          <w:t>Amended and Restated Executive Employment Agreement, dated March 15, 2021, by and between Accel Entertainment, Inc., and</w:t>
        </w:r>
      </w:hyperlink>
      <w:r>
        <w:rPr>
          <w:rFonts w:ascii="Arial" w:cs="Arial" w:eastAsia="Arial" w:hAnsi="Arial"/>
          <w:sz w:val="16"/>
          <w:szCs w:val="16"/>
          <w:u w:val="single" w:color="auto"/>
          <w:color w:val="0000FF"/>
        </w:rPr>
        <w:t xml:space="preserve"> </w:t>
      </w:r>
      <w:hyperlink r:id="rId110">
        <w:r>
          <w:rPr>
            <w:rFonts w:ascii="Arial" w:cs="Arial" w:eastAsia="Arial" w:hAnsi="Arial"/>
            <w:sz w:val="16"/>
            <w:szCs w:val="16"/>
            <w:u w:val="single" w:color="auto"/>
            <w:color w:val="0000FF"/>
          </w:rPr>
          <w:t>Mark Phelan. (Incorporated by reference to Exhibit 10.21 to the Quarterly Report on Form 10-Q filed with the SEC on May 10, 2021.</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80" w:space="140"/>
            <w:col w:w="9800"/>
          </w:cols>
          <w:pgMar w:left="320" w:top="125" w:right="35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0000FF"/>
                <w:w w:val="90"/>
              </w:rPr>
              <w:t>Table of Contents</w:t>
            </w:r>
          </w:p>
        </w:tc>
        <w:tc>
          <w:tcPr>
            <w:tcW w:w="14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30"/>
        </w:trPr>
        <w:tc>
          <w:tcPr>
            <w:tcW w:w="1280" w:type="dxa"/>
            <w:vAlign w:val="bottom"/>
            <w:tcBorders>
              <w:top w:val="single" w:sz="8" w:color="0000FF"/>
            </w:tcBorders>
          </w:tcPr>
          <w:p>
            <w:pPr>
              <w:jc w:val="center"/>
              <w:spacing w:after="0"/>
              <w:rPr>
                <w:sz w:val="20"/>
                <w:szCs w:val="20"/>
                <w:color w:val="auto"/>
              </w:rPr>
            </w:pPr>
            <w:r>
              <w:rPr>
                <w:rFonts w:ascii="Arial" w:cs="Arial" w:eastAsia="Arial" w:hAnsi="Arial"/>
                <w:sz w:val="18"/>
                <w:szCs w:val="18"/>
                <w:color w:val="auto"/>
              </w:rPr>
              <w:t>10.21(A)* **</w:t>
            </w:r>
          </w:p>
        </w:tc>
        <w:tc>
          <w:tcPr>
            <w:tcW w:w="140" w:type="dxa"/>
            <w:vAlign w:val="bottom"/>
          </w:tcPr>
          <w:p>
            <w:pPr>
              <w:spacing w:after="0"/>
              <w:rPr>
                <w:sz w:val="24"/>
                <w:szCs w:val="24"/>
                <w:color w:val="auto"/>
              </w:rPr>
            </w:pPr>
          </w:p>
        </w:tc>
        <w:tc>
          <w:tcPr>
            <w:tcW w:w="96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Amendment No. 1, dated February 24, 2023, to the Amended and Restated Executive Employment Agreement, dated March 15, 2021,</w:t>
            </w:r>
          </w:p>
        </w:tc>
        <w:tc>
          <w:tcPr>
            <w:tcW w:w="20" w:type="dxa"/>
            <w:vAlign w:val="bottom"/>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340" w:type="dxa"/>
            <w:vAlign w:val="bottom"/>
            <w:tcBorders>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0"/>
              </w:rPr>
              <w:t>by and between Accel Entertainment, Inc. and Mark Phelan.</w:t>
            </w:r>
          </w:p>
        </w:tc>
        <w:tc>
          <w:tcPr>
            <w:tcW w:w="53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80" w:type="dxa"/>
            <w:vAlign w:val="bottom"/>
          </w:tcPr>
          <w:p>
            <w:pPr>
              <w:jc w:val="center"/>
              <w:spacing w:after="0"/>
              <w:rPr>
                <w:sz w:val="20"/>
                <w:szCs w:val="20"/>
                <w:color w:val="auto"/>
              </w:rPr>
            </w:pPr>
            <w:r>
              <w:rPr>
                <w:rFonts w:ascii="Arial" w:cs="Arial" w:eastAsia="Arial" w:hAnsi="Arial"/>
                <w:sz w:val="18"/>
                <w:szCs w:val="18"/>
                <w:color w:val="auto"/>
                <w:w w:val="98"/>
              </w:rPr>
              <w:t>10.22**</w:t>
            </w:r>
          </w:p>
        </w:tc>
        <w:tc>
          <w:tcPr>
            <w:tcW w:w="140" w:type="dxa"/>
            <w:vAlign w:val="bottom"/>
          </w:tcPr>
          <w:p>
            <w:pPr>
              <w:spacing w:after="0"/>
              <w:rPr>
                <w:sz w:val="24"/>
                <w:szCs w:val="24"/>
                <w:color w:val="auto"/>
              </w:rPr>
            </w:pPr>
          </w:p>
        </w:tc>
        <w:tc>
          <w:tcPr>
            <w:tcW w:w="9600" w:type="dxa"/>
            <w:vAlign w:val="bottom"/>
            <w:tcBorders>
              <w:bottom w:val="single" w:sz="8" w:color="0000FF"/>
            </w:tcBorders>
            <w:gridSpan w:val="9"/>
          </w:tcPr>
          <w:p>
            <w:pPr>
              <w:spacing w:after="0"/>
              <w:rPr>
                <w:rFonts w:ascii="Arial" w:cs="Arial" w:eastAsia="Arial" w:hAnsi="Arial"/>
                <w:sz w:val="18"/>
                <w:szCs w:val="18"/>
                <w:color w:val="0000FF"/>
                <w:w w:val="91"/>
              </w:rPr>
            </w:pPr>
            <w:hyperlink r:id="rId112">
              <w:r>
                <w:rPr>
                  <w:rFonts w:ascii="Arial" w:cs="Arial" w:eastAsia="Arial" w:hAnsi="Arial"/>
                  <w:sz w:val="18"/>
                  <w:szCs w:val="18"/>
                  <w:color w:val="0000FF"/>
                  <w:w w:val="91"/>
                </w:rPr>
                <w:t>Executive Employment Agreement, dated April 25, 2022, by and between Accel Entertainment, Inc., and Mathew Ellis.(Incorporated</w:t>
              </w:r>
            </w:hyperlink>
          </w:p>
        </w:tc>
        <w:tc>
          <w:tcPr>
            <w:tcW w:w="100" w:type="dxa"/>
            <w:vAlign w:val="bottom"/>
            <w:gridSpan w:val="2"/>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0" w:type="dxa"/>
            <w:vAlign w:val="bottom"/>
            <w:gridSpan w:val="9"/>
          </w:tcPr>
          <w:p>
            <w:pPr>
              <w:spacing w:after="0" w:line="156" w:lineRule="exact"/>
              <w:rPr>
                <w:rFonts w:ascii="Arial" w:cs="Arial" w:eastAsia="Arial" w:hAnsi="Arial"/>
                <w:sz w:val="18"/>
                <w:szCs w:val="18"/>
                <w:color w:val="0000FF"/>
              </w:rPr>
            </w:pPr>
            <w:hyperlink r:id="rId112">
              <w:r>
                <w:rPr>
                  <w:rFonts w:ascii="Arial" w:cs="Arial" w:eastAsia="Arial" w:hAnsi="Arial"/>
                  <w:sz w:val="18"/>
                  <w:szCs w:val="18"/>
                  <w:color w:val="0000FF"/>
                </w:rPr>
                <w:t>by reference to Exhibit 10.22 to the Company's Quarterly Report on Form 10-Q filed with the SEC on May 4, 2022).</w:t>
              </w:r>
            </w:hyperlink>
          </w:p>
        </w:tc>
        <w:tc>
          <w:tcPr>
            <w:tcW w:w="100" w:type="dxa"/>
            <w:vAlign w:val="bottom"/>
            <w:gridSpan w:val="2"/>
          </w:tcPr>
          <w:p>
            <w:pPr>
              <w:spacing w:after="0"/>
              <w:rPr>
                <w:sz w:val="13"/>
                <w:szCs w:val="13"/>
                <w:color w:val="auto"/>
              </w:rPr>
            </w:pPr>
          </w:p>
        </w:tc>
      </w:tr>
      <w:tr>
        <w:trPr>
          <w:trHeight w:val="318"/>
        </w:trPr>
        <w:tc>
          <w:tcPr>
            <w:tcW w:w="1280" w:type="dxa"/>
            <w:vAlign w:val="bottom"/>
          </w:tcPr>
          <w:p>
            <w:pPr>
              <w:jc w:val="center"/>
              <w:spacing w:after="0"/>
              <w:rPr>
                <w:sz w:val="20"/>
                <w:szCs w:val="20"/>
                <w:color w:val="auto"/>
              </w:rPr>
            </w:pPr>
            <w:r>
              <w:rPr>
                <w:rFonts w:ascii="Arial" w:cs="Arial" w:eastAsia="Arial" w:hAnsi="Arial"/>
                <w:sz w:val="18"/>
                <w:szCs w:val="18"/>
                <w:color w:val="auto"/>
                <w:w w:val="97"/>
              </w:rPr>
              <w:t>21.1 *</w:t>
            </w:r>
          </w:p>
        </w:tc>
        <w:tc>
          <w:tcPr>
            <w:tcW w:w="140" w:type="dxa"/>
            <w:vAlign w:val="bottom"/>
          </w:tcPr>
          <w:p>
            <w:pPr>
              <w:spacing w:after="0"/>
              <w:rPr>
                <w:sz w:val="24"/>
                <w:szCs w:val="24"/>
                <w:color w:val="auto"/>
              </w:rPr>
            </w:pPr>
          </w:p>
        </w:tc>
        <w:tc>
          <w:tcPr>
            <w:tcW w:w="14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1"/>
              </w:rPr>
              <w:t>List of Subsidiaries</w:t>
            </w:r>
          </w:p>
        </w:tc>
        <w:tc>
          <w:tcPr>
            <w:tcW w:w="7000" w:type="dxa"/>
            <w:vAlign w:val="bottom"/>
            <w:tcBorders>
              <w:top w:val="single" w:sz="8" w:color="0000FF"/>
            </w:tcBorders>
            <w:gridSpan w:val="7"/>
          </w:tcPr>
          <w:p>
            <w:pPr>
              <w:spacing w:after="0"/>
              <w:rPr>
                <w:sz w:val="24"/>
                <w:szCs w:val="24"/>
                <w:color w:val="auto"/>
              </w:rPr>
            </w:pPr>
          </w:p>
        </w:tc>
        <w:tc>
          <w:tcPr>
            <w:tcW w:w="1300" w:type="dxa"/>
            <w:vAlign w:val="bottom"/>
            <w:gridSpan w:val="3"/>
          </w:tcPr>
          <w:p>
            <w:pPr>
              <w:spacing w:after="0"/>
              <w:rPr>
                <w:sz w:val="24"/>
                <w:szCs w:val="24"/>
                <w:color w:val="auto"/>
              </w:rPr>
            </w:pPr>
          </w:p>
        </w:tc>
      </w:tr>
      <w:tr>
        <w:trPr>
          <w:trHeight w:val="304"/>
        </w:trPr>
        <w:tc>
          <w:tcPr>
            <w:tcW w:w="1280" w:type="dxa"/>
            <w:vAlign w:val="bottom"/>
          </w:tcPr>
          <w:p>
            <w:pPr>
              <w:jc w:val="center"/>
              <w:spacing w:after="0"/>
              <w:rPr>
                <w:sz w:val="20"/>
                <w:szCs w:val="20"/>
                <w:color w:val="auto"/>
              </w:rPr>
            </w:pPr>
            <w:r>
              <w:rPr>
                <w:rFonts w:ascii="Arial" w:cs="Arial" w:eastAsia="Arial" w:hAnsi="Arial"/>
                <w:sz w:val="18"/>
                <w:szCs w:val="18"/>
                <w:color w:val="auto"/>
                <w:w w:val="93"/>
              </w:rPr>
              <w:t>23 *</w:t>
            </w:r>
          </w:p>
        </w:tc>
        <w:tc>
          <w:tcPr>
            <w:tcW w:w="140" w:type="dxa"/>
            <w:vAlign w:val="bottom"/>
          </w:tcPr>
          <w:p>
            <w:pPr>
              <w:spacing w:after="0"/>
              <w:rPr>
                <w:sz w:val="24"/>
                <w:szCs w:val="24"/>
                <w:color w:val="auto"/>
              </w:rPr>
            </w:pPr>
          </w:p>
        </w:tc>
        <w:tc>
          <w:tcPr>
            <w:tcW w:w="43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0"/>
              </w:rPr>
              <w:t>Consent of Independent Registered Public Accounting Firm</w:t>
            </w:r>
          </w:p>
        </w:tc>
        <w:tc>
          <w:tcPr>
            <w:tcW w:w="29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gridSpan w:val="4"/>
          </w:tcPr>
          <w:p>
            <w:pPr>
              <w:spacing w:after="0"/>
              <w:rPr>
                <w:sz w:val="24"/>
                <w:szCs w:val="24"/>
                <w:color w:val="auto"/>
              </w:rPr>
            </w:pPr>
          </w:p>
        </w:tc>
      </w:tr>
      <w:tr>
        <w:trPr>
          <w:trHeight w:val="358"/>
        </w:trPr>
        <w:tc>
          <w:tcPr>
            <w:tcW w:w="1280" w:type="dxa"/>
            <w:vAlign w:val="bottom"/>
          </w:tcPr>
          <w:p>
            <w:pPr>
              <w:jc w:val="center"/>
              <w:spacing w:after="0"/>
              <w:rPr>
                <w:sz w:val="20"/>
                <w:szCs w:val="20"/>
                <w:color w:val="auto"/>
              </w:rPr>
            </w:pPr>
            <w:r>
              <w:rPr>
                <w:rFonts w:ascii="Arial" w:cs="Arial" w:eastAsia="Arial" w:hAnsi="Arial"/>
                <w:sz w:val="18"/>
                <w:szCs w:val="18"/>
                <w:color w:val="auto"/>
                <w:w w:val="85"/>
              </w:rPr>
              <w:t>24.1</w:t>
            </w:r>
          </w:p>
        </w:tc>
        <w:tc>
          <w:tcPr>
            <w:tcW w:w="140" w:type="dxa"/>
            <w:vAlign w:val="bottom"/>
          </w:tcPr>
          <w:p>
            <w:pPr>
              <w:spacing w:after="0"/>
              <w:rPr>
                <w:sz w:val="24"/>
                <w:szCs w:val="24"/>
                <w:color w:val="auto"/>
              </w:rPr>
            </w:pPr>
          </w:p>
        </w:tc>
        <w:tc>
          <w:tcPr>
            <w:tcW w:w="9700" w:type="dxa"/>
            <w:vAlign w:val="bottom"/>
            <w:gridSpan w:val="11"/>
          </w:tcPr>
          <w:p>
            <w:pPr>
              <w:spacing w:after="0"/>
              <w:rPr>
                <w:sz w:val="20"/>
                <w:szCs w:val="20"/>
                <w:color w:val="auto"/>
              </w:rPr>
            </w:pPr>
            <w:r>
              <w:rPr>
                <w:rFonts w:ascii="Arial" w:cs="Arial" w:eastAsia="Arial" w:hAnsi="Arial"/>
                <w:sz w:val="18"/>
                <w:szCs w:val="18"/>
                <w:color w:val="auto"/>
              </w:rPr>
              <w:t>Power of Attorney (included on the signature page of this Annual Report on Form 10-K)</w:t>
            </w:r>
          </w:p>
        </w:tc>
      </w:tr>
      <w:tr>
        <w:trPr>
          <w:trHeight w:val="270"/>
        </w:trPr>
        <w:tc>
          <w:tcPr>
            <w:tcW w:w="1280" w:type="dxa"/>
            <w:vAlign w:val="bottom"/>
          </w:tcPr>
          <w:p>
            <w:pPr>
              <w:jc w:val="center"/>
              <w:spacing w:after="0"/>
              <w:rPr>
                <w:sz w:val="20"/>
                <w:szCs w:val="20"/>
                <w:color w:val="auto"/>
              </w:rPr>
            </w:pPr>
            <w:r>
              <w:rPr>
                <w:rFonts w:ascii="Arial" w:cs="Arial" w:eastAsia="Arial" w:hAnsi="Arial"/>
                <w:sz w:val="18"/>
                <w:szCs w:val="18"/>
                <w:color w:val="auto"/>
                <w:w w:val="97"/>
              </w:rPr>
              <w:t>31.1 *</w:t>
            </w:r>
          </w:p>
        </w:tc>
        <w:tc>
          <w:tcPr>
            <w:tcW w:w="140" w:type="dxa"/>
            <w:vAlign w:val="bottom"/>
          </w:tcPr>
          <w:p>
            <w:pPr>
              <w:spacing w:after="0"/>
              <w:rPr>
                <w:sz w:val="23"/>
                <w:szCs w:val="23"/>
                <w:color w:val="auto"/>
              </w:rPr>
            </w:pPr>
          </w:p>
        </w:tc>
        <w:tc>
          <w:tcPr>
            <w:tcW w:w="72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Certification of Principal Executive Officer pursuant to Exchange Act Rules 13a-14(a) and 15d-14(a)</w:t>
            </w:r>
          </w:p>
        </w:tc>
        <w:tc>
          <w:tcPr>
            <w:tcW w:w="2420" w:type="dxa"/>
            <w:vAlign w:val="bottom"/>
            <w:gridSpan w:val="4"/>
          </w:tcPr>
          <w:p>
            <w:pPr>
              <w:spacing w:after="0"/>
              <w:rPr>
                <w:sz w:val="23"/>
                <w:szCs w:val="23"/>
                <w:color w:val="auto"/>
              </w:rPr>
            </w:pPr>
          </w:p>
        </w:tc>
      </w:tr>
      <w:tr>
        <w:trPr>
          <w:trHeight w:val="304"/>
        </w:trPr>
        <w:tc>
          <w:tcPr>
            <w:tcW w:w="1280" w:type="dxa"/>
            <w:vAlign w:val="bottom"/>
          </w:tcPr>
          <w:p>
            <w:pPr>
              <w:jc w:val="center"/>
              <w:spacing w:after="0"/>
              <w:rPr>
                <w:sz w:val="20"/>
                <w:szCs w:val="20"/>
                <w:color w:val="auto"/>
              </w:rPr>
            </w:pPr>
            <w:r>
              <w:rPr>
                <w:rFonts w:ascii="Arial" w:cs="Arial" w:eastAsia="Arial" w:hAnsi="Arial"/>
                <w:sz w:val="18"/>
                <w:szCs w:val="18"/>
                <w:color w:val="auto"/>
                <w:w w:val="97"/>
              </w:rPr>
              <w:t>31.2 *</w:t>
            </w:r>
          </w:p>
        </w:tc>
        <w:tc>
          <w:tcPr>
            <w:tcW w:w="140" w:type="dxa"/>
            <w:vAlign w:val="bottom"/>
          </w:tcPr>
          <w:p>
            <w:pPr>
              <w:spacing w:after="0"/>
              <w:rPr>
                <w:sz w:val="24"/>
                <w:szCs w:val="24"/>
                <w:color w:val="auto"/>
              </w:rPr>
            </w:pPr>
          </w:p>
        </w:tc>
        <w:tc>
          <w:tcPr>
            <w:tcW w:w="72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Certification of Principal Financial Officer pursuant to Exchange Act Rules 13a-14(a) and 15d-14(a)</w:t>
            </w:r>
          </w:p>
        </w:tc>
        <w:tc>
          <w:tcPr>
            <w:tcW w:w="2460" w:type="dxa"/>
            <w:vAlign w:val="bottom"/>
            <w:gridSpan w:val="5"/>
          </w:tcPr>
          <w:p>
            <w:pPr>
              <w:spacing w:after="0"/>
              <w:rPr>
                <w:sz w:val="24"/>
                <w:szCs w:val="24"/>
                <w:color w:val="auto"/>
              </w:rPr>
            </w:pPr>
          </w:p>
        </w:tc>
      </w:tr>
      <w:tr>
        <w:trPr>
          <w:trHeight w:val="304"/>
        </w:trPr>
        <w:tc>
          <w:tcPr>
            <w:tcW w:w="1280" w:type="dxa"/>
            <w:vAlign w:val="bottom"/>
          </w:tcPr>
          <w:p>
            <w:pPr>
              <w:jc w:val="center"/>
              <w:spacing w:after="0"/>
              <w:rPr>
                <w:sz w:val="20"/>
                <w:szCs w:val="20"/>
                <w:color w:val="auto"/>
              </w:rPr>
            </w:pPr>
            <w:r>
              <w:rPr>
                <w:rFonts w:ascii="Arial" w:cs="Arial" w:eastAsia="Arial" w:hAnsi="Arial"/>
                <w:sz w:val="18"/>
                <w:szCs w:val="18"/>
                <w:color w:val="auto"/>
                <w:w w:val="97"/>
              </w:rPr>
              <w:t>32.1 *</w:t>
            </w:r>
          </w:p>
        </w:tc>
        <w:tc>
          <w:tcPr>
            <w:tcW w:w="140" w:type="dxa"/>
            <w:vAlign w:val="bottom"/>
          </w:tcPr>
          <w:p>
            <w:pPr>
              <w:spacing w:after="0"/>
              <w:rPr>
                <w:sz w:val="24"/>
                <w:szCs w:val="24"/>
                <w:color w:val="auto"/>
              </w:rPr>
            </w:pPr>
          </w:p>
        </w:tc>
        <w:tc>
          <w:tcPr>
            <w:tcW w:w="41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3"/>
              </w:rPr>
              <w:t>Section 1350 Certification of Principal Executive Officer</w:t>
            </w:r>
          </w:p>
        </w:tc>
        <w:tc>
          <w:tcPr>
            <w:tcW w:w="5580" w:type="dxa"/>
            <w:vAlign w:val="bottom"/>
            <w:gridSpan w:val="8"/>
          </w:tcPr>
          <w:p>
            <w:pPr>
              <w:spacing w:after="0"/>
              <w:rPr>
                <w:sz w:val="24"/>
                <w:szCs w:val="24"/>
                <w:color w:val="auto"/>
              </w:rPr>
            </w:pPr>
          </w:p>
        </w:tc>
      </w:tr>
      <w:tr>
        <w:trPr>
          <w:trHeight w:val="304"/>
        </w:trPr>
        <w:tc>
          <w:tcPr>
            <w:tcW w:w="1280" w:type="dxa"/>
            <w:vAlign w:val="bottom"/>
          </w:tcPr>
          <w:p>
            <w:pPr>
              <w:jc w:val="center"/>
              <w:spacing w:after="0"/>
              <w:rPr>
                <w:sz w:val="20"/>
                <w:szCs w:val="20"/>
                <w:color w:val="auto"/>
              </w:rPr>
            </w:pPr>
            <w:r>
              <w:rPr>
                <w:rFonts w:ascii="Arial" w:cs="Arial" w:eastAsia="Arial" w:hAnsi="Arial"/>
                <w:sz w:val="18"/>
                <w:szCs w:val="18"/>
                <w:color w:val="auto"/>
                <w:w w:val="97"/>
              </w:rPr>
              <w:t>32.2 *</w:t>
            </w:r>
          </w:p>
        </w:tc>
        <w:tc>
          <w:tcPr>
            <w:tcW w:w="140" w:type="dxa"/>
            <w:vAlign w:val="bottom"/>
          </w:tcPr>
          <w:p>
            <w:pPr>
              <w:spacing w:after="0"/>
              <w:rPr>
                <w:sz w:val="24"/>
                <w:szCs w:val="24"/>
                <w:color w:val="auto"/>
              </w:rPr>
            </w:pPr>
          </w:p>
        </w:tc>
        <w:tc>
          <w:tcPr>
            <w:tcW w:w="40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3"/>
              </w:rPr>
              <w:t>Section 1350 Certification of Principal Financial Officer</w:t>
            </w:r>
          </w:p>
        </w:tc>
        <w:tc>
          <w:tcPr>
            <w:tcW w:w="5640" w:type="dxa"/>
            <w:vAlign w:val="bottom"/>
            <w:gridSpan w:val="9"/>
          </w:tcPr>
          <w:p>
            <w:pPr>
              <w:spacing w:after="0"/>
              <w:rPr>
                <w:sz w:val="24"/>
                <w:szCs w:val="24"/>
                <w:color w:val="auto"/>
              </w:rPr>
            </w:pPr>
          </w:p>
        </w:tc>
      </w:tr>
      <w:tr>
        <w:trPr>
          <w:trHeight w:val="358"/>
        </w:trPr>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101.INS *</w:t>
            </w:r>
          </w:p>
        </w:tc>
        <w:tc>
          <w:tcPr>
            <w:tcW w:w="970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101.SCH *</w:t>
            </w:r>
          </w:p>
        </w:tc>
        <w:tc>
          <w:tcPr>
            <w:tcW w:w="970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101.CAL *</w:t>
            </w:r>
          </w:p>
        </w:tc>
        <w:tc>
          <w:tcPr>
            <w:tcW w:w="970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101.DEF *</w:t>
            </w:r>
          </w:p>
        </w:tc>
        <w:tc>
          <w:tcPr>
            <w:tcW w:w="970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rPr>
              <w:t>101.LAB *</w:t>
            </w:r>
          </w:p>
        </w:tc>
        <w:tc>
          <w:tcPr>
            <w:tcW w:w="970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101.PRE *</w:t>
            </w:r>
          </w:p>
        </w:tc>
        <w:tc>
          <w:tcPr>
            <w:tcW w:w="970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24"/>
        </w:trPr>
        <w:tc>
          <w:tcPr>
            <w:tcW w:w="1280" w:type="dxa"/>
            <w:vAlign w:val="bottom"/>
          </w:tcPr>
          <w:p>
            <w:pPr>
              <w:jc w:val="center"/>
              <w:spacing w:after="0"/>
              <w:rPr>
                <w:sz w:val="20"/>
                <w:szCs w:val="20"/>
                <w:color w:val="auto"/>
              </w:rPr>
            </w:pPr>
            <w:r>
              <w:rPr>
                <w:rFonts w:ascii="Arial" w:cs="Arial" w:eastAsia="Arial" w:hAnsi="Arial"/>
                <w:sz w:val="18"/>
                <w:szCs w:val="18"/>
                <w:color w:val="auto"/>
                <w:w w:val="99"/>
              </w:rPr>
              <w:t>104 *</w:t>
            </w:r>
          </w:p>
        </w:tc>
        <w:tc>
          <w:tcPr>
            <w:tcW w:w="140" w:type="dxa"/>
            <w:vAlign w:val="bottom"/>
          </w:tcPr>
          <w:p>
            <w:pPr>
              <w:spacing w:after="0"/>
              <w:rPr>
                <w:sz w:val="24"/>
                <w:szCs w:val="24"/>
                <w:color w:val="auto"/>
              </w:rPr>
            </w:pPr>
          </w:p>
        </w:tc>
        <w:tc>
          <w:tcPr>
            <w:tcW w:w="9700" w:type="dxa"/>
            <w:vAlign w:val="bottom"/>
            <w:gridSpan w:val="11"/>
          </w:tcPr>
          <w:p>
            <w:pPr>
              <w:spacing w:after="0"/>
              <w:rPr>
                <w:sz w:val="20"/>
                <w:szCs w:val="20"/>
                <w:color w:val="auto"/>
              </w:rPr>
            </w:pPr>
            <w:r>
              <w:rPr>
                <w:rFonts w:ascii="Arial" w:cs="Arial" w:eastAsia="Arial" w:hAnsi="Arial"/>
                <w:sz w:val="18"/>
                <w:szCs w:val="18"/>
                <w:color w:val="auto"/>
              </w:rPr>
              <w:t>Cover Page Inline XBRL File (included in Exhibit 101)</w:t>
            </w:r>
          </w:p>
        </w:tc>
      </w:tr>
    </w:tbl>
    <w:p>
      <w:pPr>
        <w:spacing w:after="0" w:line="112"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Filed herewith.</w:t>
      </w:r>
    </w:p>
    <w:p>
      <w:pPr>
        <w:spacing w:after="0" w:line="5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Indicates management contract or compensation plan or agreement.</w:t>
      </w:r>
    </w:p>
    <w:p>
      <w:pPr>
        <w:spacing w:after="0" w:line="59"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Certain information has been excluded from this exhibit because it is not material and would likely cause competitive harm to the registrant if publicly disclosed.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20" w:firstLine="324"/>
        <w:spacing w:after="0" w:line="32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2080"/>
              <w:spacing w:after="0"/>
              <w:rPr>
                <w:sz w:val="20"/>
                <w:szCs w:val="20"/>
                <w:color w:val="auto"/>
              </w:rPr>
            </w:pPr>
            <w:r>
              <w:rPr>
                <w:rFonts w:ascii="Arial" w:cs="Arial" w:eastAsia="Arial" w:hAnsi="Arial"/>
                <w:sz w:val="18"/>
                <w:szCs w:val="18"/>
                <w:color w:val="auto"/>
              </w:rPr>
              <w:t>ACCEL ENTERTAINMENT, INC.</w:t>
            </w:r>
          </w:p>
        </w:tc>
      </w:tr>
      <w:tr>
        <w:trPr>
          <w:trHeight w:val="540"/>
        </w:trPr>
        <w:tc>
          <w:tcPr>
            <w:tcW w:w="3540" w:type="dxa"/>
            <w:vAlign w:val="bottom"/>
          </w:tcPr>
          <w:p>
            <w:pPr>
              <w:ind w:left="60"/>
              <w:spacing w:after="0"/>
              <w:rPr>
                <w:sz w:val="20"/>
                <w:szCs w:val="20"/>
                <w:color w:val="auto"/>
              </w:rPr>
            </w:pPr>
            <w:r>
              <w:rPr>
                <w:rFonts w:ascii="Arial" w:cs="Arial" w:eastAsia="Arial" w:hAnsi="Arial"/>
                <w:sz w:val="18"/>
                <w:szCs w:val="18"/>
                <w:color w:val="auto"/>
              </w:rPr>
              <w:t>Date: March 1, 2023</w:t>
            </w:r>
          </w:p>
        </w:tc>
        <w:tc>
          <w:tcPr>
            <w:tcW w:w="7700" w:type="dxa"/>
            <w:vAlign w:val="bottom"/>
            <w:gridSpan w:val="2"/>
          </w:tcPr>
          <w:p>
            <w:pPr>
              <w:ind w:left="20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Mathew Ellis</w:t>
            </w:r>
          </w:p>
        </w:tc>
      </w:tr>
      <w:tr>
        <w:trPr>
          <w:trHeight w:val="27"/>
        </w:trPr>
        <w:tc>
          <w:tcPr>
            <w:tcW w:w="3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2"/>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Mathew Ellis</w:t>
            </w:r>
          </w:p>
        </w:tc>
      </w:tr>
      <w:tr>
        <w:trPr>
          <w:trHeight w:val="230"/>
        </w:trPr>
        <w:tc>
          <w:tcPr>
            <w:tcW w:w="3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932"/>
        </w:trPr>
        <w:tc>
          <w:tcPr>
            <w:tcW w:w="3540" w:type="dxa"/>
            <w:vAlign w:val="bottom"/>
          </w:tcPr>
          <w:p>
            <w:pPr>
              <w:spacing w:after="0"/>
              <w:rPr>
                <w:sz w:val="24"/>
                <w:szCs w:val="24"/>
                <w:color w:val="auto"/>
              </w:rPr>
            </w:pPr>
          </w:p>
        </w:tc>
        <w:tc>
          <w:tcPr>
            <w:tcW w:w="2520" w:type="dxa"/>
            <w:vAlign w:val="bottom"/>
          </w:tcPr>
          <w:p>
            <w:pPr>
              <w:jc w:val="right"/>
              <w:ind w:right="250"/>
              <w:spacing w:after="0"/>
              <w:rPr>
                <w:sz w:val="20"/>
                <w:szCs w:val="20"/>
                <w:color w:val="auto"/>
              </w:rPr>
            </w:pPr>
            <w:r>
              <w:rPr>
                <w:rFonts w:ascii="Arial" w:cs="Arial" w:eastAsia="Arial" w:hAnsi="Arial"/>
                <w:sz w:val="18"/>
                <w:szCs w:val="18"/>
                <w:color w:val="auto"/>
              </w:rPr>
              <w:t>58</w:t>
            </w:r>
          </w:p>
        </w:tc>
        <w:tc>
          <w:tcPr>
            <w:tcW w:w="518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Andrew Rubenstein, Mathew Ellis and Christie Kozlik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required and necessary to be done in connection therewith,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70" w:lineRule="exact"/>
        <w:rPr>
          <w:sz w:val="20"/>
          <w:szCs w:val="20"/>
          <w:color w:val="auto"/>
        </w:rPr>
      </w:pPr>
    </w:p>
    <w:p>
      <w:pPr>
        <w:jc w:val="both"/>
        <w:ind w:right="20" w:firstLine="324"/>
        <w:spacing w:after="0" w:line="340"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Signature</w:t>
            </w:r>
          </w:p>
        </w:tc>
        <w:tc>
          <w:tcPr>
            <w:tcW w:w="400" w:type="dxa"/>
            <w:vAlign w:val="bottom"/>
          </w:tcPr>
          <w:p>
            <w:pPr>
              <w:spacing w:after="0"/>
              <w:rPr>
                <w:sz w:val="16"/>
                <w:szCs w:val="16"/>
                <w:color w:val="auto"/>
              </w:rPr>
            </w:pPr>
          </w:p>
        </w:tc>
        <w:tc>
          <w:tcPr>
            <w:tcW w:w="6080" w:type="dxa"/>
            <w:vAlign w:val="bottom"/>
            <w:gridSpan w:val="2"/>
          </w:tcPr>
          <w:p>
            <w:pPr>
              <w:ind w:left="2700"/>
              <w:spacing w:after="0"/>
              <w:rPr>
                <w:sz w:val="20"/>
                <w:szCs w:val="20"/>
                <w:color w:val="auto"/>
              </w:rPr>
            </w:pPr>
            <w:r>
              <w:rPr>
                <w:rFonts w:ascii="Arial" w:cs="Arial" w:eastAsia="Arial" w:hAnsi="Arial"/>
                <w:sz w:val="14"/>
                <w:szCs w:val="14"/>
                <w:b w:val="1"/>
                <w:bCs w:val="1"/>
                <w:color w:val="auto"/>
              </w:rPr>
              <w:t>Title</w:t>
            </w:r>
          </w:p>
        </w:tc>
        <w:tc>
          <w:tcPr>
            <w:tcW w:w="1920" w:type="dxa"/>
            <w:vAlign w:val="bottom"/>
          </w:tcPr>
          <w:p>
            <w:pPr>
              <w:ind w:left="820"/>
              <w:spacing w:after="0"/>
              <w:rPr>
                <w:sz w:val="20"/>
                <w:szCs w:val="20"/>
                <w:color w:val="auto"/>
              </w:rPr>
            </w:pPr>
            <w:r>
              <w:rPr>
                <w:rFonts w:ascii="Arial" w:cs="Arial" w:eastAsia="Arial" w:hAnsi="Arial"/>
                <w:sz w:val="14"/>
                <w:szCs w:val="14"/>
                <w:b w:val="1"/>
                <w:bCs w:val="1"/>
                <w:color w:val="auto"/>
              </w:rPr>
              <w:t>Date</w:t>
            </w:r>
          </w:p>
        </w:tc>
      </w:tr>
      <w:tr>
        <w:trPr>
          <w:trHeight w:val="39"/>
        </w:trPr>
        <w:tc>
          <w:tcPr>
            <w:tcW w:w="278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568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r>
        <w:trPr>
          <w:trHeight w:val="439"/>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 Andrew Rubenstein</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President and Director</w:t>
            </w:r>
          </w:p>
        </w:tc>
        <w:tc>
          <w:tcPr>
            <w:tcW w:w="1920" w:type="dxa"/>
            <w:vAlign w:val="bottom"/>
          </w:tcPr>
          <w:p>
            <w:pPr>
              <w:ind w:left="20"/>
              <w:spacing w:after="0"/>
              <w:rPr>
                <w:sz w:val="20"/>
                <w:szCs w:val="20"/>
                <w:color w:val="auto"/>
              </w:rPr>
            </w:pPr>
            <w:r>
              <w:rPr>
                <w:rFonts w:ascii="Arial" w:cs="Arial" w:eastAsia="Arial" w:hAnsi="Arial"/>
                <w:sz w:val="18"/>
                <w:szCs w:val="18"/>
                <w:color w:val="auto"/>
              </w:rPr>
              <w:t>March 1, 2023</w:t>
            </w:r>
          </w:p>
        </w:tc>
      </w:tr>
      <w:tr>
        <w:trPr>
          <w:trHeight w:val="27"/>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Andrew Rubenstein</w:t>
            </w:r>
          </w:p>
        </w:tc>
        <w:tc>
          <w:tcPr>
            <w:tcW w:w="400" w:type="dxa"/>
            <w:vAlign w:val="bottom"/>
          </w:tcPr>
          <w:p>
            <w:pPr>
              <w:spacing w:after="0"/>
              <w:rPr>
                <w:sz w:val="20"/>
                <w:szCs w:val="20"/>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920" w:type="dxa"/>
            <w:vAlign w:val="bottom"/>
          </w:tcPr>
          <w:p>
            <w:pPr>
              <w:spacing w:after="0"/>
              <w:rPr>
                <w:sz w:val="20"/>
                <w:szCs w:val="20"/>
                <w:color w:val="auto"/>
              </w:rPr>
            </w:pPr>
          </w:p>
        </w:tc>
      </w:tr>
      <w:tr>
        <w:trPr>
          <w:trHeight w:val="486"/>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 Mathew Ellis</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920" w:type="dxa"/>
            <w:vAlign w:val="bottom"/>
          </w:tcPr>
          <w:p>
            <w:pPr>
              <w:ind w:left="20"/>
              <w:spacing w:after="0"/>
              <w:rPr>
                <w:sz w:val="20"/>
                <w:szCs w:val="20"/>
                <w:color w:val="auto"/>
              </w:rPr>
            </w:pPr>
            <w:r>
              <w:rPr>
                <w:rFonts w:ascii="Arial" w:cs="Arial" w:eastAsia="Arial" w:hAnsi="Arial"/>
                <w:sz w:val="18"/>
                <w:szCs w:val="18"/>
                <w:color w:val="auto"/>
              </w:rPr>
              <w:t>March 1, 2023</w:t>
            </w:r>
          </w:p>
        </w:tc>
      </w:tr>
      <w:tr>
        <w:trPr>
          <w:trHeight w:val="27"/>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Mathew Ellis</w:t>
            </w:r>
          </w:p>
        </w:tc>
        <w:tc>
          <w:tcPr>
            <w:tcW w:w="400" w:type="dxa"/>
            <w:vAlign w:val="bottom"/>
          </w:tcPr>
          <w:p>
            <w:pPr>
              <w:spacing w:after="0"/>
              <w:rPr>
                <w:sz w:val="20"/>
                <w:szCs w:val="20"/>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c>
          <w:tcPr>
            <w:tcW w:w="1920" w:type="dxa"/>
            <w:vAlign w:val="bottom"/>
          </w:tcPr>
          <w:p>
            <w:pPr>
              <w:spacing w:after="0"/>
              <w:rPr>
                <w:sz w:val="20"/>
                <w:szCs w:val="20"/>
                <w:color w:val="auto"/>
              </w:rPr>
            </w:pPr>
          </w:p>
        </w:tc>
      </w:tr>
      <w:tr>
        <w:trPr>
          <w:trHeight w:val="486"/>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 Christie Kozlik</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c>
          <w:tcPr>
            <w:tcW w:w="1920" w:type="dxa"/>
            <w:vAlign w:val="bottom"/>
          </w:tcPr>
          <w:p>
            <w:pPr>
              <w:ind w:left="20"/>
              <w:spacing w:after="0"/>
              <w:rPr>
                <w:sz w:val="20"/>
                <w:szCs w:val="20"/>
                <w:color w:val="auto"/>
              </w:rPr>
            </w:pPr>
            <w:r>
              <w:rPr>
                <w:rFonts w:ascii="Arial" w:cs="Arial" w:eastAsia="Arial" w:hAnsi="Arial"/>
                <w:sz w:val="18"/>
                <w:szCs w:val="18"/>
                <w:color w:val="auto"/>
              </w:rPr>
              <w:t>March 1, 2023</w:t>
            </w:r>
          </w:p>
        </w:tc>
      </w:tr>
      <w:tr>
        <w:trPr>
          <w:trHeight w:val="27"/>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6"/>
        </w:trPr>
        <w:tc>
          <w:tcPr>
            <w:tcW w:w="2780" w:type="dxa"/>
            <w:vAlign w:val="bottom"/>
          </w:tcPr>
          <w:p>
            <w:pPr>
              <w:ind w:left="20"/>
              <w:spacing w:after="0"/>
              <w:rPr>
                <w:sz w:val="20"/>
                <w:szCs w:val="20"/>
                <w:color w:val="auto"/>
              </w:rPr>
            </w:pPr>
            <w:r>
              <w:rPr>
                <w:rFonts w:ascii="Arial" w:cs="Arial" w:eastAsia="Arial" w:hAnsi="Arial"/>
                <w:sz w:val="18"/>
                <w:szCs w:val="18"/>
                <w:color w:val="auto"/>
              </w:rPr>
              <w:t>Christie Kozlik</w:t>
            </w:r>
          </w:p>
        </w:tc>
        <w:tc>
          <w:tcPr>
            <w:tcW w:w="400" w:type="dxa"/>
            <w:vAlign w:val="bottom"/>
          </w:tcPr>
          <w:p>
            <w:pPr>
              <w:spacing w:after="0"/>
              <w:rPr>
                <w:sz w:val="20"/>
                <w:szCs w:val="20"/>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c>
          <w:tcPr>
            <w:tcW w:w="1920" w:type="dxa"/>
            <w:vAlign w:val="bottom"/>
          </w:tcPr>
          <w:p>
            <w:pPr>
              <w:spacing w:after="0"/>
              <w:rPr>
                <w:sz w:val="20"/>
                <w:szCs w:val="20"/>
                <w:color w:val="auto"/>
              </w:rPr>
            </w:pPr>
          </w:p>
        </w:tc>
      </w:tr>
      <w:tr>
        <w:trPr>
          <w:trHeight w:val="486"/>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 Derek Harmer</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General Counsel, Chief Compliance Officer and Secretary</w:t>
            </w:r>
          </w:p>
        </w:tc>
        <w:tc>
          <w:tcPr>
            <w:tcW w:w="1920" w:type="dxa"/>
            <w:vAlign w:val="bottom"/>
          </w:tcPr>
          <w:p>
            <w:pPr>
              <w:ind w:left="20"/>
              <w:spacing w:after="0"/>
              <w:rPr>
                <w:sz w:val="20"/>
                <w:szCs w:val="20"/>
                <w:color w:val="auto"/>
              </w:rPr>
            </w:pPr>
            <w:r>
              <w:rPr>
                <w:rFonts w:ascii="Arial" w:cs="Arial" w:eastAsia="Arial" w:hAnsi="Arial"/>
                <w:sz w:val="18"/>
                <w:szCs w:val="18"/>
                <w:color w:val="auto"/>
              </w:rPr>
              <w:t>March 1, 2023</w:t>
            </w:r>
          </w:p>
        </w:tc>
      </w:tr>
      <w:tr>
        <w:trPr>
          <w:trHeight w:val="27"/>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Derek Harmer</w:t>
            </w:r>
          </w:p>
        </w:tc>
        <w:tc>
          <w:tcPr>
            <w:tcW w:w="4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86"/>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 Karl Peterson</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Chairman of the Board and Director</w:t>
            </w:r>
          </w:p>
        </w:tc>
        <w:tc>
          <w:tcPr>
            <w:tcW w:w="1920" w:type="dxa"/>
            <w:vAlign w:val="bottom"/>
          </w:tcPr>
          <w:p>
            <w:pPr>
              <w:ind w:left="20"/>
              <w:spacing w:after="0"/>
              <w:rPr>
                <w:sz w:val="20"/>
                <w:szCs w:val="20"/>
                <w:color w:val="auto"/>
              </w:rPr>
            </w:pPr>
            <w:r>
              <w:rPr>
                <w:rFonts w:ascii="Arial" w:cs="Arial" w:eastAsia="Arial" w:hAnsi="Arial"/>
                <w:sz w:val="18"/>
                <w:szCs w:val="18"/>
                <w:color w:val="auto"/>
              </w:rPr>
              <w:t>March 1, 2023</w:t>
            </w:r>
          </w:p>
        </w:tc>
      </w:tr>
      <w:tr>
        <w:trPr>
          <w:trHeight w:val="27"/>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Karl Peterson</w:t>
            </w:r>
          </w:p>
        </w:tc>
        <w:tc>
          <w:tcPr>
            <w:tcW w:w="4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86"/>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 Gordon Rubenstein</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20"/>
              <w:spacing w:after="0"/>
              <w:rPr>
                <w:sz w:val="20"/>
                <w:szCs w:val="20"/>
                <w:color w:val="auto"/>
              </w:rPr>
            </w:pPr>
            <w:r>
              <w:rPr>
                <w:rFonts w:ascii="Arial" w:cs="Arial" w:eastAsia="Arial" w:hAnsi="Arial"/>
                <w:sz w:val="18"/>
                <w:szCs w:val="18"/>
                <w:color w:val="auto"/>
              </w:rPr>
              <w:t>March 1, 2023</w:t>
            </w:r>
          </w:p>
        </w:tc>
      </w:tr>
      <w:tr>
        <w:trPr>
          <w:trHeight w:val="27"/>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Gordon Rubenstein</w:t>
            </w:r>
          </w:p>
        </w:tc>
        <w:tc>
          <w:tcPr>
            <w:tcW w:w="4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86"/>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 Kathleen Philips</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20"/>
              <w:spacing w:after="0"/>
              <w:rPr>
                <w:sz w:val="20"/>
                <w:szCs w:val="20"/>
                <w:color w:val="auto"/>
              </w:rPr>
            </w:pPr>
            <w:r>
              <w:rPr>
                <w:rFonts w:ascii="Arial" w:cs="Arial" w:eastAsia="Arial" w:hAnsi="Arial"/>
                <w:sz w:val="18"/>
                <w:szCs w:val="18"/>
                <w:color w:val="auto"/>
              </w:rPr>
              <w:t>March 1, 2023</w:t>
            </w:r>
          </w:p>
        </w:tc>
      </w:tr>
      <w:tr>
        <w:trPr>
          <w:trHeight w:val="27"/>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Kathleen Philips</w:t>
            </w:r>
          </w:p>
        </w:tc>
        <w:tc>
          <w:tcPr>
            <w:tcW w:w="4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86"/>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 David W. Ruttenberg</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20"/>
              <w:spacing w:after="0"/>
              <w:rPr>
                <w:sz w:val="20"/>
                <w:szCs w:val="20"/>
                <w:color w:val="auto"/>
              </w:rPr>
            </w:pPr>
            <w:r>
              <w:rPr>
                <w:rFonts w:ascii="Arial" w:cs="Arial" w:eastAsia="Arial" w:hAnsi="Arial"/>
                <w:sz w:val="18"/>
                <w:szCs w:val="18"/>
                <w:color w:val="auto"/>
              </w:rPr>
              <w:t>March 1, 2023</w:t>
            </w:r>
          </w:p>
        </w:tc>
      </w:tr>
      <w:tr>
        <w:trPr>
          <w:trHeight w:val="27"/>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David W. Ruttenberg</w:t>
            </w:r>
          </w:p>
        </w:tc>
        <w:tc>
          <w:tcPr>
            <w:tcW w:w="4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86"/>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 Eden Godsoe</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20"/>
              <w:spacing w:after="0"/>
              <w:rPr>
                <w:sz w:val="20"/>
                <w:szCs w:val="20"/>
                <w:color w:val="auto"/>
              </w:rPr>
            </w:pPr>
            <w:r>
              <w:rPr>
                <w:rFonts w:ascii="Arial" w:cs="Arial" w:eastAsia="Arial" w:hAnsi="Arial"/>
                <w:sz w:val="18"/>
                <w:szCs w:val="18"/>
                <w:color w:val="auto"/>
              </w:rPr>
              <w:t>March 1, 2023</w:t>
            </w:r>
          </w:p>
        </w:tc>
      </w:tr>
      <w:tr>
        <w:trPr>
          <w:trHeight w:val="27"/>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8"/>
                <w:szCs w:val="18"/>
                <w:color w:val="auto"/>
              </w:rPr>
              <w:t>Eden Godsoe</w:t>
            </w:r>
          </w:p>
        </w:tc>
        <w:tc>
          <w:tcPr>
            <w:tcW w:w="4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86"/>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 Kenneth B. Rotman</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20"/>
              <w:spacing w:after="0"/>
              <w:rPr>
                <w:sz w:val="20"/>
                <w:szCs w:val="20"/>
                <w:color w:val="auto"/>
              </w:rPr>
            </w:pPr>
            <w:r>
              <w:rPr>
                <w:rFonts w:ascii="Arial" w:cs="Arial" w:eastAsia="Arial" w:hAnsi="Arial"/>
                <w:sz w:val="18"/>
                <w:szCs w:val="18"/>
                <w:color w:val="auto"/>
              </w:rPr>
              <w:t>March 1, 2023</w:t>
            </w:r>
          </w:p>
        </w:tc>
      </w:tr>
      <w:tr>
        <w:trPr>
          <w:trHeight w:val="27"/>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6"/>
        </w:trPr>
        <w:tc>
          <w:tcPr>
            <w:tcW w:w="2780" w:type="dxa"/>
            <w:vAlign w:val="bottom"/>
          </w:tcPr>
          <w:p>
            <w:pPr>
              <w:ind w:left="20"/>
              <w:spacing w:after="0"/>
              <w:rPr>
                <w:sz w:val="20"/>
                <w:szCs w:val="20"/>
                <w:color w:val="auto"/>
              </w:rPr>
            </w:pPr>
            <w:r>
              <w:rPr>
                <w:rFonts w:ascii="Arial" w:cs="Arial" w:eastAsia="Arial" w:hAnsi="Arial"/>
                <w:sz w:val="18"/>
                <w:szCs w:val="18"/>
                <w:color w:val="auto"/>
              </w:rPr>
              <w:t>Kenneth B. Rotman</w:t>
            </w:r>
          </w:p>
        </w:tc>
        <w:tc>
          <w:tcPr>
            <w:tcW w:w="4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86"/>
        </w:trPr>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 Dee Robinson</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20"/>
              <w:spacing w:after="0"/>
              <w:rPr>
                <w:sz w:val="20"/>
                <w:szCs w:val="20"/>
                <w:color w:val="auto"/>
              </w:rPr>
            </w:pPr>
            <w:r>
              <w:rPr>
                <w:rFonts w:ascii="Arial" w:cs="Arial" w:eastAsia="Arial" w:hAnsi="Arial"/>
                <w:sz w:val="18"/>
                <w:szCs w:val="18"/>
                <w:color w:val="auto"/>
              </w:rPr>
              <w:t>March 1, 2023</w:t>
            </w:r>
          </w:p>
        </w:tc>
      </w:tr>
      <w:tr>
        <w:trPr>
          <w:trHeight w:val="27"/>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6"/>
        </w:trPr>
        <w:tc>
          <w:tcPr>
            <w:tcW w:w="2780" w:type="dxa"/>
            <w:vAlign w:val="bottom"/>
          </w:tcPr>
          <w:p>
            <w:pPr>
              <w:ind w:left="20"/>
              <w:spacing w:after="0"/>
              <w:rPr>
                <w:sz w:val="20"/>
                <w:szCs w:val="20"/>
                <w:color w:val="auto"/>
              </w:rPr>
            </w:pPr>
            <w:r>
              <w:rPr>
                <w:rFonts w:ascii="Arial" w:cs="Arial" w:eastAsia="Arial" w:hAnsi="Arial"/>
                <w:sz w:val="18"/>
                <w:szCs w:val="18"/>
                <w:color w:val="auto"/>
              </w:rPr>
              <w:t>Dee Robinson</w:t>
            </w:r>
          </w:p>
        </w:tc>
        <w:tc>
          <w:tcPr>
            <w:tcW w:w="4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1220"/>
        <w:spacing w:after="0"/>
        <w:rPr>
          <w:sz w:val="20"/>
          <w:szCs w:val="20"/>
          <w:color w:val="auto"/>
        </w:rPr>
      </w:pPr>
      <w:r>
        <w:rPr>
          <w:rFonts w:ascii="Arial" w:cs="Arial" w:eastAsia="Arial" w:hAnsi="Arial"/>
          <w:sz w:val="18"/>
          <w:szCs w:val="18"/>
          <w:b w:val="1"/>
          <w:bCs w:val="1"/>
          <w:color w:val="auto"/>
        </w:rPr>
        <w:t>INDEX TO FINANCIAL STATEMENTS</w:t>
      </w:r>
    </w:p>
    <w:p>
      <w:pPr>
        <w:spacing w:after="0" w:line="63" w:lineRule="exact"/>
        <w:rPr>
          <w:sz w:val="20"/>
          <w:szCs w:val="20"/>
          <w:color w:val="auto"/>
        </w:rPr>
      </w:pPr>
    </w:p>
    <w:p>
      <w:pPr>
        <w:jc w:val="center"/>
        <w:ind w:left="1220"/>
        <w:spacing w:after="0"/>
        <w:rPr>
          <w:sz w:val="20"/>
          <w:szCs w:val="20"/>
          <w:color w:val="auto"/>
        </w:rPr>
      </w:pPr>
      <w:r>
        <w:rPr>
          <w:rFonts w:ascii="Arial" w:cs="Arial" w:eastAsia="Arial" w:hAnsi="Arial"/>
          <w:sz w:val="18"/>
          <w:szCs w:val="18"/>
          <w:b w:val="1"/>
          <w:bCs w:val="1"/>
          <w:color w:val="auto"/>
        </w:rPr>
        <w:t>ACCEL ENTERTAINMENT, INC.</w:t>
      </w: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0000FF"/>
        </w:rPr>
        <w:t>Report of Independent Registered Public Accounting Firm</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0000FF"/>
        </w:rPr>
        <w:t>Consolidated Statements of Operations and Comprehensive Income (Loss)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0000FF"/>
        </w:rPr>
        <w:t>Consolidated Balance Sheets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0000FF"/>
        </w:rPr>
        <w:t>Consolidated Statements of Stockholders’ Equity (Deficit)</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0000FF"/>
        </w:rPr>
        <w:t>Consolidated Statements of Cash Flows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12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F-2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F-6</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F-7</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F-8</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F-9</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F-11</w:t>
      </w:r>
    </w:p>
    <w:p>
      <w:pPr>
        <w:sectPr>
          <w:pgSz w:w="11900" w:h="16838" w:orient="portrait"/>
          <w:cols w:equalWidth="0" w:num="2">
            <w:col w:w="10020" w:space="720"/>
            <w:col w:w="340"/>
          </w:cols>
          <w:pgMar w:left="320" w:top="125" w:right="49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Accel Entertainment,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98"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8"/>
          <w:szCs w:val="18"/>
          <w:color w:val="auto"/>
        </w:rPr>
        <w:t>We have audited the accompanying consolidated balance sheets of Accel Entertainment, Inc. and subsidiaries (the Company) as of December 31, 2022 and 2021, the related consolidated statements of operations and comprehensive income (loss), stockholders’ equity (deficit),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123"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March 1, 2023 expressed an adverse opinion on the effectiveness of the Company’s internal control over financial reporting.</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 in Accounting Principle</w:t>
      </w:r>
    </w:p>
    <w:p>
      <w:pPr>
        <w:spacing w:after="0" w:line="198" w:lineRule="exact"/>
        <w:rPr>
          <w:sz w:val="20"/>
          <w:szCs w:val="20"/>
          <w:color w:val="auto"/>
        </w:rPr>
      </w:pPr>
    </w:p>
    <w:p>
      <w:pPr>
        <w:jc w:val="both"/>
        <w:ind w:right="20" w:firstLine="324"/>
        <w:spacing w:after="0" w:line="324" w:lineRule="auto"/>
        <w:rPr>
          <w:sz w:val="20"/>
          <w:szCs w:val="20"/>
          <w:color w:val="auto"/>
        </w:rPr>
      </w:pPr>
      <w:r>
        <w:rPr>
          <w:rFonts w:ascii="Arial" w:cs="Arial" w:eastAsia="Arial" w:hAnsi="Arial"/>
          <w:sz w:val="18"/>
          <w:szCs w:val="18"/>
          <w:color w:val="auto"/>
        </w:rPr>
        <w:t xml:space="preserve">As discussed in Note 2 to the consolidated financial statements, the Company has changed its method of accounting for leases as of January 1, 2022 due to the adoption of the Accounting Standards Update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9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5" w:lineRule="exact"/>
        <w:rPr>
          <w:sz w:val="20"/>
          <w:szCs w:val="20"/>
          <w:color w:val="auto"/>
        </w:rPr>
      </w:pPr>
    </w:p>
    <w:p>
      <w:pPr>
        <w:jc w:val="both"/>
        <w:ind w:firstLine="324"/>
        <w:spacing w:after="0" w:line="34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85"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Acquisition-date fair value of location contract intangible assets</w:t>
      </w:r>
    </w:p>
    <w:p>
      <w:pPr>
        <w:spacing w:after="0" w:line="198" w:lineRule="exact"/>
        <w:rPr>
          <w:sz w:val="20"/>
          <w:szCs w:val="20"/>
          <w:color w:val="auto"/>
        </w:rPr>
      </w:pPr>
    </w:p>
    <w:p>
      <w:pPr>
        <w:jc w:val="both"/>
        <w:ind w:left="660" w:firstLine="324"/>
        <w:spacing w:after="0" w:line="326" w:lineRule="auto"/>
        <w:rPr>
          <w:sz w:val="20"/>
          <w:szCs w:val="20"/>
          <w:color w:val="auto"/>
        </w:rPr>
      </w:pPr>
      <w:r>
        <w:rPr>
          <w:rFonts w:ascii="Arial" w:cs="Arial" w:eastAsia="Arial" w:hAnsi="Arial"/>
          <w:sz w:val="17"/>
          <w:szCs w:val="17"/>
          <w:color w:val="auto"/>
        </w:rPr>
        <w:t>As discussed in Note 10 to the consolidated financial statements, on June 1, 2022, the Company acquired Century Gaming, Inc. (Century) in a business combination for total consideration of $164.3 million. As a result of the business combination, the Company recognized location contract intangible assets at fair value, representing expected cash flows to be generated from Century’s pre-existing relationships with licensed gaming locations. Fair value was measured using an income approach based on the estimated future cash flows using certain projected financial information such as revenue projections, cost of revenue margins and other assumptions such as discount rates. The preliminary estimated acquisition-date fair value determined for Century’s location contract intangible assets was $40.4 million.</w:t>
      </w:r>
    </w:p>
    <w:p>
      <w:pPr>
        <w:spacing w:after="0" w:line="108" w:lineRule="exact"/>
        <w:rPr>
          <w:sz w:val="20"/>
          <w:szCs w:val="20"/>
          <w:color w:val="auto"/>
        </w:rPr>
      </w:pPr>
    </w:p>
    <w:p>
      <w:pPr>
        <w:jc w:val="both"/>
        <w:ind w:left="660" w:firstLine="324"/>
        <w:spacing w:after="0" w:line="306" w:lineRule="auto"/>
        <w:rPr>
          <w:sz w:val="20"/>
          <w:szCs w:val="20"/>
          <w:color w:val="auto"/>
        </w:rPr>
      </w:pPr>
      <w:r>
        <w:rPr>
          <w:rFonts w:ascii="Arial" w:cs="Arial" w:eastAsia="Arial" w:hAnsi="Arial"/>
          <w:sz w:val="18"/>
          <w:szCs w:val="18"/>
          <w:color w:val="auto"/>
        </w:rPr>
        <w:t>We identified the evaluation of the acquisition-date fair value of the location contract intangible assets as a critical audit matter. A higher degree of subjective auditor judgment was required to evaluate projected cost of revenue margins and the discount rate used by the Company to determine acquisition-date fair value. Changes in these assumptions could have had a significant impact on the estimated fair value of the location contract intangible assets.</w:t>
      </w:r>
    </w:p>
    <w:p>
      <w:pPr>
        <w:spacing w:after="0" w:line="119" w:lineRule="exact"/>
        <w:rPr>
          <w:sz w:val="20"/>
          <w:szCs w:val="20"/>
          <w:color w:val="auto"/>
        </w:rPr>
      </w:pPr>
    </w:p>
    <w:p>
      <w:pPr>
        <w:jc w:val="both"/>
        <w:ind w:left="660" w:firstLine="324"/>
        <w:spacing w:after="0" w:line="326"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acquisition-date fair value of location contract intangible assets, including controls related to the determination of projected cost of revenue margins and the discount rate. To assess the projected cost of revenue margins, we compared projected amounts to Century’s historical results and to comparable companies. In addition, we involved valuation professionals with specialized skills and knowledge, who assisted in evaluating the discount rate by comparing it to a discount rate range that was independently developed using publicly available market data for comparable companies.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Sufficiency of audit evidence over cash</w:t>
      </w:r>
    </w:p>
    <w:p>
      <w:pPr>
        <w:spacing w:after="0" w:line="198" w:lineRule="exact"/>
        <w:rPr>
          <w:sz w:val="20"/>
          <w:szCs w:val="20"/>
          <w:color w:val="auto"/>
        </w:rPr>
      </w:pPr>
    </w:p>
    <w:p>
      <w:pPr>
        <w:jc w:val="both"/>
        <w:ind w:left="660" w:firstLine="324"/>
        <w:spacing w:after="0" w:line="310" w:lineRule="auto"/>
        <w:rPr>
          <w:sz w:val="20"/>
          <w:szCs w:val="20"/>
          <w:color w:val="auto"/>
        </w:rPr>
      </w:pPr>
      <w:r>
        <w:rPr>
          <w:rFonts w:ascii="Arial" w:cs="Arial" w:eastAsia="Arial" w:hAnsi="Arial"/>
          <w:sz w:val="18"/>
          <w:szCs w:val="18"/>
          <w:color w:val="auto"/>
        </w:rPr>
        <w:t>As discussed in Note 2 to the consolidated financial statements, cash and cash equivalents include bank deposit accounts, term bank deposit accounts, cash in gaming terminals, automated teller machines, redemption terminals, and the Company’s vaults. The Company has $224.1 million in cash and cash equivalents as of December 31, 2022.</w:t>
      </w:r>
    </w:p>
    <w:p>
      <w:pPr>
        <w:spacing w:after="0" w:line="116" w:lineRule="exact"/>
        <w:rPr>
          <w:sz w:val="20"/>
          <w:szCs w:val="20"/>
          <w:color w:val="auto"/>
        </w:rPr>
      </w:pPr>
    </w:p>
    <w:p>
      <w:pPr>
        <w:jc w:val="both"/>
        <w:ind w:left="660" w:firstLine="324"/>
        <w:spacing w:after="0" w:line="308" w:lineRule="auto"/>
        <w:rPr>
          <w:sz w:val="20"/>
          <w:szCs w:val="20"/>
          <w:color w:val="auto"/>
        </w:rPr>
      </w:pPr>
      <w:r>
        <w:rPr>
          <w:rFonts w:ascii="Arial" w:cs="Arial" w:eastAsia="Arial" w:hAnsi="Arial"/>
          <w:sz w:val="18"/>
          <w:szCs w:val="18"/>
          <w:color w:val="auto"/>
        </w:rPr>
        <w:t>We identified the evaluation of the sufficiency of audit evidence obtained over certain components of cash and cash equivalents, including cash in gaming terminals, redemption terminals, and the Company’s vaults (collectively, field cash) as a critical audit matter. Evaluating the sufficiency of audit evidence obtained related to field cash required especially subjective auditor judgment due to the dispersed nature of field cash across numerous physical locations and geographies. This included determining the physical locations and geographies over which procedures were performed and evaluating the nature and extent of evidence obtained.</w:t>
      </w:r>
    </w:p>
    <w:p>
      <w:pPr>
        <w:spacing w:after="0" w:line="116" w:lineRule="exact"/>
        <w:rPr>
          <w:sz w:val="20"/>
          <w:szCs w:val="20"/>
          <w:color w:val="auto"/>
        </w:rPr>
      </w:pPr>
    </w:p>
    <w:p>
      <w:pPr>
        <w:jc w:val="both"/>
        <w:ind w:left="660" w:firstLine="324"/>
        <w:spacing w:after="0" w:line="303" w:lineRule="auto"/>
        <w:rPr>
          <w:sz w:val="20"/>
          <w:szCs w:val="20"/>
          <w:color w:val="auto"/>
        </w:rPr>
      </w:pPr>
      <w:r>
        <w:rPr>
          <w:rFonts w:ascii="Arial" w:cs="Arial" w:eastAsia="Arial" w:hAnsi="Arial"/>
          <w:sz w:val="18"/>
          <w:szCs w:val="18"/>
          <w:color w:val="auto"/>
        </w:rPr>
        <w:t>The following are the primary procedures we performed to address this critical audit matter. We applied auditor judgment to determine the nature and extent of procedures to be performed over field cash, including determining the geographies and physical locations over which procedures were performed. We obtained an understanding of the Company’s field cash policies by observing the Company’s cash logistics processes at certain locations. To assess the cash balances for certain gaming and redemption terminals, we observed the Company’s field cash counting processes and performed a sample of independent physical counts of cash. To assess the cash balances for a selection of vaults, we observed the Company’s field cash counting processes and performed independent physical counts of cash. We evaluated the sufficiency of audit evidence obtained by assessing the results of procedures performed, including the appropriateness of the nature and extent of such evidence over field cash.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Accel Entertainment, Inc.: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98"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We have audited Accel Entertainment, Inc. and subsidiaries' (the Company) internal control over financial reporting as of December 31, 2022, based on criteria established in Internal Control – Integrated Framework (2013) issued by the Committee of Sponsoring Organizations of the Treadway Commission. In our opinion, because of the effect of the material weaknesses, described below, on the achievement of the objectives of the control criteria, the Company has not maintained effective internal control over financial reporting as of December 31, 2022, based on criteria established in Internal Control – Integrated Framework (2013) issued by the Committee of Sponsoring Organizations of the Treadway Commission.</w:t>
      </w:r>
    </w:p>
    <w:p>
      <w:pPr>
        <w:spacing w:after="0" w:line="9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and comprehensive income (loss), stockholders’ equity (deficit), and cash flows for each of the years in the three-year period ended December 31, 2022, and the related notes (collectively, the consolidated financial statements), and our report dated March 1, 2023 expressed an unqualified opinion on those consolidated financial statements.</w:t>
      </w:r>
    </w:p>
    <w:p>
      <w:pPr>
        <w:spacing w:after="0" w:line="116"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weaknesses related to deficiencies in the design and implementation of the Company’s internal controls due to ineffective control environment, risk assessment, and information and communication resulting from an insufficient headcount necessary to support general information technology controls and most process-level controls have been identified and included in management’s assessment. The material weaknesses were considered in determining the nature, timing, and extent of audit tests applied in our audit of the 2022 consolidated financial statements, and this report does not affect our report on those consolidated financial statements.</w:t>
      </w:r>
    </w:p>
    <w:p>
      <w:pPr>
        <w:spacing w:after="0" w:line="12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The Company acquired Century Gaming, Inc. during 2022, and management excluded from its assessment of the effectiveness of the Company’s internal control over financial reporting as of December 31, 2022, Century Gaming, Inc.’s internal control over financial reporting associated with 9% of the Company’s total assets and 15% of the Company’s total net revenues included in the consolidated financial statements of the Company as of and for the year ended December 31, 2022. Our audit of internal control over financial reporting of the Company also excluded an evaluation of the internal control over financial reporting of Century Gaming, Inc.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9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3" w:lineRule="exact"/>
        <w:rPr>
          <w:sz w:val="20"/>
          <w:szCs w:val="20"/>
          <w:color w:val="auto"/>
        </w:rPr>
      </w:pPr>
    </w:p>
    <w:p>
      <w:pPr>
        <w:jc w:val="both"/>
        <w:ind w:firstLine="324"/>
        <w:spacing w:after="0" w:line="354"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98"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3"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ACCEL ENTERTAINMENT, INC.</w:t>
      </w:r>
    </w:p>
    <w:p>
      <w:pPr>
        <w:spacing w:after="0" w:line="27"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47"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5120" w:type="dxa"/>
            <w:vAlign w:val="bottom"/>
          </w:tcPr>
          <w:p>
            <w:pPr>
              <w:ind w:left="20"/>
              <w:spacing w:after="0"/>
              <w:rPr>
                <w:sz w:val="20"/>
                <w:szCs w:val="20"/>
                <w:color w:val="auto"/>
              </w:rPr>
            </w:pPr>
            <w:r>
              <w:rPr>
                <w:rFonts w:ascii="Arial" w:cs="Arial" w:eastAsia="Arial" w:hAnsi="Arial"/>
                <w:sz w:val="18"/>
                <w:szCs w:val="18"/>
                <w:color w:val="auto"/>
              </w:rPr>
              <w:t>(in thousands, except per share amounts)</w:t>
            </w: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gaming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925,009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705,784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300,520</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Amusement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21,106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16,667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Manufacturing</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7,621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ATM fees and other revenue</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12,256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6,585</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net revenues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969,797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734,707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316,352</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1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8"/>
              </w:rPr>
              <w:t>Cost of revenue (exclusive of depreciation and amortization</w:t>
            </w: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666,126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494,032</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211,086</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expense shown below)</w:t>
            </w:r>
          </w:p>
        </w:tc>
        <w:tc>
          <w:tcPr>
            <w:tcW w:w="3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460"/>
              <w:spacing w:after="0"/>
              <w:rPr>
                <w:sz w:val="20"/>
                <w:szCs w:val="20"/>
                <w:color w:val="auto"/>
              </w:rPr>
            </w:pPr>
            <w:r>
              <w:rPr>
                <w:rFonts w:ascii="Arial" w:cs="Arial" w:eastAsia="Arial" w:hAnsi="Arial"/>
                <w:sz w:val="18"/>
                <w:szCs w:val="18"/>
                <w:color w:val="auto"/>
                <w:w w:val="97"/>
              </w:rPr>
              <w:t>Cost of manufacturing goods sold (exclusive of depreciation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20" w:type="dxa"/>
            <w:vAlign w:val="bottom"/>
          </w:tcPr>
          <w:p>
            <w:pPr>
              <w:ind w:left="460"/>
              <w:spacing w:after="0"/>
              <w:rPr>
                <w:sz w:val="20"/>
                <w:szCs w:val="20"/>
                <w:color w:val="auto"/>
              </w:rPr>
            </w:pPr>
            <w:r>
              <w:rPr>
                <w:rFonts w:ascii="Arial" w:cs="Arial" w:eastAsia="Arial" w:hAnsi="Arial"/>
                <w:sz w:val="18"/>
                <w:szCs w:val="18"/>
                <w:color w:val="auto"/>
              </w:rPr>
              <w:t>and amortization expense shown below)</w:t>
            </w:r>
          </w:p>
        </w:tc>
        <w:tc>
          <w:tcPr>
            <w:tcW w:w="30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4,775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145,942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77,420</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Depreciation and amortization of property and equipment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29,295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24,636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20,969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12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Amortization of intangible assets and route and customer</w:t>
            </w: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17,484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22,040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22,608</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acquisition costs</w:t>
            </w:r>
          </w:p>
        </w:tc>
        <w:tc>
          <w:tcPr>
            <w:tcW w:w="3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Other expenses, net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12,989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8,948</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872,942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664,515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341,031</w:t>
            </w:r>
          </w:p>
        </w:tc>
        <w:tc>
          <w:tcPr>
            <w:tcW w:w="0" w:type="dxa"/>
            <w:vAlign w:val="bottom"/>
          </w:tcPr>
          <w:p>
            <w:pPr>
              <w:spacing w:after="0"/>
              <w:rPr>
                <w:sz w:val="1"/>
                <w:szCs w:val="1"/>
                <w:color w:val="auto"/>
              </w:rPr>
            </w:pPr>
          </w:p>
        </w:tc>
      </w:tr>
      <w:tr>
        <w:trPr>
          <w:trHeight w:val="237"/>
        </w:trPr>
        <w:tc>
          <w:tcPr>
            <w:tcW w:w="5120" w:type="dxa"/>
            <w:vAlign w:val="bottom"/>
          </w:tcPr>
          <w:p>
            <w:pPr>
              <w:ind w:left="86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96,855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70,192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(24,679)</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13,707</w:t>
            </w:r>
          </w:p>
        </w:tc>
        <w:tc>
          <w:tcPr>
            <w:tcW w:w="0" w:type="dxa"/>
            <w:vAlign w:val="bottom"/>
          </w:tcPr>
          <w:p>
            <w:pPr>
              <w:spacing w:after="0"/>
              <w:rPr>
                <w:sz w:val="1"/>
                <w:szCs w:val="1"/>
                <w:color w:val="auto"/>
              </w:rPr>
            </w:pPr>
          </w:p>
        </w:tc>
      </w:tr>
      <w:tr>
        <w:trPr>
          <w:trHeight w:val="270"/>
        </w:trPr>
        <w:tc>
          <w:tcPr>
            <w:tcW w:w="5120" w:type="dxa"/>
            <w:vAlign w:val="bottom"/>
          </w:tcPr>
          <w:p>
            <w:pPr>
              <w:ind w:left="20"/>
              <w:spacing w:after="0"/>
              <w:rPr>
                <w:sz w:val="20"/>
                <w:szCs w:val="20"/>
                <w:color w:val="auto"/>
              </w:rPr>
            </w:pPr>
            <w:r>
              <w:rPr>
                <w:rFonts w:ascii="Arial" w:cs="Arial" w:eastAsia="Arial" w:hAnsi="Arial"/>
                <w:sz w:val="18"/>
                <w:szCs w:val="18"/>
                <w:color w:val="auto"/>
              </w:rPr>
              <w:t>(Gain) loss on change in fair value of contingent earnout shares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(19,544)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9,762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(8,484)</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change in fair value of warrants</w:t>
            </w: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w:t>
            </w:r>
          </w:p>
        </w:tc>
        <w:tc>
          <w:tcPr>
            <w:tcW w:w="0" w:type="dxa"/>
            <w:vAlign w:val="bottom"/>
          </w:tcPr>
          <w:p>
            <w:pPr>
              <w:spacing w:after="0"/>
              <w:rPr>
                <w:sz w:val="1"/>
                <w:szCs w:val="1"/>
                <w:color w:val="auto"/>
              </w:rPr>
            </w:pPr>
          </w:p>
        </w:tc>
      </w:tr>
      <w:tr>
        <w:trPr>
          <w:trHeight w:val="270"/>
        </w:trPr>
        <w:tc>
          <w:tcPr>
            <w:tcW w:w="5120" w:type="dxa"/>
            <w:vAlign w:val="bottom"/>
          </w:tcPr>
          <w:p>
            <w:pPr>
              <w:ind w:left="20"/>
              <w:spacing w:after="0"/>
              <w:rPr>
                <w:sz w:val="20"/>
                <w:szCs w:val="20"/>
                <w:color w:val="auto"/>
              </w:rPr>
            </w:pPr>
            <w:r>
              <w:rPr>
                <w:rFonts w:ascii="Arial" w:cs="Arial" w:eastAsia="Arial" w:hAnsi="Arial"/>
                <w:sz w:val="18"/>
                <w:szCs w:val="18"/>
                <w:color w:val="auto"/>
              </w:rPr>
              <w:t>Loss on debt extinguishment</w:t>
            </w:r>
          </w:p>
        </w:tc>
        <w:tc>
          <w:tcPr>
            <w:tcW w:w="3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Borders>
              <w:top w:val="single" w:sz="8" w:color="CCEEFF"/>
              <w:bottom w:val="single" w:sz="8" w:color="CCEEFF"/>
            </w:tcBorders>
            <w:shd w:val="clear" w:color="auto" w:fill="CCEEFF"/>
          </w:tcPr>
          <w:p>
            <w:pPr>
              <w:ind w:left="860"/>
              <w:spacing w:after="0"/>
              <w:rPr>
                <w:sz w:val="20"/>
                <w:szCs w:val="20"/>
                <w:color w:val="auto"/>
              </w:rPr>
            </w:pPr>
            <w:r>
              <w:rPr>
                <w:rFonts w:ascii="Arial" w:cs="Arial" w:eastAsia="Arial" w:hAnsi="Arial"/>
                <w:sz w:val="18"/>
                <w:szCs w:val="18"/>
                <w:b w:val="1"/>
                <w:bCs w:val="1"/>
                <w:color w:val="auto"/>
                <w:w w:val="99"/>
              </w:rPr>
              <w:t>Income (loss) before income tax expense (benefit)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(17,328)</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20,660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(16,918)</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74,102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31,559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90,629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93,781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83,045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83,113</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74,102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31,559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Unrealized (loss) gain on investment in convertible notes (net of</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income taxes of $(36) and $36,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5120" w:type="dxa"/>
            <w:vAlign w:val="bottom"/>
          </w:tcPr>
          <w:p>
            <w:pPr>
              <w:ind w:left="420"/>
              <w:spacing w:after="0"/>
              <w:rPr>
                <w:sz w:val="20"/>
                <w:szCs w:val="20"/>
                <w:color w:val="auto"/>
              </w:rPr>
            </w:pPr>
            <w:r>
              <w:rPr>
                <w:rFonts w:ascii="Arial" w:cs="Arial" w:eastAsia="Arial" w:hAnsi="Arial"/>
                <w:sz w:val="18"/>
                <w:szCs w:val="18"/>
                <w:color w:val="auto"/>
                <w:w w:val="93"/>
              </w:rPr>
              <w:t>Unrealized gain on interest rate caplets (net of income taxes of</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420"/>
              <w:spacing w:after="0"/>
              <w:rPr>
                <w:sz w:val="20"/>
                <w:szCs w:val="20"/>
                <w:color w:val="auto"/>
              </w:rPr>
            </w:pPr>
            <w:r>
              <w:rPr>
                <w:rFonts w:ascii="Arial" w:cs="Arial" w:eastAsia="Arial" w:hAnsi="Arial"/>
                <w:sz w:val="18"/>
                <w:szCs w:val="18"/>
                <w:color w:val="auto"/>
              </w:rPr>
              <w:t>$4,693)</w:t>
            </w:r>
          </w:p>
        </w:tc>
        <w:tc>
          <w:tcPr>
            <w:tcW w:w="3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12,240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Comprehensive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86,342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31,466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248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0300"/>
          </w:cols>
          <w:pgMar w:left="320" w:top="125"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125" w:right="127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ACCEL ENTERTAINMENT, INC.</w:t>
      </w:r>
    </w:p>
    <w:p>
      <w:pPr>
        <w:spacing w:after="0" w:line="27"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CONSOLIDATED BALANCE SHEETS</w:t>
      </w:r>
    </w:p>
    <w:p>
      <w:pPr>
        <w:spacing w:after="0" w:line="337"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6580" w:type="dxa"/>
            <w:vAlign w:val="bottom"/>
          </w:tcPr>
          <w:p>
            <w:pPr>
              <w:ind w:left="20"/>
              <w:spacing w:after="0"/>
              <w:rPr>
                <w:sz w:val="20"/>
                <w:szCs w:val="20"/>
                <w:color w:val="auto"/>
              </w:rPr>
            </w:pPr>
            <w:r>
              <w:rPr>
                <w:rFonts w:ascii="Arial" w:cs="Arial" w:eastAsia="Arial" w:hAnsi="Arial"/>
                <w:sz w:val="14"/>
                <w:szCs w:val="14"/>
                <w:color w:val="auto"/>
              </w:rPr>
              <w:t>(in thousands, except par value and share amounts)</w:t>
            </w:r>
          </w:p>
        </w:tc>
        <w:tc>
          <w:tcPr>
            <w:tcW w:w="300" w:type="dxa"/>
            <w:vAlign w:val="bottom"/>
          </w:tcPr>
          <w:p>
            <w:pPr>
              <w:spacing w:after="0"/>
              <w:rPr>
                <w:sz w:val="16"/>
                <w:szCs w:val="16"/>
                <w:color w:val="auto"/>
              </w:rPr>
            </w:pPr>
          </w:p>
        </w:tc>
        <w:tc>
          <w:tcPr>
            <w:tcW w:w="16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6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5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Cash and cash equivalents</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224,113</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198,786</w:t>
            </w:r>
          </w:p>
        </w:tc>
        <w:tc>
          <w:tcPr>
            <w:tcW w:w="0" w:type="dxa"/>
            <w:vAlign w:val="bottom"/>
          </w:tcPr>
          <w:p>
            <w:pPr>
              <w:spacing w:after="0"/>
              <w:rPr>
                <w:sz w:val="1"/>
                <w:szCs w:val="1"/>
                <w:color w:val="auto"/>
              </w:rPr>
            </w:pPr>
          </w:p>
        </w:tc>
      </w:tr>
      <w:tr>
        <w:trPr>
          <w:trHeight w:val="191"/>
        </w:trPr>
        <w:tc>
          <w:tcPr>
            <w:tcW w:w="6580" w:type="dxa"/>
            <w:vAlign w:val="bottom"/>
          </w:tcPr>
          <w:p>
            <w:pPr>
              <w:ind w:left="460"/>
              <w:spacing w:after="0"/>
              <w:rPr>
                <w:sz w:val="20"/>
                <w:szCs w:val="20"/>
                <w:color w:val="auto"/>
              </w:rPr>
            </w:pPr>
            <w:r>
              <w:rPr>
                <w:rFonts w:ascii="Arial" w:cs="Arial" w:eastAsia="Arial" w:hAnsi="Arial"/>
                <w:sz w:val="14"/>
                <w:szCs w:val="14"/>
                <w:color w:val="auto"/>
              </w:rPr>
              <w:t>Accounts receivable, net</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11,166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5,121</w:t>
            </w:r>
          </w:p>
        </w:tc>
        <w:tc>
          <w:tcPr>
            <w:tcW w:w="0" w:type="dxa"/>
            <w:vAlign w:val="bottom"/>
          </w:tcPr>
          <w:p>
            <w:pPr>
              <w:spacing w:after="0"/>
              <w:rPr>
                <w:sz w:val="1"/>
                <w:szCs w:val="1"/>
                <w:color w:val="auto"/>
              </w:rPr>
            </w:pPr>
          </w:p>
        </w:tc>
      </w:tr>
      <w:tr>
        <w:trPr>
          <w:trHeight w:val="39"/>
        </w:trPr>
        <w:tc>
          <w:tcPr>
            <w:tcW w:w="6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Prepaid expenses</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7,407</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6,998</w:t>
            </w:r>
          </w:p>
        </w:tc>
        <w:tc>
          <w:tcPr>
            <w:tcW w:w="0" w:type="dxa"/>
            <w:vAlign w:val="bottom"/>
          </w:tcPr>
          <w:p>
            <w:pPr>
              <w:spacing w:after="0"/>
              <w:rPr>
                <w:sz w:val="1"/>
                <w:szCs w:val="1"/>
                <w:color w:val="auto"/>
              </w:rPr>
            </w:pPr>
          </w:p>
        </w:tc>
      </w:tr>
      <w:tr>
        <w:trPr>
          <w:trHeight w:val="190"/>
        </w:trPr>
        <w:tc>
          <w:tcPr>
            <w:tcW w:w="6580" w:type="dxa"/>
            <w:vAlign w:val="bottom"/>
          </w:tcPr>
          <w:p>
            <w:pPr>
              <w:ind w:left="460"/>
              <w:spacing w:after="0"/>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6,941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6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Income taxes receivable</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538</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6580" w:type="dxa"/>
            <w:vAlign w:val="bottom"/>
          </w:tcPr>
          <w:p>
            <w:pPr>
              <w:ind w:left="460"/>
              <w:spacing w:after="0"/>
              <w:rPr>
                <w:sz w:val="20"/>
                <w:szCs w:val="20"/>
                <w:color w:val="auto"/>
              </w:rPr>
            </w:pPr>
            <w:r>
              <w:rPr>
                <w:rFonts w:ascii="Arial" w:cs="Arial" w:eastAsia="Arial" w:hAnsi="Arial"/>
                <w:sz w:val="14"/>
                <w:szCs w:val="14"/>
                <w:color w:val="auto"/>
              </w:rPr>
              <w:t>Interest rate caplets</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8,555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6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Investment in convertible notes</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32,065</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32,065</w:t>
            </w:r>
          </w:p>
        </w:tc>
        <w:tc>
          <w:tcPr>
            <w:tcW w:w="0" w:type="dxa"/>
            <w:vAlign w:val="bottom"/>
          </w:tcPr>
          <w:p>
            <w:pPr>
              <w:spacing w:after="0"/>
              <w:rPr>
                <w:sz w:val="1"/>
                <w:szCs w:val="1"/>
                <w:color w:val="auto"/>
              </w:rPr>
            </w:pPr>
          </w:p>
        </w:tc>
      </w:tr>
      <w:tr>
        <w:trPr>
          <w:trHeight w:val="190"/>
        </w:trPr>
        <w:tc>
          <w:tcPr>
            <w:tcW w:w="6580" w:type="dxa"/>
            <w:vAlign w:val="bottom"/>
          </w:tcPr>
          <w:p>
            <w:pPr>
              <w:ind w:left="460"/>
              <w:spacing w:after="0"/>
              <w:rPr>
                <w:sz w:val="20"/>
                <w:szCs w:val="20"/>
                <w:color w:val="auto"/>
              </w:rPr>
            </w:pPr>
            <w:r>
              <w:rPr>
                <w:rFonts w:ascii="Arial" w:cs="Arial" w:eastAsia="Arial" w:hAnsi="Arial"/>
                <w:sz w:val="14"/>
                <w:szCs w:val="14"/>
                <w:color w:val="auto"/>
              </w:rPr>
              <w:t>Other current assets</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8,427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5,025</w:t>
            </w:r>
          </w:p>
        </w:tc>
        <w:tc>
          <w:tcPr>
            <w:tcW w:w="0" w:type="dxa"/>
            <w:vAlign w:val="bottom"/>
          </w:tcPr>
          <w:p>
            <w:pPr>
              <w:spacing w:after="0"/>
              <w:rPr>
                <w:sz w:val="1"/>
                <w:szCs w:val="1"/>
                <w:color w:val="auto"/>
              </w:rPr>
            </w:pPr>
          </w:p>
        </w:tc>
      </w:tr>
      <w:tr>
        <w:trPr>
          <w:trHeight w:val="39"/>
        </w:trPr>
        <w:tc>
          <w:tcPr>
            <w:tcW w:w="65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5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Total current assets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299,212</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247,995</w:t>
            </w:r>
          </w:p>
        </w:tc>
        <w:tc>
          <w:tcPr>
            <w:tcW w:w="0" w:type="dxa"/>
            <w:vAlign w:val="bottom"/>
          </w:tcPr>
          <w:p>
            <w:pPr>
              <w:spacing w:after="0"/>
              <w:rPr>
                <w:sz w:val="1"/>
                <w:szCs w:val="1"/>
                <w:color w:val="auto"/>
              </w:rPr>
            </w:pPr>
          </w:p>
        </w:tc>
      </w:tr>
      <w:tr>
        <w:trPr>
          <w:trHeight w:val="184"/>
        </w:trPr>
        <w:tc>
          <w:tcPr>
            <w:tcW w:w="658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211,844</w:t>
            </w: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152,251</w:t>
            </w:r>
          </w:p>
        </w:tc>
        <w:tc>
          <w:tcPr>
            <w:tcW w:w="0" w:type="dxa"/>
            <w:vAlign w:val="bottom"/>
          </w:tcPr>
          <w:p>
            <w:pPr>
              <w:spacing w:after="0"/>
              <w:rPr>
                <w:sz w:val="1"/>
                <w:szCs w:val="1"/>
                <w:color w:val="auto"/>
              </w:rPr>
            </w:pPr>
          </w:p>
        </w:tc>
      </w:tr>
      <w:tr>
        <w:trPr>
          <w:trHeight w:val="39"/>
        </w:trPr>
        <w:tc>
          <w:tcPr>
            <w:tcW w:w="65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assets:</w:t>
            </w: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580" w:type="dxa"/>
            <w:vAlign w:val="bottom"/>
          </w:tcPr>
          <w:p>
            <w:pPr>
              <w:ind w:left="460"/>
              <w:spacing w:after="0"/>
              <w:rPr>
                <w:sz w:val="20"/>
                <w:szCs w:val="20"/>
                <w:color w:val="auto"/>
              </w:rPr>
            </w:pPr>
            <w:r>
              <w:rPr>
                <w:rFonts w:ascii="Arial" w:cs="Arial" w:eastAsia="Arial" w:hAnsi="Arial"/>
                <w:sz w:val="14"/>
                <w:szCs w:val="14"/>
                <w:color w:val="auto"/>
              </w:rPr>
              <w:t>Route and customer acquisition costs, net</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18,342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15,913</w:t>
            </w:r>
          </w:p>
        </w:tc>
        <w:tc>
          <w:tcPr>
            <w:tcW w:w="0" w:type="dxa"/>
            <w:vAlign w:val="bottom"/>
          </w:tcPr>
          <w:p>
            <w:pPr>
              <w:spacing w:after="0"/>
              <w:rPr>
                <w:sz w:val="1"/>
                <w:szCs w:val="1"/>
                <w:color w:val="auto"/>
              </w:rPr>
            </w:pPr>
          </w:p>
        </w:tc>
      </w:tr>
      <w:tr>
        <w:trPr>
          <w:trHeight w:val="39"/>
        </w:trPr>
        <w:tc>
          <w:tcPr>
            <w:tcW w:w="6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Location contracts acquired, net</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189,343</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150,672</w:t>
            </w:r>
          </w:p>
        </w:tc>
        <w:tc>
          <w:tcPr>
            <w:tcW w:w="0" w:type="dxa"/>
            <w:vAlign w:val="bottom"/>
          </w:tcPr>
          <w:p>
            <w:pPr>
              <w:spacing w:after="0"/>
              <w:rPr>
                <w:sz w:val="1"/>
                <w:szCs w:val="1"/>
                <w:color w:val="auto"/>
              </w:rPr>
            </w:pPr>
          </w:p>
        </w:tc>
      </w:tr>
      <w:tr>
        <w:trPr>
          <w:trHeight w:val="191"/>
        </w:trPr>
        <w:tc>
          <w:tcPr>
            <w:tcW w:w="6580" w:type="dxa"/>
            <w:vAlign w:val="bottom"/>
          </w:tcPr>
          <w:p>
            <w:pPr>
              <w:ind w:left="46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100,707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46,199</w:t>
            </w:r>
          </w:p>
        </w:tc>
        <w:tc>
          <w:tcPr>
            <w:tcW w:w="0" w:type="dxa"/>
            <w:vAlign w:val="bottom"/>
          </w:tcPr>
          <w:p>
            <w:pPr>
              <w:spacing w:after="0"/>
              <w:rPr>
                <w:sz w:val="1"/>
                <w:szCs w:val="1"/>
                <w:color w:val="auto"/>
              </w:rPr>
            </w:pPr>
          </w:p>
        </w:tc>
      </w:tr>
      <w:tr>
        <w:trPr>
          <w:trHeight w:val="39"/>
        </w:trPr>
        <w:tc>
          <w:tcPr>
            <w:tcW w:w="6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Other intangible assets, net</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22,979</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6580" w:type="dxa"/>
            <w:vAlign w:val="bottom"/>
          </w:tcPr>
          <w:p>
            <w:pPr>
              <w:ind w:left="460"/>
              <w:spacing w:after="0"/>
              <w:rPr>
                <w:sz w:val="20"/>
                <w:szCs w:val="20"/>
                <w:color w:val="auto"/>
              </w:rPr>
            </w:pPr>
            <w:r>
              <w:rPr>
                <w:rFonts w:ascii="Arial" w:cs="Arial" w:eastAsia="Arial" w:hAnsi="Arial"/>
                <w:sz w:val="14"/>
                <w:szCs w:val="14"/>
                <w:color w:val="auto"/>
              </w:rPr>
              <w:t>Interest rate caplets, net of current</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11,364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6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Other assets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8,978</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3,043</w:t>
            </w:r>
          </w:p>
        </w:tc>
        <w:tc>
          <w:tcPr>
            <w:tcW w:w="0" w:type="dxa"/>
            <w:vAlign w:val="bottom"/>
          </w:tcPr>
          <w:p>
            <w:pPr>
              <w:spacing w:after="0"/>
              <w:rPr>
                <w:sz w:val="1"/>
                <w:szCs w:val="1"/>
                <w:color w:val="auto"/>
              </w:rPr>
            </w:pPr>
          </w:p>
        </w:tc>
      </w:tr>
      <w:tr>
        <w:trPr>
          <w:trHeight w:val="184"/>
        </w:trPr>
        <w:tc>
          <w:tcPr>
            <w:tcW w:w="6580" w:type="dxa"/>
            <w:vAlign w:val="bottom"/>
          </w:tcPr>
          <w:p>
            <w:pPr>
              <w:ind w:left="860"/>
              <w:spacing w:after="0"/>
              <w:rPr>
                <w:sz w:val="20"/>
                <w:szCs w:val="20"/>
                <w:color w:val="auto"/>
              </w:rPr>
            </w:pPr>
            <w:r>
              <w:rPr>
                <w:rFonts w:ascii="Arial" w:cs="Arial" w:eastAsia="Arial" w:hAnsi="Arial"/>
                <w:sz w:val="14"/>
                <w:szCs w:val="14"/>
                <w:b w:val="1"/>
                <w:bCs w:val="1"/>
                <w:color w:val="auto"/>
              </w:rPr>
              <w:t>Total noncurrent assets</w:t>
            </w: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351,713</w:t>
            </w: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215,827</w:t>
            </w:r>
          </w:p>
        </w:tc>
        <w:tc>
          <w:tcPr>
            <w:tcW w:w="0" w:type="dxa"/>
            <w:vAlign w:val="bottom"/>
          </w:tcPr>
          <w:p>
            <w:pPr>
              <w:spacing w:after="0"/>
              <w:rPr>
                <w:sz w:val="1"/>
                <w:szCs w:val="1"/>
                <w:color w:val="auto"/>
              </w:rPr>
            </w:pPr>
          </w:p>
        </w:tc>
      </w:tr>
      <w:tr>
        <w:trPr>
          <w:trHeight w:val="39"/>
        </w:trPr>
        <w:tc>
          <w:tcPr>
            <w:tcW w:w="65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5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Total assets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862,769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616,073</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6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580" w:type="dxa"/>
            <w:vAlign w:val="bottom"/>
          </w:tcPr>
          <w:p>
            <w:pPr>
              <w:ind w:left="460"/>
              <w:spacing w:after="0"/>
              <w:rPr>
                <w:sz w:val="20"/>
                <w:szCs w:val="20"/>
                <w:color w:val="auto"/>
              </w:rPr>
            </w:pPr>
            <w:r>
              <w:rPr>
                <w:rFonts w:ascii="Arial" w:cs="Arial" w:eastAsia="Arial" w:hAnsi="Arial"/>
                <w:sz w:val="14"/>
                <w:szCs w:val="14"/>
                <w:color w:val="auto"/>
              </w:rPr>
              <w:t>Current maturities of debt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23,466</w:t>
            </w:r>
          </w:p>
        </w:tc>
        <w:tc>
          <w:tcPr>
            <w:tcW w:w="12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17,500</w:t>
            </w:r>
          </w:p>
        </w:tc>
        <w:tc>
          <w:tcPr>
            <w:tcW w:w="0" w:type="dxa"/>
            <w:vAlign w:val="bottom"/>
          </w:tcPr>
          <w:p>
            <w:pPr>
              <w:spacing w:after="0"/>
              <w:rPr>
                <w:sz w:val="1"/>
                <w:szCs w:val="1"/>
                <w:color w:val="auto"/>
              </w:rPr>
            </w:pPr>
          </w:p>
        </w:tc>
      </w:tr>
      <w:tr>
        <w:trPr>
          <w:trHeight w:val="39"/>
        </w:trPr>
        <w:tc>
          <w:tcPr>
            <w:tcW w:w="6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Current portion of route and customer acquisition costs payable</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1,487</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2,079</w:t>
            </w:r>
          </w:p>
        </w:tc>
        <w:tc>
          <w:tcPr>
            <w:tcW w:w="0" w:type="dxa"/>
            <w:vAlign w:val="bottom"/>
          </w:tcPr>
          <w:p>
            <w:pPr>
              <w:spacing w:after="0"/>
              <w:rPr>
                <w:sz w:val="1"/>
                <w:szCs w:val="1"/>
                <w:color w:val="auto"/>
              </w:rPr>
            </w:pPr>
          </w:p>
        </w:tc>
      </w:tr>
      <w:tr>
        <w:trPr>
          <w:trHeight w:val="190"/>
        </w:trPr>
        <w:tc>
          <w:tcPr>
            <w:tcW w:w="6580" w:type="dxa"/>
            <w:vAlign w:val="bottom"/>
          </w:tcPr>
          <w:p>
            <w:pPr>
              <w:ind w:left="460"/>
              <w:spacing w:after="0"/>
              <w:rPr>
                <w:sz w:val="20"/>
                <w:szCs w:val="20"/>
                <w:color w:val="auto"/>
              </w:rPr>
            </w:pPr>
            <w:r>
              <w:rPr>
                <w:rFonts w:ascii="Arial" w:cs="Arial" w:eastAsia="Arial" w:hAnsi="Arial"/>
                <w:sz w:val="14"/>
                <w:szCs w:val="14"/>
                <w:color w:val="auto"/>
              </w:rPr>
              <w:t>Accrued location gaming expense</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7,791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3,969</w:t>
            </w:r>
          </w:p>
        </w:tc>
        <w:tc>
          <w:tcPr>
            <w:tcW w:w="0" w:type="dxa"/>
            <w:vAlign w:val="bottom"/>
          </w:tcPr>
          <w:p>
            <w:pPr>
              <w:spacing w:after="0"/>
              <w:rPr>
                <w:sz w:val="1"/>
                <w:szCs w:val="1"/>
                <w:color w:val="auto"/>
              </w:rPr>
            </w:pPr>
          </w:p>
        </w:tc>
      </w:tr>
      <w:tr>
        <w:trPr>
          <w:trHeight w:val="39"/>
        </w:trPr>
        <w:tc>
          <w:tcPr>
            <w:tcW w:w="6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Accrued state gaming expense</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16,605</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11,441</w:t>
            </w:r>
          </w:p>
        </w:tc>
        <w:tc>
          <w:tcPr>
            <w:tcW w:w="0" w:type="dxa"/>
            <w:vAlign w:val="bottom"/>
          </w:tcPr>
          <w:p>
            <w:pPr>
              <w:spacing w:after="0"/>
              <w:rPr>
                <w:sz w:val="1"/>
                <w:szCs w:val="1"/>
                <w:color w:val="auto"/>
              </w:rPr>
            </w:pPr>
          </w:p>
        </w:tc>
      </w:tr>
      <w:tr>
        <w:trPr>
          <w:trHeight w:val="191"/>
        </w:trPr>
        <w:tc>
          <w:tcPr>
            <w:tcW w:w="6580" w:type="dxa"/>
            <w:vAlign w:val="bottom"/>
          </w:tcPr>
          <w:p>
            <w:pPr>
              <w:ind w:left="460"/>
              <w:spacing w:after="0"/>
              <w:rPr>
                <w:sz w:val="20"/>
                <w:szCs w:val="20"/>
                <w:color w:val="auto"/>
              </w:rPr>
            </w:pPr>
            <w:r>
              <w:rPr>
                <w:rFonts w:ascii="Arial" w:cs="Arial" w:eastAsia="Arial" w:hAnsi="Arial"/>
                <w:sz w:val="14"/>
                <w:szCs w:val="14"/>
                <w:color w:val="auto"/>
              </w:rPr>
              <w:t>Accounts payable and other accrued expenses</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22,302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14,616</w:t>
            </w:r>
          </w:p>
        </w:tc>
        <w:tc>
          <w:tcPr>
            <w:tcW w:w="0" w:type="dxa"/>
            <w:vAlign w:val="bottom"/>
          </w:tcPr>
          <w:p>
            <w:pPr>
              <w:spacing w:after="0"/>
              <w:rPr>
                <w:sz w:val="1"/>
                <w:szCs w:val="1"/>
                <w:color w:val="auto"/>
              </w:rPr>
            </w:pPr>
          </w:p>
        </w:tc>
      </w:tr>
      <w:tr>
        <w:trPr>
          <w:trHeight w:val="39"/>
        </w:trPr>
        <w:tc>
          <w:tcPr>
            <w:tcW w:w="6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Accrued compensation and related expenses</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10,607</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8,886</w:t>
            </w:r>
          </w:p>
        </w:tc>
        <w:tc>
          <w:tcPr>
            <w:tcW w:w="0" w:type="dxa"/>
            <w:vAlign w:val="bottom"/>
          </w:tcPr>
          <w:p>
            <w:pPr>
              <w:spacing w:after="0"/>
              <w:rPr>
                <w:sz w:val="1"/>
                <w:szCs w:val="1"/>
                <w:color w:val="auto"/>
              </w:rPr>
            </w:pPr>
          </w:p>
        </w:tc>
      </w:tr>
      <w:tr>
        <w:trPr>
          <w:trHeight w:val="190"/>
        </w:trPr>
        <w:tc>
          <w:tcPr>
            <w:tcW w:w="6580" w:type="dxa"/>
            <w:vAlign w:val="bottom"/>
          </w:tcPr>
          <w:p>
            <w:pPr>
              <w:ind w:left="460"/>
              <w:spacing w:after="0"/>
              <w:rPr>
                <w:sz w:val="20"/>
                <w:szCs w:val="20"/>
                <w:color w:val="auto"/>
              </w:rPr>
            </w:pPr>
            <w:r>
              <w:rPr>
                <w:rFonts w:ascii="Arial" w:cs="Arial" w:eastAsia="Arial" w:hAnsi="Arial"/>
                <w:sz w:val="14"/>
                <w:szCs w:val="14"/>
                <w:color w:val="auto"/>
              </w:rPr>
              <w:t>Current portion of consideration payable</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7,647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13,344</w:t>
            </w:r>
          </w:p>
        </w:tc>
        <w:tc>
          <w:tcPr>
            <w:tcW w:w="0" w:type="dxa"/>
            <w:vAlign w:val="bottom"/>
          </w:tcPr>
          <w:p>
            <w:pPr>
              <w:spacing w:after="0"/>
              <w:rPr>
                <w:sz w:val="1"/>
                <w:szCs w:val="1"/>
                <w:color w:val="auto"/>
              </w:rPr>
            </w:pPr>
          </w:p>
        </w:tc>
      </w:tr>
      <w:tr>
        <w:trPr>
          <w:trHeight w:val="39"/>
        </w:trPr>
        <w:tc>
          <w:tcPr>
            <w:tcW w:w="65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5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Total current liabilities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89,905</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71,835</w:t>
            </w:r>
          </w:p>
        </w:tc>
        <w:tc>
          <w:tcPr>
            <w:tcW w:w="0" w:type="dxa"/>
            <w:vAlign w:val="bottom"/>
          </w:tcPr>
          <w:p>
            <w:pPr>
              <w:spacing w:after="0"/>
              <w:rPr>
                <w:sz w:val="1"/>
                <w:szCs w:val="1"/>
                <w:color w:val="auto"/>
              </w:rPr>
            </w:pPr>
          </w:p>
        </w:tc>
      </w:tr>
      <w:tr>
        <w:trPr>
          <w:trHeight w:val="170"/>
        </w:trPr>
        <w:tc>
          <w:tcPr>
            <w:tcW w:w="6580" w:type="dxa"/>
            <w:vAlign w:val="bottom"/>
          </w:tcPr>
          <w:p>
            <w:pPr>
              <w:ind w:left="20"/>
              <w:spacing w:after="0"/>
              <w:rPr>
                <w:sz w:val="20"/>
                <w:szCs w:val="20"/>
                <w:color w:val="auto"/>
              </w:rPr>
            </w:pPr>
            <w:r>
              <w:rPr>
                <w:rFonts w:ascii="Arial" w:cs="Arial" w:eastAsia="Arial" w:hAnsi="Arial"/>
                <w:sz w:val="14"/>
                <w:szCs w:val="14"/>
                <w:color w:val="auto"/>
              </w:rPr>
              <w:t>Long-term liabilities:</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Debt, net of current maturities</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518,566</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324,022</w:t>
            </w:r>
          </w:p>
        </w:tc>
        <w:tc>
          <w:tcPr>
            <w:tcW w:w="0" w:type="dxa"/>
            <w:vAlign w:val="bottom"/>
          </w:tcPr>
          <w:p>
            <w:pPr>
              <w:spacing w:after="0"/>
              <w:rPr>
                <w:sz w:val="1"/>
                <w:szCs w:val="1"/>
                <w:color w:val="auto"/>
              </w:rPr>
            </w:pPr>
          </w:p>
        </w:tc>
      </w:tr>
      <w:tr>
        <w:trPr>
          <w:trHeight w:val="191"/>
        </w:trPr>
        <w:tc>
          <w:tcPr>
            <w:tcW w:w="6580" w:type="dxa"/>
            <w:vAlign w:val="bottom"/>
          </w:tcPr>
          <w:p>
            <w:pPr>
              <w:ind w:left="460"/>
              <w:spacing w:after="0"/>
              <w:rPr>
                <w:sz w:val="20"/>
                <w:szCs w:val="20"/>
                <w:color w:val="auto"/>
              </w:rPr>
            </w:pPr>
            <w:r>
              <w:rPr>
                <w:rFonts w:ascii="Arial" w:cs="Arial" w:eastAsia="Arial" w:hAnsi="Arial"/>
                <w:sz w:val="14"/>
                <w:szCs w:val="14"/>
                <w:color w:val="auto"/>
              </w:rPr>
              <w:t>Route and customer acquisition costs payable, less current portion</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5,137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3,953</w:t>
            </w:r>
          </w:p>
        </w:tc>
        <w:tc>
          <w:tcPr>
            <w:tcW w:w="0" w:type="dxa"/>
            <w:vAlign w:val="bottom"/>
          </w:tcPr>
          <w:p>
            <w:pPr>
              <w:spacing w:after="0"/>
              <w:rPr>
                <w:sz w:val="1"/>
                <w:szCs w:val="1"/>
                <w:color w:val="auto"/>
              </w:rPr>
            </w:pPr>
          </w:p>
        </w:tc>
      </w:tr>
      <w:tr>
        <w:trPr>
          <w:trHeight w:val="39"/>
        </w:trPr>
        <w:tc>
          <w:tcPr>
            <w:tcW w:w="6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Consideration payable, less current portion</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6,872</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12,706</w:t>
            </w:r>
          </w:p>
        </w:tc>
        <w:tc>
          <w:tcPr>
            <w:tcW w:w="0" w:type="dxa"/>
            <w:vAlign w:val="bottom"/>
          </w:tcPr>
          <w:p>
            <w:pPr>
              <w:spacing w:after="0"/>
              <w:rPr>
                <w:sz w:val="1"/>
                <w:szCs w:val="1"/>
                <w:color w:val="auto"/>
              </w:rPr>
            </w:pPr>
          </w:p>
        </w:tc>
      </w:tr>
      <w:tr>
        <w:trPr>
          <w:trHeight w:val="190"/>
        </w:trPr>
        <w:tc>
          <w:tcPr>
            <w:tcW w:w="6580" w:type="dxa"/>
            <w:vAlign w:val="bottom"/>
          </w:tcPr>
          <w:p>
            <w:pPr>
              <w:ind w:left="460"/>
              <w:spacing w:after="0"/>
              <w:rPr>
                <w:sz w:val="20"/>
                <w:szCs w:val="20"/>
                <w:color w:val="auto"/>
              </w:rPr>
            </w:pPr>
            <w:r>
              <w:rPr>
                <w:rFonts w:ascii="Arial" w:cs="Arial" w:eastAsia="Arial" w:hAnsi="Arial"/>
                <w:sz w:val="14"/>
                <w:szCs w:val="14"/>
                <w:color w:val="auto"/>
              </w:rPr>
              <w:t>Contingent earnout share liability</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23,288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42,831</w:t>
            </w:r>
          </w:p>
        </w:tc>
        <w:tc>
          <w:tcPr>
            <w:tcW w:w="0" w:type="dxa"/>
            <w:vAlign w:val="bottom"/>
          </w:tcPr>
          <w:p>
            <w:pPr>
              <w:spacing w:after="0"/>
              <w:rPr>
                <w:sz w:val="1"/>
                <w:szCs w:val="1"/>
                <w:color w:val="auto"/>
              </w:rPr>
            </w:pPr>
          </w:p>
        </w:tc>
      </w:tr>
      <w:tr>
        <w:trPr>
          <w:trHeight w:val="39"/>
        </w:trPr>
        <w:tc>
          <w:tcPr>
            <w:tcW w:w="6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Other long-term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3,390</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1"/>
        </w:trPr>
        <w:tc>
          <w:tcPr>
            <w:tcW w:w="6580" w:type="dxa"/>
            <w:vAlign w:val="bottom"/>
          </w:tcPr>
          <w:p>
            <w:pPr>
              <w:ind w:left="460"/>
              <w:spacing w:after="0"/>
              <w:rPr>
                <w:sz w:val="20"/>
                <w:szCs w:val="20"/>
                <w:color w:val="auto"/>
              </w:rPr>
            </w:pPr>
            <w:r>
              <w:rPr>
                <w:rFonts w:ascii="Arial" w:cs="Arial" w:eastAsia="Arial" w:hAnsi="Arial"/>
                <w:sz w:val="14"/>
                <w:szCs w:val="14"/>
                <w:color w:val="auto"/>
              </w:rPr>
              <w:t>Deferred income tax liability, net</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37,021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2,248</w:t>
            </w:r>
          </w:p>
        </w:tc>
        <w:tc>
          <w:tcPr>
            <w:tcW w:w="0" w:type="dxa"/>
            <w:vAlign w:val="bottom"/>
          </w:tcPr>
          <w:p>
            <w:pPr>
              <w:spacing w:after="0"/>
              <w:rPr>
                <w:sz w:val="1"/>
                <w:szCs w:val="1"/>
                <w:color w:val="auto"/>
              </w:rPr>
            </w:pPr>
          </w:p>
        </w:tc>
      </w:tr>
      <w:tr>
        <w:trPr>
          <w:trHeight w:val="39"/>
        </w:trPr>
        <w:tc>
          <w:tcPr>
            <w:tcW w:w="65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5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Total long-term liabilities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594,274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385,777</w:t>
            </w:r>
          </w:p>
        </w:tc>
        <w:tc>
          <w:tcPr>
            <w:tcW w:w="0" w:type="dxa"/>
            <w:vAlign w:val="bottom"/>
          </w:tcPr>
          <w:p>
            <w:pPr>
              <w:spacing w:after="0"/>
              <w:rPr>
                <w:sz w:val="1"/>
                <w:szCs w:val="1"/>
                <w:color w:val="auto"/>
              </w:rPr>
            </w:pPr>
          </w:p>
        </w:tc>
      </w:tr>
      <w:tr>
        <w:trPr>
          <w:trHeight w:val="171"/>
        </w:trPr>
        <w:tc>
          <w:tcPr>
            <w:tcW w:w="65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6580" w:type="dxa"/>
            <w:vAlign w:val="bottom"/>
            <w:shd w:val="clear" w:color="auto" w:fill="CCEEFF"/>
          </w:tcPr>
          <w:p>
            <w:pPr>
              <w:ind w:left="460"/>
              <w:spacing w:after="0"/>
              <w:rPr>
                <w:sz w:val="20"/>
                <w:szCs w:val="20"/>
                <w:color w:val="auto"/>
              </w:rPr>
            </w:pPr>
            <w:r>
              <w:rPr>
                <w:rFonts w:ascii="Arial" w:cs="Arial" w:eastAsia="Arial" w:hAnsi="Arial"/>
                <w:sz w:val="14"/>
                <w:szCs w:val="14"/>
                <w:color w:val="auto"/>
                <w:w w:val="94"/>
              </w:rPr>
              <w:t>Preferred Stock, par value of $0.0001; 1,000,000 shares authorized; 0 shares issued and outstanding at</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December 31, 2022 and December 31, 2021</w:t>
            </w: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6580" w:type="dxa"/>
            <w:vAlign w:val="bottom"/>
          </w:tcPr>
          <w:p>
            <w:pPr>
              <w:ind w:left="460"/>
              <w:spacing w:after="0"/>
              <w:rPr>
                <w:sz w:val="20"/>
                <w:szCs w:val="20"/>
                <w:color w:val="auto"/>
              </w:rPr>
            </w:pPr>
            <w:r>
              <w:rPr>
                <w:rFonts w:ascii="Arial" w:cs="Arial" w:eastAsia="Arial" w:hAnsi="Arial"/>
                <w:sz w:val="14"/>
                <w:szCs w:val="14"/>
                <w:color w:val="auto"/>
                <w:w w:val="93"/>
              </w:rPr>
              <w:t>Class A-1 Common Stock, par value $0.0001; 250,000,000 shares authorized; 94,504,051 shares issued</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460"/>
              <w:spacing w:after="0"/>
              <w:rPr>
                <w:sz w:val="20"/>
                <w:szCs w:val="20"/>
                <w:color w:val="auto"/>
              </w:rPr>
            </w:pPr>
            <w:r>
              <w:rPr>
                <w:rFonts w:ascii="Arial" w:cs="Arial" w:eastAsia="Arial" w:hAnsi="Arial"/>
                <w:sz w:val="14"/>
                <w:szCs w:val="14"/>
                <w:color w:val="auto"/>
                <w:w w:val="96"/>
              </w:rPr>
              <w:t>and 86,674,390 shares outstanding at December 31, 2022; 94,111,868 shares issued and 93,410,563</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580" w:type="dxa"/>
            <w:vAlign w:val="bottom"/>
          </w:tcPr>
          <w:p>
            <w:pPr>
              <w:ind w:left="460"/>
              <w:spacing w:after="0"/>
              <w:rPr>
                <w:sz w:val="20"/>
                <w:szCs w:val="20"/>
                <w:color w:val="auto"/>
              </w:rPr>
            </w:pPr>
            <w:r>
              <w:rPr>
                <w:rFonts w:ascii="Arial" w:cs="Arial" w:eastAsia="Arial" w:hAnsi="Arial"/>
                <w:sz w:val="14"/>
                <w:szCs w:val="14"/>
                <w:color w:val="auto"/>
              </w:rPr>
              <w:t>shares outstanding at December 31, 2021</w:t>
            </w:r>
          </w:p>
        </w:tc>
        <w:tc>
          <w:tcPr>
            <w:tcW w:w="30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39"/>
        </w:trPr>
        <w:tc>
          <w:tcPr>
            <w:tcW w:w="6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Additional paid-in capital</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194,157</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187,656</w:t>
            </w:r>
          </w:p>
        </w:tc>
        <w:tc>
          <w:tcPr>
            <w:tcW w:w="0" w:type="dxa"/>
            <w:vAlign w:val="bottom"/>
          </w:tcPr>
          <w:p>
            <w:pPr>
              <w:spacing w:after="0"/>
              <w:rPr>
                <w:sz w:val="1"/>
                <w:szCs w:val="1"/>
                <w:color w:val="auto"/>
              </w:rPr>
            </w:pPr>
          </w:p>
        </w:tc>
      </w:tr>
      <w:tr>
        <w:trPr>
          <w:trHeight w:val="191"/>
        </w:trPr>
        <w:tc>
          <w:tcPr>
            <w:tcW w:w="6580" w:type="dxa"/>
            <w:vAlign w:val="bottom"/>
          </w:tcPr>
          <w:p>
            <w:pPr>
              <w:ind w:left="460"/>
              <w:spacing w:after="0"/>
              <w:rPr>
                <w:sz w:val="20"/>
                <w:szCs w:val="20"/>
                <w:color w:val="auto"/>
              </w:rPr>
            </w:pPr>
            <w:r>
              <w:rPr>
                <w:rFonts w:ascii="Arial" w:cs="Arial" w:eastAsia="Arial" w:hAnsi="Arial"/>
                <w:sz w:val="14"/>
                <w:szCs w:val="14"/>
                <w:color w:val="auto"/>
              </w:rPr>
              <w:t>Treasury stock, at cost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(81,697)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(8,983)</w:t>
            </w:r>
          </w:p>
        </w:tc>
        <w:tc>
          <w:tcPr>
            <w:tcW w:w="0" w:type="dxa"/>
            <w:vAlign w:val="bottom"/>
          </w:tcPr>
          <w:p>
            <w:pPr>
              <w:spacing w:after="0"/>
              <w:rPr>
                <w:sz w:val="1"/>
                <w:szCs w:val="1"/>
                <w:color w:val="auto"/>
              </w:rPr>
            </w:pPr>
          </w:p>
        </w:tc>
      </w:tr>
      <w:tr>
        <w:trPr>
          <w:trHeight w:val="39"/>
        </w:trPr>
        <w:tc>
          <w:tcPr>
            <w:tcW w:w="6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Accumulated other comprehensive income</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12,240</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6580" w:type="dxa"/>
            <w:vAlign w:val="bottom"/>
          </w:tcPr>
          <w:p>
            <w:pPr>
              <w:ind w:left="460"/>
              <w:spacing w:after="0"/>
              <w:rPr>
                <w:sz w:val="20"/>
                <w:szCs w:val="20"/>
                <w:color w:val="auto"/>
              </w:rPr>
            </w:pPr>
            <w:r>
              <w:rPr>
                <w:rFonts w:ascii="Arial" w:cs="Arial" w:eastAsia="Arial" w:hAnsi="Arial"/>
                <w:sz w:val="14"/>
                <w:szCs w:val="14"/>
                <w:color w:val="auto"/>
              </w:rPr>
              <w:t>Accumulated earnings (deficit)</w:t>
            </w:r>
          </w:p>
        </w:tc>
        <w:tc>
          <w:tcPr>
            <w:tcW w:w="3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53,881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(20,221)</w:t>
            </w:r>
          </w:p>
        </w:tc>
        <w:tc>
          <w:tcPr>
            <w:tcW w:w="0" w:type="dxa"/>
            <w:vAlign w:val="bottom"/>
          </w:tcPr>
          <w:p>
            <w:pPr>
              <w:spacing w:after="0"/>
              <w:rPr>
                <w:sz w:val="1"/>
                <w:szCs w:val="1"/>
                <w:color w:val="auto"/>
              </w:rPr>
            </w:pPr>
          </w:p>
        </w:tc>
      </w:tr>
      <w:tr>
        <w:trPr>
          <w:trHeight w:val="39"/>
        </w:trPr>
        <w:tc>
          <w:tcPr>
            <w:tcW w:w="65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5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Total stockholders' equity</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178,590</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158,461</w:t>
            </w:r>
          </w:p>
        </w:tc>
        <w:tc>
          <w:tcPr>
            <w:tcW w:w="0" w:type="dxa"/>
            <w:vAlign w:val="bottom"/>
          </w:tcPr>
          <w:p>
            <w:pPr>
              <w:spacing w:after="0"/>
              <w:rPr>
                <w:sz w:val="1"/>
                <w:szCs w:val="1"/>
                <w:color w:val="auto"/>
              </w:rPr>
            </w:pPr>
          </w:p>
        </w:tc>
      </w:tr>
      <w:tr>
        <w:trPr>
          <w:trHeight w:val="217"/>
        </w:trPr>
        <w:tc>
          <w:tcPr>
            <w:tcW w:w="6580" w:type="dxa"/>
            <w:vAlign w:val="bottom"/>
          </w:tcPr>
          <w:p>
            <w:pPr>
              <w:ind w:left="860"/>
              <w:spacing w:after="0"/>
              <w:rPr>
                <w:sz w:val="20"/>
                <w:szCs w:val="20"/>
                <w:color w:val="auto"/>
              </w:rPr>
            </w:pPr>
            <w:r>
              <w:rPr>
                <w:rFonts w:ascii="Arial" w:cs="Arial" w:eastAsia="Arial" w:hAnsi="Arial"/>
                <w:sz w:val="14"/>
                <w:szCs w:val="14"/>
                <w:b w:val="1"/>
                <w:bCs w:val="1"/>
                <w:color w:val="auto"/>
              </w:rPr>
              <w:t>Total liabilities and stockholders' equity</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862,769</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616,073</w:t>
            </w:r>
          </w:p>
        </w:tc>
        <w:tc>
          <w:tcPr>
            <w:tcW w:w="0" w:type="dxa"/>
            <w:vAlign w:val="bottom"/>
          </w:tcPr>
          <w:p>
            <w:pPr>
              <w:spacing w:after="0"/>
              <w:rPr>
                <w:sz w:val="1"/>
                <w:szCs w:val="1"/>
                <w:color w:val="auto"/>
              </w:rPr>
            </w:pPr>
          </w:p>
        </w:tc>
      </w:tr>
      <w:tr>
        <w:trPr>
          <w:trHeight w:val="26"/>
        </w:trPr>
        <w:tc>
          <w:tcPr>
            <w:tcW w:w="6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248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0320"/>
          </w:cols>
          <w:pgMar w:left="320" w:top="125" w:right="1259" w:bottom="8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320" w:top="125" w:right="1259" w:bottom="896"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ACCEL ENTERTAINMENT,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142"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3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vMerge w:val="restart"/>
          </w:tcPr>
          <w:p>
            <w:pPr>
              <w:jc w:val="right"/>
              <w:spacing w:after="0"/>
              <w:rPr>
                <w:sz w:val="20"/>
                <w:szCs w:val="20"/>
                <w:color w:val="auto"/>
              </w:rPr>
            </w:pPr>
            <w:r>
              <w:rPr>
                <w:rFonts w:ascii="Arial" w:cs="Arial" w:eastAsia="Arial" w:hAnsi="Arial"/>
                <w:sz w:val="13"/>
                <w:szCs w:val="13"/>
                <w:color w:val="auto"/>
              </w:rPr>
              <w:t>Treasury</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color w:val="auto"/>
                <w:w w:val="87"/>
              </w:rPr>
              <w:t>Accumulated</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120" w:type="dxa"/>
            <w:vAlign w:val="bottom"/>
            <w:vMerge w:val="restart"/>
          </w:tcPr>
          <w:p>
            <w:pPr>
              <w:spacing w:after="0"/>
              <w:rPr>
                <w:sz w:val="20"/>
                <w:szCs w:val="20"/>
                <w:color w:val="auto"/>
              </w:rPr>
            </w:pPr>
            <w:r>
              <w:rPr>
                <w:rFonts w:ascii="Arial" w:cs="Arial" w:eastAsia="Arial" w:hAnsi="Arial"/>
                <w:sz w:val="16"/>
                <w:szCs w:val="16"/>
                <w:color w:val="auto"/>
              </w:rPr>
              <w:t>(in thousands, except shares)</w:t>
            </w: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3"/>
                <w:szCs w:val="13"/>
                <w:color w:val="auto"/>
                <w:w w:val="94"/>
              </w:rPr>
              <w:t>Additional</w:t>
            </w:r>
          </w:p>
        </w:tc>
        <w:tc>
          <w:tcPr>
            <w:tcW w:w="1060" w:type="dxa"/>
            <w:vAlign w:val="bottom"/>
            <w:gridSpan w:val="3"/>
            <w:vMerge w:val="continue"/>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3"/>
                <w:szCs w:val="13"/>
                <w:color w:val="auto"/>
                <w:w w:val="92"/>
              </w:rPr>
              <w:t>Other</w:t>
            </w:r>
          </w:p>
        </w:tc>
        <w:tc>
          <w:tcPr>
            <w:tcW w:w="80" w:type="dxa"/>
            <w:vAlign w:val="bottom"/>
          </w:tcPr>
          <w:p>
            <w:pPr>
              <w:spacing w:after="0"/>
              <w:rPr>
                <w:sz w:val="7"/>
                <w:szCs w:val="7"/>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3"/>
                <w:szCs w:val="13"/>
                <w:color w:val="auto"/>
                <w:w w:val="90"/>
              </w:rPr>
              <w:t>Accumulated</w:t>
            </w:r>
          </w:p>
        </w:tc>
        <w:tc>
          <w:tcPr>
            <w:tcW w:w="80" w:type="dxa"/>
            <w:vAlign w:val="bottom"/>
          </w:tcPr>
          <w:p>
            <w:pPr>
              <w:spacing w:after="0"/>
              <w:rPr>
                <w:sz w:val="7"/>
                <w:szCs w:val="7"/>
                <w:color w:val="auto"/>
              </w:rPr>
            </w:pPr>
          </w:p>
        </w:tc>
        <w:tc>
          <w:tcPr>
            <w:tcW w:w="800" w:type="dxa"/>
            <w:vAlign w:val="bottom"/>
            <w:vMerge w:val="restart"/>
          </w:tcPr>
          <w:p>
            <w:pPr>
              <w:jc w:val="center"/>
              <w:ind w:right="77"/>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660" w:type="dxa"/>
            <w:vAlign w:val="bottom"/>
            <w:gridSpan w:val="4"/>
            <w:vMerge w:val="restart"/>
          </w:tcPr>
          <w:p>
            <w:pPr>
              <w:jc w:val="right"/>
              <w:ind w:right="117"/>
              <w:spacing w:after="0"/>
              <w:rPr>
                <w:sz w:val="20"/>
                <w:szCs w:val="20"/>
                <w:color w:val="auto"/>
              </w:rPr>
            </w:pPr>
            <w:r>
              <w:rPr>
                <w:rFonts w:ascii="Arial" w:cs="Arial" w:eastAsia="Arial" w:hAnsi="Arial"/>
                <w:sz w:val="13"/>
                <w:szCs w:val="13"/>
                <w:color w:val="auto"/>
                <w:w w:val="98"/>
              </w:rPr>
              <w:t>Class A-1 Common Stock</w:t>
            </w:r>
          </w:p>
        </w:tc>
        <w:tc>
          <w:tcPr>
            <w:tcW w:w="14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6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Stock</w:t>
            </w: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3120" w:type="dxa"/>
            <w:vAlign w:val="bottom"/>
            <w:vMerge w:val="continue"/>
          </w:tcPr>
          <w:p>
            <w:pPr>
              <w:spacing w:after="0"/>
              <w:rPr>
                <w:sz w:val="10"/>
                <w:szCs w:val="10"/>
                <w:color w:val="auto"/>
              </w:rPr>
            </w:pPr>
          </w:p>
        </w:tc>
        <w:tc>
          <w:tcPr>
            <w:tcW w:w="1660" w:type="dxa"/>
            <w:vAlign w:val="bottom"/>
            <w:tcBorders>
              <w:bottom w:val="single" w:sz="8" w:color="auto"/>
            </w:tcBorders>
            <w:gridSpan w:val="4"/>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60"/>
              <w:spacing w:after="0" w:line="103" w:lineRule="exact"/>
              <w:rPr>
                <w:sz w:val="20"/>
                <w:szCs w:val="20"/>
                <w:color w:val="auto"/>
              </w:rPr>
            </w:pPr>
            <w:r>
              <w:rPr>
                <w:rFonts w:ascii="Arial" w:cs="Arial" w:eastAsia="Arial" w:hAnsi="Arial"/>
                <w:sz w:val="10"/>
                <w:szCs w:val="10"/>
                <w:color w:val="auto"/>
              </w:rPr>
              <w:t>Paid-In</w:t>
            </w:r>
          </w:p>
        </w:tc>
        <w:tc>
          <w:tcPr>
            <w:tcW w:w="1060" w:type="dxa"/>
            <w:vAlign w:val="bottom"/>
            <w:tcBorders>
              <w:bottom w:val="single" w:sz="8" w:color="auto"/>
            </w:tcBorders>
            <w:gridSpan w:val="3"/>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40"/>
              <w:spacing w:after="0" w:line="103" w:lineRule="exact"/>
              <w:rPr>
                <w:sz w:val="20"/>
                <w:szCs w:val="20"/>
                <w:color w:val="auto"/>
              </w:rPr>
            </w:pPr>
            <w:r>
              <w:rPr>
                <w:rFonts w:ascii="Arial" w:cs="Arial" w:eastAsia="Arial" w:hAnsi="Arial"/>
                <w:sz w:val="10"/>
                <w:szCs w:val="10"/>
                <w:color w:val="auto"/>
              </w:rPr>
              <w:t>Comprehensive</w:t>
            </w:r>
          </w:p>
        </w:tc>
        <w:tc>
          <w:tcPr>
            <w:tcW w:w="80" w:type="dxa"/>
            <w:vAlign w:val="bottom"/>
          </w:tcPr>
          <w:p>
            <w:pPr>
              <w:spacing w:after="0"/>
              <w:rPr>
                <w:sz w:val="10"/>
                <w:szCs w:val="10"/>
                <w:color w:val="auto"/>
              </w:rPr>
            </w:pPr>
          </w:p>
        </w:tc>
        <w:tc>
          <w:tcPr>
            <w:tcW w:w="920" w:type="dxa"/>
            <w:vAlign w:val="bottom"/>
            <w:gridSpan w:val="2"/>
          </w:tcPr>
          <w:p>
            <w:pPr>
              <w:jc w:val="center"/>
              <w:ind w:right="240"/>
              <w:spacing w:after="0" w:line="103" w:lineRule="exact"/>
              <w:rPr>
                <w:sz w:val="20"/>
                <w:szCs w:val="20"/>
                <w:color w:val="auto"/>
              </w:rPr>
            </w:pPr>
            <w:r>
              <w:rPr>
                <w:rFonts w:ascii="Arial" w:cs="Arial" w:eastAsia="Arial" w:hAnsi="Arial"/>
                <w:sz w:val="10"/>
                <w:szCs w:val="10"/>
                <w:color w:val="auto"/>
              </w:rPr>
              <w:t>Earnings</w:t>
            </w:r>
          </w:p>
        </w:tc>
        <w:tc>
          <w:tcPr>
            <w:tcW w:w="80" w:type="dxa"/>
            <w:vAlign w:val="bottom"/>
          </w:tcPr>
          <w:p>
            <w:pPr>
              <w:spacing w:after="0"/>
              <w:rPr>
                <w:sz w:val="10"/>
                <w:szCs w:val="10"/>
                <w:color w:val="auto"/>
              </w:rPr>
            </w:pPr>
          </w:p>
        </w:tc>
        <w:tc>
          <w:tcPr>
            <w:tcW w:w="800" w:type="dxa"/>
            <w:vAlign w:val="bottom"/>
          </w:tcPr>
          <w:p>
            <w:pPr>
              <w:jc w:val="center"/>
              <w:ind w:right="37"/>
              <w:spacing w:after="0" w:line="103" w:lineRule="exact"/>
              <w:rPr>
                <w:sz w:val="20"/>
                <w:szCs w:val="20"/>
                <w:color w:val="auto"/>
              </w:rPr>
            </w:pPr>
            <w:r>
              <w:rPr>
                <w:rFonts w:ascii="Arial" w:cs="Arial" w:eastAsia="Arial" w:hAnsi="Arial"/>
                <w:sz w:val="10"/>
                <w:szCs w:val="10"/>
                <w:color w:val="auto"/>
              </w:rPr>
              <w:t>Stockholders’</w:t>
            </w:r>
          </w:p>
        </w:tc>
        <w:tc>
          <w:tcPr>
            <w:tcW w:w="0" w:type="dxa"/>
            <w:vAlign w:val="bottom"/>
          </w:tcPr>
          <w:p>
            <w:pPr>
              <w:spacing w:after="0"/>
              <w:rPr>
                <w:sz w:val="1"/>
                <w:szCs w:val="1"/>
                <w:color w:val="auto"/>
              </w:rPr>
            </w:pPr>
          </w:p>
        </w:tc>
      </w:tr>
      <w:tr>
        <w:trPr>
          <w:trHeight w:val="180"/>
        </w:trPr>
        <w:tc>
          <w:tcPr>
            <w:tcW w:w="3120" w:type="dxa"/>
            <w:vAlign w:val="bottom"/>
          </w:tcPr>
          <w:p>
            <w:pPr>
              <w:spacing w:after="0"/>
              <w:rPr>
                <w:sz w:val="15"/>
                <w:szCs w:val="15"/>
                <w:color w:val="auto"/>
              </w:rPr>
            </w:pPr>
          </w:p>
        </w:tc>
        <w:tc>
          <w:tcPr>
            <w:tcW w:w="920" w:type="dxa"/>
            <w:vAlign w:val="bottom"/>
            <w:gridSpan w:val="2"/>
          </w:tcPr>
          <w:p>
            <w:pPr>
              <w:ind w:left="220"/>
              <w:spacing w:after="0"/>
              <w:rPr>
                <w:sz w:val="20"/>
                <w:szCs w:val="20"/>
                <w:color w:val="auto"/>
              </w:rPr>
            </w:pPr>
            <w:r>
              <w:rPr>
                <w:rFonts w:ascii="Arial" w:cs="Arial" w:eastAsia="Arial" w:hAnsi="Arial"/>
                <w:sz w:val="13"/>
                <w:szCs w:val="13"/>
                <w:color w:val="auto"/>
              </w:rPr>
              <w:t>Shares</w:t>
            </w:r>
          </w:p>
        </w:tc>
        <w:tc>
          <w:tcPr>
            <w:tcW w:w="12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w w:val="98"/>
              </w:rPr>
              <w:t>Amount</w:t>
            </w:r>
          </w:p>
        </w:tc>
        <w:tc>
          <w:tcPr>
            <w:tcW w:w="10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color w:val="auto"/>
                <w:w w:val="88"/>
              </w:rPr>
              <w:t>Capital</w:t>
            </w:r>
          </w:p>
        </w:tc>
        <w:tc>
          <w:tcPr>
            <w:tcW w:w="880" w:type="dxa"/>
            <w:vAlign w:val="bottom"/>
            <w:gridSpan w:val="2"/>
          </w:tcPr>
          <w:p>
            <w:pPr>
              <w:ind w:left="200"/>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3"/>
                <w:szCs w:val="13"/>
                <w:color w:val="auto"/>
              </w:rPr>
              <w:t>Amount</w:t>
            </w:r>
          </w:p>
        </w:tc>
        <w:tc>
          <w:tcPr>
            <w:tcW w:w="8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Income</w:t>
            </w:r>
          </w:p>
        </w:tc>
        <w:tc>
          <w:tcPr>
            <w:tcW w:w="8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color w:val="auto"/>
                <w:w w:val="98"/>
              </w:rPr>
              <w:t>(Deficit)</w:t>
            </w:r>
          </w:p>
        </w:tc>
        <w:tc>
          <w:tcPr>
            <w:tcW w:w="880" w:type="dxa"/>
            <w:vAlign w:val="bottom"/>
            <w:gridSpan w:val="2"/>
          </w:tcPr>
          <w:p>
            <w:pPr>
              <w:jc w:val="center"/>
              <w:spacing w:after="0"/>
              <w:rPr>
                <w:sz w:val="20"/>
                <w:szCs w:val="20"/>
                <w:color w:val="auto"/>
              </w:rPr>
            </w:pPr>
            <w:r>
              <w:rPr>
                <w:rFonts w:ascii="Arial" w:cs="Arial" w:eastAsia="Arial" w:hAnsi="Arial"/>
                <w:sz w:val="13"/>
                <w:szCs w:val="13"/>
                <w:color w:val="auto"/>
                <w:w w:val="94"/>
              </w:rPr>
              <w:t>Equity (Deficit)</w:t>
            </w:r>
          </w:p>
        </w:tc>
        <w:tc>
          <w:tcPr>
            <w:tcW w:w="0" w:type="dxa"/>
            <w:vAlign w:val="bottom"/>
          </w:tcPr>
          <w:p>
            <w:pPr>
              <w:spacing w:after="0"/>
              <w:rPr>
                <w:sz w:val="1"/>
                <w:szCs w:val="1"/>
                <w:color w:val="auto"/>
              </w:rPr>
            </w:pPr>
          </w:p>
        </w:tc>
      </w:tr>
      <w:tr>
        <w:trPr>
          <w:trHeight w:val="29"/>
        </w:trPr>
        <w:tc>
          <w:tcPr>
            <w:tcW w:w="3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January 1, 2020</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76,637,470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8</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8,352</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(51,370)</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(43,010)</w:t>
            </w:r>
          </w:p>
        </w:tc>
        <w:tc>
          <w:tcPr>
            <w:tcW w:w="0" w:type="dxa"/>
            <w:vAlign w:val="bottom"/>
          </w:tcPr>
          <w:p>
            <w:pPr>
              <w:spacing w:after="0"/>
              <w:rPr>
                <w:sz w:val="1"/>
                <w:szCs w:val="1"/>
                <w:color w:val="auto"/>
              </w:rPr>
            </w:pPr>
          </w:p>
        </w:tc>
      </w:tr>
      <w:tr>
        <w:trPr>
          <w:trHeight w:val="170"/>
        </w:trPr>
        <w:tc>
          <w:tcPr>
            <w:tcW w:w="3120" w:type="dxa"/>
            <w:vAlign w:val="bottom"/>
          </w:tcPr>
          <w:p>
            <w:pPr>
              <w:ind w:left="180"/>
              <w:spacing w:after="0"/>
              <w:rPr>
                <w:sz w:val="20"/>
                <w:szCs w:val="20"/>
                <w:color w:val="auto"/>
              </w:rPr>
            </w:pPr>
            <w:r>
              <w:rPr>
                <w:rFonts w:ascii="Arial" w:cs="Arial" w:eastAsia="Arial" w:hAnsi="Arial"/>
                <w:sz w:val="14"/>
                <w:szCs w:val="14"/>
                <w:color w:val="auto"/>
                <w:w w:val="95"/>
              </w:rPr>
              <w:t>Conversion of Class A-2 Common Stock to Class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120" w:type="dxa"/>
            <w:vAlign w:val="bottom"/>
          </w:tcPr>
          <w:p>
            <w:pPr>
              <w:ind w:left="180"/>
              <w:spacing w:after="0"/>
              <w:rPr>
                <w:sz w:val="20"/>
                <w:szCs w:val="20"/>
                <w:color w:val="auto"/>
              </w:rPr>
            </w:pPr>
            <w:r>
              <w:rPr>
                <w:rFonts w:ascii="Arial" w:cs="Arial" w:eastAsia="Arial" w:hAnsi="Arial"/>
                <w:sz w:val="14"/>
                <w:szCs w:val="14"/>
                <w:color w:val="auto"/>
              </w:rPr>
              <w:t>A-1 Common Stock</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1,666,636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19,924</w:t>
            </w:r>
          </w:p>
        </w:tc>
        <w:tc>
          <w:tcPr>
            <w:tcW w:w="1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19,924</w:t>
            </w:r>
          </w:p>
        </w:tc>
        <w:tc>
          <w:tcPr>
            <w:tcW w:w="0" w:type="dxa"/>
            <w:vAlign w:val="bottom"/>
          </w:tcPr>
          <w:p>
            <w:pPr>
              <w:spacing w:after="0"/>
              <w:rPr>
                <w:sz w:val="1"/>
                <w:szCs w:val="1"/>
                <w:color w:val="auto"/>
              </w:rPr>
            </w:pPr>
          </w:p>
        </w:tc>
      </w:tr>
      <w:tr>
        <w:trPr>
          <w:trHeight w:val="29"/>
        </w:trPr>
        <w:tc>
          <w:tcPr>
            <w:tcW w:w="3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5,538</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5,538</w:t>
            </w:r>
          </w:p>
        </w:tc>
        <w:tc>
          <w:tcPr>
            <w:tcW w:w="0" w:type="dxa"/>
            <w:vAlign w:val="bottom"/>
          </w:tcPr>
          <w:p>
            <w:pPr>
              <w:spacing w:after="0"/>
              <w:rPr>
                <w:sz w:val="1"/>
                <w:szCs w:val="1"/>
                <w:color w:val="auto"/>
              </w:rPr>
            </w:pPr>
          </w:p>
        </w:tc>
      </w:tr>
      <w:tr>
        <w:trPr>
          <w:trHeight w:val="227"/>
        </w:trPr>
        <w:tc>
          <w:tcPr>
            <w:tcW w:w="3120" w:type="dxa"/>
            <w:vAlign w:val="bottom"/>
          </w:tcPr>
          <w:p>
            <w:pPr>
              <w:ind w:left="180"/>
              <w:spacing w:after="0"/>
              <w:rPr>
                <w:sz w:val="20"/>
                <w:szCs w:val="20"/>
                <w:color w:val="auto"/>
              </w:rPr>
            </w:pPr>
            <w:r>
              <w:rPr>
                <w:rFonts w:ascii="Arial" w:cs="Arial" w:eastAsia="Arial" w:hAnsi="Arial"/>
                <w:sz w:val="14"/>
                <w:szCs w:val="14"/>
                <w:color w:val="auto"/>
              </w:rPr>
              <w:t>Exercise of common stock options</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359,987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839</w:t>
            </w: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839</w:t>
            </w:r>
          </w:p>
        </w:tc>
        <w:tc>
          <w:tcPr>
            <w:tcW w:w="0" w:type="dxa"/>
            <w:vAlign w:val="bottom"/>
          </w:tcPr>
          <w:p>
            <w:pPr>
              <w:spacing w:after="0"/>
              <w:rPr>
                <w:sz w:val="1"/>
                <w:szCs w:val="1"/>
                <w:color w:val="auto"/>
              </w:rPr>
            </w:pPr>
          </w:p>
        </w:tc>
      </w:tr>
      <w:tr>
        <w:trPr>
          <w:trHeight w:val="29"/>
        </w:trPr>
        <w:tc>
          <w:tcPr>
            <w:tcW w:w="3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Exercise of warrants</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510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27"/>
        </w:trPr>
        <w:tc>
          <w:tcPr>
            <w:tcW w:w="3120" w:type="dxa"/>
            <w:vAlign w:val="bottom"/>
          </w:tcPr>
          <w:p>
            <w:pPr>
              <w:ind w:left="180"/>
              <w:spacing w:after="0"/>
              <w:rPr>
                <w:sz w:val="20"/>
                <w:szCs w:val="20"/>
                <w:color w:val="auto"/>
              </w:rPr>
            </w:pPr>
            <w:r>
              <w:rPr>
                <w:rFonts w:ascii="Arial" w:cs="Arial" w:eastAsia="Arial" w:hAnsi="Arial"/>
                <w:sz w:val="14"/>
                <w:szCs w:val="14"/>
                <w:color w:val="auto"/>
              </w:rPr>
              <w:t>Exchange of warrants for common stock</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5,581,890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54,471</w:t>
            </w: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54,471</w:t>
            </w:r>
          </w:p>
        </w:tc>
        <w:tc>
          <w:tcPr>
            <w:tcW w:w="0" w:type="dxa"/>
            <w:vAlign w:val="bottom"/>
          </w:tcPr>
          <w:p>
            <w:pPr>
              <w:spacing w:after="0"/>
              <w:rPr>
                <w:sz w:val="1"/>
                <w:szCs w:val="1"/>
                <w:color w:val="auto"/>
              </w:rPr>
            </w:pPr>
          </w:p>
        </w:tc>
      </w:tr>
      <w:tr>
        <w:trPr>
          <w:trHeight w:val="29"/>
        </w:trPr>
        <w:tc>
          <w:tcPr>
            <w:tcW w:w="3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Issuance of common stock, net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9,133,015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90,421</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90,422</w:t>
            </w:r>
          </w:p>
        </w:tc>
        <w:tc>
          <w:tcPr>
            <w:tcW w:w="0" w:type="dxa"/>
            <w:vAlign w:val="bottom"/>
          </w:tcPr>
          <w:p>
            <w:pPr>
              <w:spacing w:after="0"/>
              <w:rPr>
                <w:sz w:val="1"/>
                <w:szCs w:val="1"/>
                <w:color w:val="auto"/>
              </w:rPr>
            </w:pPr>
          </w:p>
        </w:tc>
      </w:tr>
      <w:tr>
        <w:trPr>
          <w:trHeight w:val="227"/>
        </w:trPr>
        <w:tc>
          <w:tcPr>
            <w:tcW w:w="3120" w:type="dxa"/>
            <w:vAlign w:val="bottom"/>
          </w:tcPr>
          <w:p>
            <w:pPr>
              <w:ind w:left="180"/>
              <w:spacing w:after="0"/>
              <w:rPr>
                <w:sz w:val="20"/>
                <w:szCs w:val="20"/>
                <w:color w:val="auto"/>
              </w:rPr>
            </w:pPr>
            <w:r>
              <w:rPr>
                <w:rFonts w:ascii="Arial" w:cs="Arial" w:eastAsia="Arial" w:hAnsi="Arial"/>
                <w:sz w:val="14"/>
                <w:szCs w:val="14"/>
                <w:color w:val="auto"/>
                <w:w w:val="93"/>
              </w:rPr>
              <w:t>Unrealized gain on investment in convertible notes</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29"/>
        </w:trPr>
        <w:tc>
          <w:tcPr>
            <w:tcW w:w="3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0" w:type="dxa"/>
            <w:vAlign w:val="bottom"/>
          </w:tcPr>
          <w:p>
            <w:pPr>
              <w:spacing w:after="0"/>
              <w:rPr>
                <w:sz w:val="1"/>
                <w:szCs w:val="1"/>
                <w:color w:val="auto"/>
              </w:rPr>
            </w:pPr>
          </w:p>
        </w:tc>
      </w:tr>
      <w:tr>
        <w:trPr>
          <w:trHeight w:val="211"/>
        </w:trPr>
        <w:tc>
          <w:tcPr>
            <w:tcW w:w="3120" w:type="dxa"/>
            <w:vAlign w:val="bottom"/>
          </w:tcPr>
          <w:p>
            <w:pPr>
              <w:spacing w:after="0"/>
              <w:rPr>
                <w:sz w:val="20"/>
                <w:szCs w:val="20"/>
                <w:color w:val="auto"/>
              </w:rPr>
            </w:pPr>
            <w:r>
              <w:rPr>
                <w:rFonts w:ascii="Arial" w:cs="Arial" w:eastAsia="Arial" w:hAnsi="Arial"/>
                <w:sz w:val="14"/>
                <w:szCs w:val="14"/>
                <w:b w:val="1"/>
                <w:bCs w:val="1"/>
                <w:color w:val="auto"/>
              </w:rPr>
              <w:t>Balance, December 31, 2020</w:t>
            </w: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93,379,508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179,549</w:t>
            </w:r>
          </w:p>
        </w:tc>
        <w:tc>
          <w:tcPr>
            <w:tcW w:w="140" w:type="dxa"/>
            <w:vAlign w:val="bottom"/>
          </w:tcPr>
          <w:p>
            <w:pPr>
              <w:spacing w:after="0"/>
              <w:rPr>
                <w:sz w:val="18"/>
                <w:szCs w:val="18"/>
                <w:color w:val="auto"/>
              </w:rPr>
            </w:pPr>
          </w:p>
        </w:tc>
        <w:tc>
          <w:tcPr>
            <w:tcW w:w="7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93</w:t>
            </w: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(51,780)</w:t>
            </w: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127,871</w:t>
            </w:r>
          </w:p>
        </w:tc>
        <w:tc>
          <w:tcPr>
            <w:tcW w:w="0" w:type="dxa"/>
            <w:vAlign w:val="bottom"/>
          </w:tcPr>
          <w:p>
            <w:pPr>
              <w:spacing w:after="0"/>
              <w:rPr>
                <w:sz w:val="1"/>
                <w:szCs w:val="1"/>
                <w:color w:val="auto"/>
              </w:rPr>
            </w:pPr>
          </w:p>
        </w:tc>
      </w:tr>
      <w:tr>
        <w:trPr>
          <w:trHeight w:val="26"/>
        </w:trPr>
        <w:tc>
          <w:tcPr>
            <w:tcW w:w="3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Repurchase of common stock</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(701,305)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(701,305)</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(8,983)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(8,983)</w:t>
            </w:r>
          </w:p>
        </w:tc>
        <w:tc>
          <w:tcPr>
            <w:tcW w:w="0" w:type="dxa"/>
            <w:vAlign w:val="bottom"/>
          </w:tcPr>
          <w:p>
            <w:pPr>
              <w:spacing w:after="0"/>
              <w:rPr>
                <w:sz w:val="1"/>
                <w:szCs w:val="1"/>
                <w:color w:val="auto"/>
              </w:rPr>
            </w:pPr>
          </w:p>
        </w:tc>
      </w:tr>
      <w:tr>
        <w:trPr>
          <w:trHeight w:val="227"/>
        </w:trPr>
        <w:tc>
          <w:tcPr>
            <w:tcW w:w="3120" w:type="dxa"/>
            <w:vAlign w:val="bottom"/>
          </w:tcPr>
          <w:p>
            <w:pPr>
              <w:ind w:left="180"/>
              <w:spacing w:after="0"/>
              <w:rPr>
                <w:sz w:val="20"/>
                <w:szCs w:val="20"/>
                <w:color w:val="auto"/>
              </w:rPr>
            </w:pPr>
            <w:r>
              <w:rPr>
                <w:rFonts w:ascii="Arial" w:cs="Arial" w:eastAsia="Arial" w:hAnsi="Arial"/>
                <w:sz w:val="14"/>
                <w:szCs w:val="14"/>
                <w:color w:val="auto"/>
              </w:rPr>
              <w:t>Exercise of stock-based awards</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732,360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1,704</w:t>
            </w: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1,704</w:t>
            </w:r>
          </w:p>
        </w:tc>
        <w:tc>
          <w:tcPr>
            <w:tcW w:w="0" w:type="dxa"/>
            <w:vAlign w:val="bottom"/>
          </w:tcPr>
          <w:p>
            <w:pPr>
              <w:spacing w:after="0"/>
              <w:rPr>
                <w:sz w:val="1"/>
                <w:szCs w:val="1"/>
                <w:color w:val="auto"/>
              </w:rPr>
            </w:pPr>
          </w:p>
        </w:tc>
      </w:tr>
      <w:tr>
        <w:trPr>
          <w:trHeight w:val="29"/>
        </w:trPr>
        <w:tc>
          <w:tcPr>
            <w:tcW w:w="3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6,403</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6,403</w:t>
            </w:r>
          </w:p>
        </w:tc>
        <w:tc>
          <w:tcPr>
            <w:tcW w:w="0" w:type="dxa"/>
            <w:vAlign w:val="bottom"/>
          </w:tcPr>
          <w:p>
            <w:pPr>
              <w:spacing w:after="0"/>
              <w:rPr>
                <w:sz w:val="1"/>
                <w:szCs w:val="1"/>
                <w:color w:val="auto"/>
              </w:rPr>
            </w:pPr>
          </w:p>
        </w:tc>
      </w:tr>
      <w:tr>
        <w:trPr>
          <w:trHeight w:val="227"/>
        </w:trPr>
        <w:tc>
          <w:tcPr>
            <w:tcW w:w="3120" w:type="dxa"/>
            <w:vAlign w:val="bottom"/>
          </w:tcPr>
          <w:p>
            <w:pPr>
              <w:ind w:left="180"/>
              <w:spacing w:after="0"/>
              <w:rPr>
                <w:sz w:val="20"/>
                <w:szCs w:val="20"/>
                <w:color w:val="auto"/>
              </w:rPr>
            </w:pPr>
            <w:r>
              <w:rPr>
                <w:rFonts w:ascii="Arial" w:cs="Arial" w:eastAsia="Arial" w:hAnsi="Arial"/>
                <w:sz w:val="14"/>
                <w:szCs w:val="14"/>
                <w:color w:val="auto"/>
                <w:w w:val="93"/>
              </w:rPr>
              <w:t>Unrealized loss on investment in convertible notes</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29"/>
        </w:trPr>
        <w:tc>
          <w:tcPr>
            <w:tcW w:w="3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31,559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31,559</w:t>
            </w:r>
          </w:p>
        </w:tc>
        <w:tc>
          <w:tcPr>
            <w:tcW w:w="0" w:type="dxa"/>
            <w:vAlign w:val="bottom"/>
          </w:tcPr>
          <w:p>
            <w:pPr>
              <w:spacing w:after="0"/>
              <w:rPr>
                <w:sz w:val="1"/>
                <w:szCs w:val="1"/>
                <w:color w:val="auto"/>
              </w:rPr>
            </w:pPr>
          </w:p>
        </w:tc>
      </w:tr>
      <w:tr>
        <w:trPr>
          <w:trHeight w:val="211"/>
        </w:trPr>
        <w:tc>
          <w:tcPr>
            <w:tcW w:w="3120" w:type="dxa"/>
            <w:vAlign w:val="bottom"/>
          </w:tcPr>
          <w:p>
            <w:pPr>
              <w:spacing w:after="0"/>
              <w:rPr>
                <w:sz w:val="20"/>
                <w:szCs w:val="20"/>
                <w:color w:val="auto"/>
              </w:rPr>
            </w:pPr>
            <w:r>
              <w:rPr>
                <w:rFonts w:ascii="Arial" w:cs="Arial" w:eastAsia="Arial" w:hAnsi="Arial"/>
                <w:sz w:val="14"/>
                <w:szCs w:val="14"/>
                <w:b w:val="1"/>
                <w:bCs w:val="1"/>
                <w:color w:val="auto"/>
              </w:rPr>
              <w:t>Balance, December 31, 2021</w:t>
            </w: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93,410,563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187,656</w:t>
            </w:r>
          </w:p>
        </w:tc>
        <w:tc>
          <w:tcPr>
            <w:tcW w:w="1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(701,305)</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(8,983)</w:t>
            </w: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(20,221)</w:t>
            </w: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158,461</w:t>
            </w:r>
          </w:p>
        </w:tc>
        <w:tc>
          <w:tcPr>
            <w:tcW w:w="0" w:type="dxa"/>
            <w:vAlign w:val="bottom"/>
          </w:tcPr>
          <w:p>
            <w:pPr>
              <w:spacing w:after="0"/>
              <w:rPr>
                <w:sz w:val="1"/>
                <w:szCs w:val="1"/>
                <w:color w:val="auto"/>
              </w:rPr>
            </w:pPr>
          </w:p>
        </w:tc>
      </w:tr>
      <w:tr>
        <w:trPr>
          <w:trHeight w:val="26"/>
        </w:trPr>
        <w:tc>
          <w:tcPr>
            <w:tcW w:w="3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Repurchase of common stock</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(7,643,978)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(7,643,978)</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(79,003)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(79,003)</w:t>
            </w:r>
          </w:p>
        </w:tc>
        <w:tc>
          <w:tcPr>
            <w:tcW w:w="0" w:type="dxa"/>
            <w:vAlign w:val="bottom"/>
          </w:tcPr>
          <w:p>
            <w:pPr>
              <w:spacing w:after="0"/>
              <w:rPr>
                <w:sz w:val="1"/>
                <w:szCs w:val="1"/>
                <w:color w:val="auto"/>
              </w:rPr>
            </w:pPr>
          </w:p>
        </w:tc>
      </w:tr>
      <w:tr>
        <w:trPr>
          <w:trHeight w:val="170"/>
        </w:trPr>
        <w:tc>
          <w:tcPr>
            <w:tcW w:w="3120" w:type="dxa"/>
            <w:vAlign w:val="bottom"/>
          </w:tcPr>
          <w:p>
            <w:pPr>
              <w:ind w:left="180"/>
              <w:spacing w:after="0"/>
              <w:rPr>
                <w:sz w:val="20"/>
                <w:szCs w:val="20"/>
                <w:color w:val="auto"/>
              </w:rPr>
            </w:pPr>
            <w:r>
              <w:rPr>
                <w:rFonts w:ascii="Arial" w:cs="Arial" w:eastAsia="Arial" w:hAnsi="Arial"/>
                <w:sz w:val="14"/>
                <w:szCs w:val="14"/>
                <w:color w:val="auto"/>
              </w:rPr>
              <w:t>Reissuance of treasury stock in business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120" w:type="dxa"/>
            <w:vAlign w:val="bottom"/>
          </w:tcPr>
          <w:p>
            <w:pPr>
              <w:ind w:left="180"/>
              <w:spacing w:after="0"/>
              <w:rPr>
                <w:sz w:val="20"/>
                <w:szCs w:val="20"/>
                <w:color w:val="auto"/>
              </w:rPr>
            </w:pPr>
            <w:r>
              <w:rPr>
                <w:rFonts w:ascii="Arial" w:cs="Arial" w:eastAsia="Arial" w:hAnsi="Arial"/>
                <w:sz w:val="14"/>
                <w:szCs w:val="14"/>
                <w:color w:val="auto"/>
              </w:rPr>
              <w:t>combination</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515,622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(705)</w:t>
            </w:r>
          </w:p>
        </w:tc>
        <w:tc>
          <w:tcPr>
            <w:tcW w:w="140" w:type="dxa"/>
            <w:vAlign w:val="bottom"/>
          </w:tcPr>
          <w:p>
            <w:pPr>
              <w:spacing w:after="0"/>
              <w:rPr>
                <w:sz w:val="17"/>
                <w:szCs w:val="17"/>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515,622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6,289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5,584</w:t>
            </w:r>
          </w:p>
        </w:tc>
        <w:tc>
          <w:tcPr>
            <w:tcW w:w="0" w:type="dxa"/>
            <w:vAlign w:val="bottom"/>
          </w:tcPr>
          <w:p>
            <w:pPr>
              <w:spacing w:after="0"/>
              <w:rPr>
                <w:sz w:val="1"/>
                <w:szCs w:val="1"/>
                <w:color w:val="auto"/>
              </w:rPr>
            </w:pPr>
          </w:p>
        </w:tc>
      </w:tr>
      <w:tr>
        <w:trPr>
          <w:trHeight w:val="30"/>
        </w:trPr>
        <w:tc>
          <w:tcPr>
            <w:tcW w:w="3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6,840</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6,840</w:t>
            </w:r>
          </w:p>
        </w:tc>
        <w:tc>
          <w:tcPr>
            <w:tcW w:w="0" w:type="dxa"/>
            <w:vAlign w:val="bottom"/>
          </w:tcPr>
          <w:p>
            <w:pPr>
              <w:spacing w:after="0"/>
              <w:rPr>
                <w:sz w:val="1"/>
                <w:szCs w:val="1"/>
                <w:color w:val="auto"/>
              </w:rPr>
            </w:pPr>
          </w:p>
        </w:tc>
      </w:tr>
      <w:tr>
        <w:trPr>
          <w:trHeight w:val="227"/>
        </w:trPr>
        <w:tc>
          <w:tcPr>
            <w:tcW w:w="3120" w:type="dxa"/>
            <w:vAlign w:val="bottom"/>
          </w:tcPr>
          <w:p>
            <w:pPr>
              <w:ind w:left="180"/>
              <w:spacing w:after="0"/>
              <w:rPr>
                <w:sz w:val="20"/>
                <w:szCs w:val="20"/>
                <w:color w:val="auto"/>
              </w:rPr>
            </w:pPr>
            <w:r>
              <w:rPr>
                <w:rFonts w:ascii="Arial" w:cs="Arial" w:eastAsia="Arial" w:hAnsi="Arial"/>
                <w:sz w:val="14"/>
                <w:szCs w:val="14"/>
                <w:color w:val="auto"/>
              </w:rPr>
              <w:t>Exercise of stock-based awards</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392,183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366</w:t>
            </w: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366</w:t>
            </w:r>
          </w:p>
        </w:tc>
        <w:tc>
          <w:tcPr>
            <w:tcW w:w="0" w:type="dxa"/>
            <w:vAlign w:val="bottom"/>
          </w:tcPr>
          <w:p>
            <w:pPr>
              <w:spacing w:after="0"/>
              <w:rPr>
                <w:sz w:val="1"/>
                <w:szCs w:val="1"/>
                <w:color w:val="auto"/>
              </w:rPr>
            </w:pPr>
          </w:p>
        </w:tc>
      </w:tr>
      <w:tr>
        <w:trPr>
          <w:trHeight w:val="30"/>
        </w:trPr>
        <w:tc>
          <w:tcPr>
            <w:tcW w:w="3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Unrealized gain on interest rate caplets</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12,240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12,240</w:t>
            </w:r>
          </w:p>
        </w:tc>
        <w:tc>
          <w:tcPr>
            <w:tcW w:w="0" w:type="dxa"/>
            <w:vAlign w:val="bottom"/>
          </w:tcPr>
          <w:p>
            <w:pPr>
              <w:spacing w:after="0"/>
              <w:rPr>
                <w:sz w:val="1"/>
                <w:szCs w:val="1"/>
                <w:color w:val="auto"/>
              </w:rPr>
            </w:pPr>
          </w:p>
        </w:tc>
      </w:tr>
      <w:tr>
        <w:trPr>
          <w:trHeight w:val="227"/>
        </w:trPr>
        <w:tc>
          <w:tcPr>
            <w:tcW w:w="31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74,102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74,102</w:t>
            </w:r>
          </w:p>
        </w:tc>
        <w:tc>
          <w:tcPr>
            <w:tcW w:w="0" w:type="dxa"/>
            <w:vAlign w:val="bottom"/>
          </w:tcPr>
          <w:p>
            <w:pPr>
              <w:spacing w:after="0"/>
              <w:rPr>
                <w:sz w:val="1"/>
                <w:szCs w:val="1"/>
                <w:color w:val="auto"/>
              </w:rPr>
            </w:pPr>
          </w:p>
        </w:tc>
      </w:tr>
      <w:tr>
        <w:trPr>
          <w:trHeight w:val="30"/>
        </w:trPr>
        <w:tc>
          <w:tcPr>
            <w:tcW w:w="3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December 31, 2022</w:t>
            </w:r>
          </w:p>
        </w:tc>
        <w:tc>
          <w:tcPr>
            <w:tcW w:w="8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86,674,390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194,157</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(7,829,661)</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(81,697)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12,240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53,881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178,590</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26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5" w:right="59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ACCEL ENTERTAINMENT, INC.</w:t>
      </w:r>
    </w:p>
    <w:p>
      <w:pPr>
        <w:jc w:val="center"/>
        <w:ind w:right="-1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5"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52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6"/>
                <w:szCs w:val="16"/>
                <w:color w:val="auto"/>
              </w:rPr>
            </w:pPr>
          </w:p>
        </w:tc>
        <w:tc>
          <w:tcPr>
            <w:tcW w:w="2540" w:type="dxa"/>
            <w:vAlign w:val="bottom"/>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Pr>
          <w:p>
            <w:pPr>
              <w:spacing w:after="0"/>
              <w:rPr>
                <w:sz w:val="16"/>
                <w:szCs w:val="16"/>
                <w:color w:val="auto"/>
              </w:rPr>
            </w:pPr>
          </w:p>
        </w:tc>
      </w:tr>
      <w:tr>
        <w:trPr>
          <w:trHeight w:val="26"/>
        </w:trPr>
        <w:tc>
          <w:tcPr>
            <w:tcW w:w="5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5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96"/>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r>
      <w:tr>
        <w:trPr>
          <w:trHeight w:val="190"/>
        </w:trPr>
        <w:tc>
          <w:tcPr>
            <w:tcW w:w="5240" w:type="dxa"/>
            <w:vAlign w:val="bottom"/>
          </w:tcPr>
          <w:p>
            <w:pPr>
              <w:ind w:left="480"/>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74,102</w:t>
            </w:r>
          </w:p>
        </w:tc>
        <w:tc>
          <w:tcPr>
            <w:tcW w:w="14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31,559</w:t>
            </w:r>
          </w:p>
        </w:tc>
        <w:tc>
          <w:tcPr>
            <w:tcW w:w="14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(410)</w:t>
            </w:r>
          </w:p>
        </w:tc>
      </w:tr>
      <w:tr>
        <w:trPr>
          <w:trHeight w:val="39"/>
        </w:trPr>
        <w:tc>
          <w:tcPr>
            <w:tcW w:w="5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184"/>
        </w:trPr>
        <w:tc>
          <w:tcPr>
            <w:tcW w:w="5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Adjustments to reconcile net income (loss) to net cash provided by (used in)</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01"/>
        </w:trPr>
        <w:tc>
          <w:tcPr>
            <w:tcW w:w="5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operating activities:</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r>
      <w:tr>
        <w:trPr>
          <w:trHeight w:val="191"/>
        </w:trPr>
        <w:tc>
          <w:tcPr>
            <w:tcW w:w="5240" w:type="dxa"/>
            <w:vAlign w:val="bottom"/>
          </w:tcPr>
          <w:p>
            <w:pPr>
              <w:ind w:left="880"/>
              <w:spacing w:after="0"/>
              <w:rPr>
                <w:sz w:val="20"/>
                <w:szCs w:val="20"/>
                <w:color w:val="auto"/>
              </w:rPr>
            </w:pPr>
            <w:r>
              <w:rPr>
                <w:rFonts w:ascii="Arial" w:cs="Arial" w:eastAsia="Arial" w:hAnsi="Arial"/>
                <w:sz w:val="14"/>
                <w:szCs w:val="14"/>
                <w:color w:val="auto"/>
              </w:rPr>
              <w:t>Depreciation and amortization of property and equipment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29,295</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24,636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20,969</w:t>
            </w:r>
          </w:p>
        </w:tc>
      </w:tr>
      <w:tr>
        <w:trPr>
          <w:trHeight w:val="39"/>
        </w:trPr>
        <w:tc>
          <w:tcPr>
            <w:tcW w:w="5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09"/>
        </w:trPr>
        <w:tc>
          <w:tcPr>
            <w:tcW w:w="52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w w:val="94"/>
              </w:rPr>
              <w:t>Amortization of intangible assets and route and customer acquisition costs</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17,484</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22,040</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22,608</w:t>
            </w:r>
          </w:p>
        </w:tc>
      </w:tr>
      <w:tr>
        <w:trPr>
          <w:trHeight w:val="190"/>
        </w:trPr>
        <w:tc>
          <w:tcPr>
            <w:tcW w:w="5240" w:type="dxa"/>
            <w:vAlign w:val="bottom"/>
          </w:tcPr>
          <w:p>
            <w:pPr>
              <w:ind w:left="880"/>
              <w:spacing w:after="0"/>
              <w:rPr>
                <w:sz w:val="20"/>
                <w:szCs w:val="20"/>
                <w:color w:val="auto"/>
              </w:rPr>
            </w:pPr>
            <w:r>
              <w:rPr>
                <w:rFonts w:ascii="Arial" w:cs="Arial" w:eastAsia="Arial" w:hAnsi="Arial"/>
                <w:sz w:val="14"/>
                <w:szCs w:val="14"/>
                <w:color w:val="auto"/>
              </w:rPr>
              <w:t>Amortization of debt issuance costs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2,110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2,099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2,064</w:t>
            </w:r>
          </w:p>
        </w:tc>
      </w:tr>
      <w:tr>
        <w:trPr>
          <w:trHeight w:val="39"/>
        </w:trPr>
        <w:tc>
          <w:tcPr>
            <w:tcW w:w="5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09"/>
        </w:trPr>
        <w:tc>
          <w:tcPr>
            <w:tcW w:w="52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Stock-based compensation</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6,840</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6,403</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5,538</w:t>
            </w:r>
          </w:p>
        </w:tc>
      </w:tr>
      <w:tr>
        <w:trPr>
          <w:trHeight w:val="190"/>
        </w:trPr>
        <w:tc>
          <w:tcPr>
            <w:tcW w:w="5240" w:type="dxa"/>
            <w:vAlign w:val="bottom"/>
          </w:tcPr>
          <w:p>
            <w:pPr>
              <w:ind w:left="880"/>
              <w:spacing w:after="0"/>
              <w:rPr>
                <w:sz w:val="20"/>
                <w:szCs w:val="20"/>
                <w:color w:val="auto"/>
              </w:rPr>
            </w:pPr>
            <w:r>
              <w:rPr>
                <w:rFonts w:ascii="Arial" w:cs="Arial" w:eastAsia="Arial" w:hAnsi="Arial"/>
                <w:sz w:val="14"/>
                <w:szCs w:val="14"/>
                <w:color w:val="auto"/>
              </w:rPr>
              <w:t>(Gain) loss on change in fair value of contingent earnout shares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(19,544)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9,762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(8,484)</w:t>
            </w:r>
          </w:p>
        </w:tc>
      </w:tr>
      <w:tr>
        <w:trPr>
          <w:trHeight w:val="39"/>
        </w:trPr>
        <w:tc>
          <w:tcPr>
            <w:tcW w:w="5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10"/>
        </w:trPr>
        <w:tc>
          <w:tcPr>
            <w:tcW w:w="52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Gain on change in fair value of warrants</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(12,574)</w:t>
            </w:r>
          </w:p>
        </w:tc>
      </w:tr>
      <w:tr>
        <w:trPr>
          <w:trHeight w:val="190"/>
        </w:trPr>
        <w:tc>
          <w:tcPr>
            <w:tcW w:w="5240" w:type="dxa"/>
            <w:vAlign w:val="bottom"/>
          </w:tcPr>
          <w:p>
            <w:pPr>
              <w:ind w:left="880"/>
              <w:spacing w:after="0"/>
              <w:rPr>
                <w:sz w:val="20"/>
                <w:szCs w:val="20"/>
                <w:color w:val="auto"/>
              </w:rPr>
            </w:pPr>
            <w:r>
              <w:rPr>
                <w:rFonts w:ascii="Arial" w:cs="Arial" w:eastAsia="Arial" w:hAnsi="Arial"/>
                <w:sz w:val="14"/>
                <w:szCs w:val="14"/>
                <w:color w:val="auto"/>
              </w:rPr>
              <w:t>(Gain) loss on disposal of property and equipment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47</w:t>
            </w:r>
          </w:p>
        </w:tc>
      </w:tr>
      <w:tr>
        <w:trPr>
          <w:trHeight w:val="39"/>
        </w:trPr>
        <w:tc>
          <w:tcPr>
            <w:tcW w:w="5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184"/>
        </w:trPr>
        <w:tc>
          <w:tcPr>
            <w:tcW w:w="5240" w:type="dxa"/>
            <w:vAlign w:val="bottom"/>
            <w:shd w:val="clear" w:color="auto" w:fill="CCEEFF"/>
          </w:tcPr>
          <w:p>
            <w:pPr>
              <w:ind w:left="880"/>
              <w:spacing w:after="0"/>
              <w:rPr>
                <w:sz w:val="20"/>
                <w:szCs w:val="20"/>
                <w:color w:val="auto"/>
              </w:rPr>
            </w:pPr>
            <w:r>
              <w:rPr>
                <w:rFonts w:ascii="Arial" w:cs="Arial" w:eastAsia="Arial" w:hAnsi="Arial"/>
                <w:sz w:val="14"/>
                <w:szCs w:val="14"/>
                <w:color w:val="auto"/>
                <w:w w:val="98"/>
              </w:rPr>
              <w:t>Loss on write-off of route and customer acquisition costs and route and</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01"/>
        </w:trPr>
        <w:tc>
          <w:tcPr>
            <w:tcW w:w="52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4"/>
                <w:szCs w:val="14"/>
                <w:color w:val="auto"/>
              </w:rPr>
              <w:t>customer acquisition costs payable</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711</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910</w:t>
            </w:r>
          </w:p>
        </w:tc>
      </w:tr>
      <w:tr>
        <w:trPr>
          <w:trHeight w:val="204"/>
        </w:trPr>
        <w:tc>
          <w:tcPr>
            <w:tcW w:w="5240" w:type="dxa"/>
            <w:vAlign w:val="bottom"/>
          </w:tcPr>
          <w:p>
            <w:pPr>
              <w:ind w:left="880"/>
              <w:spacing w:after="0"/>
              <w:rPr>
                <w:sz w:val="20"/>
                <w:szCs w:val="20"/>
                <w:color w:val="auto"/>
              </w:rPr>
            </w:pPr>
            <w:r>
              <w:rPr>
                <w:rFonts w:ascii="Arial" w:cs="Arial" w:eastAsia="Arial" w:hAnsi="Arial"/>
                <w:sz w:val="14"/>
                <w:szCs w:val="14"/>
                <w:color w:val="auto"/>
              </w:rPr>
              <w:t>Loss on debt extinguishment</w:t>
            </w:r>
          </w:p>
        </w:tc>
        <w:tc>
          <w:tcPr>
            <w:tcW w:w="2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1,152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6"/>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0"/>
        </w:trPr>
        <w:tc>
          <w:tcPr>
            <w:tcW w:w="52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Remeasurement of contingent consideration</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(3,524)</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4,347</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(584)</w:t>
            </w:r>
          </w:p>
        </w:tc>
      </w:tr>
      <w:tr>
        <w:trPr>
          <w:trHeight w:val="190"/>
        </w:trPr>
        <w:tc>
          <w:tcPr>
            <w:tcW w:w="5240" w:type="dxa"/>
            <w:vAlign w:val="bottom"/>
          </w:tcPr>
          <w:p>
            <w:pPr>
              <w:ind w:left="880"/>
              <w:spacing w:after="0"/>
              <w:rPr>
                <w:sz w:val="20"/>
                <w:szCs w:val="20"/>
                <w:color w:val="auto"/>
              </w:rPr>
            </w:pPr>
            <w:r>
              <w:rPr>
                <w:rFonts w:ascii="Arial" w:cs="Arial" w:eastAsia="Arial" w:hAnsi="Arial"/>
                <w:sz w:val="14"/>
                <w:szCs w:val="14"/>
                <w:color w:val="auto"/>
              </w:rPr>
              <w:t>Payments on consideration payable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(3,570)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(2,566)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(1,766)</w:t>
            </w:r>
          </w:p>
        </w:tc>
      </w:tr>
      <w:tr>
        <w:trPr>
          <w:trHeight w:val="39"/>
        </w:trPr>
        <w:tc>
          <w:tcPr>
            <w:tcW w:w="5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184"/>
        </w:trPr>
        <w:tc>
          <w:tcPr>
            <w:tcW w:w="52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Accretion of interest on route and customer acquisition costs payable,</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01"/>
        </w:trPr>
        <w:tc>
          <w:tcPr>
            <w:tcW w:w="52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4"/>
                <w:szCs w:val="14"/>
                <w:color w:val="auto"/>
              </w:rPr>
              <w:t>contingent consideration, and contingent stock consideration</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2,460</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2,617</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2,030</w:t>
            </w:r>
          </w:p>
        </w:tc>
      </w:tr>
      <w:tr>
        <w:trPr>
          <w:trHeight w:val="204"/>
        </w:trPr>
        <w:tc>
          <w:tcPr>
            <w:tcW w:w="5240" w:type="dxa"/>
            <w:vAlign w:val="bottom"/>
          </w:tcPr>
          <w:p>
            <w:pPr>
              <w:ind w:left="880"/>
              <w:spacing w:after="0"/>
              <w:rPr>
                <w:sz w:val="20"/>
                <w:szCs w:val="20"/>
                <w:color w:val="auto"/>
              </w:rPr>
            </w:pPr>
            <w:r>
              <w:rPr>
                <w:rFonts w:ascii="Arial" w:cs="Arial" w:eastAsia="Arial" w:hAnsi="Arial"/>
                <w:sz w:val="14"/>
                <w:szCs w:val="14"/>
                <w:color w:val="auto"/>
              </w:rPr>
              <w:t>Payments for debt issuance costs</w:t>
            </w:r>
          </w:p>
        </w:tc>
        <w:tc>
          <w:tcPr>
            <w:tcW w:w="2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5"/>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0"/>
        </w:trPr>
        <w:tc>
          <w:tcPr>
            <w:tcW w:w="52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Deferred income taxes</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13,433</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6,108</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(16,836)</w:t>
            </w:r>
          </w:p>
        </w:tc>
      </w:tr>
      <w:tr>
        <w:trPr>
          <w:trHeight w:val="190"/>
        </w:trPr>
        <w:tc>
          <w:tcPr>
            <w:tcW w:w="5240" w:type="dxa"/>
            <w:vAlign w:val="bottom"/>
          </w:tcPr>
          <w:p>
            <w:pPr>
              <w:ind w:left="880"/>
              <w:spacing w:after="0"/>
              <w:rPr>
                <w:sz w:val="20"/>
                <w:szCs w:val="20"/>
                <w:color w:val="auto"/>
              </w:rPr>
            </w:pPr>
            <w:r>
              <w:rPr>
                <w:rFonts w:ascii="Arial" w:cs="Arial" w:eastAsia="Arial" w:hAnsi="Arial"/>
                <w:sz w:val="14"/>
                <w:szCs w:val="14"/>
                <w:color w:val="auto"/>
                <w:w w:val="92"/>
              </w:rPr>
              <w:t>Changes in operating assets and liabilities, net of acquisition of businesses: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9"/>
        </w:trPr>
        <w:tc>
          <w:tcPr>
            <w:tcW w:w="5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09"/>
        </w:trPr>
        <w:tc>
          <w:tcPr>
            <w:tcW w:w="524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(1,610)</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(4,982)</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(2,904)</w:t>
            </w:r>
          </w:p>
        </w:tc>
      </w:tr>
      <w:tr>
        <w:trPr>
          <w:trHeight w:val="204"/>
        </w:trPr>
        <w:tc>
          <w:tcPr>
            <w:tcW w:w="5240" w:type="dxa"/>
            <w:vAlign w:val="bottom"/>
          </w:tcPr>
          <w:p>
            <w:pPr>
              <w:ind w:left="1320"/>
              <w:spacing w:after="0"/>
              <w:rPr>
                <w:sz w:val="20"/>
                <w:szCs w:val="20"/>
                <w:color w:val="auto"/>
              </w:rPr>
            </w:pPr>
            <w:r>
              <w:rPr>
                <w:rFonts w:ascii="Arial" w:cs="Arial" w:eastAsia="Arial" w:hAnsi="Arial"/>
                <w:sz w:val="14"/>
                <w:szCs w:val="14"/>
                <w:color w:val="auto"/>
              </w:rPr>
              <w:t>Accounts receivable, net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(1,651)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5"/>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0"/>
        </w:trPr>
        <w:tc>
          <w:tcPr>
            <w:tcW w:w="524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4"/>
                <w:szCs w:val="14"/>
                <w:color w:val="auto"/>
              </w:rPr>
              <w:t>Inventories</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0"/>
        </w:trPr>
        <w:tc>
          <w:tcPr>
            <w:tcW w:w="5240" w:type="dxa"/>
            <w:vAlign w:val="bottom"/>
          </w:tcPr>
          <w:p>
            <w:pPr>
              <w:ind w:left="1320"/>
              <w:spacing w:after="0"/>
              <w:rPr>
                <w:sz w:val="20"/>
                <w:szCs w:val="20"/>
                <w:color w:val="auto"/>
              </w:rPr>
            </w:pPr>
            <w:r>
              <w:rPr>
                <w:rFonts w:ascii="Arial" w:cs="Arial" w:eastAsia="Arial" w:hAnsi="Arial"/>
                <w:sz w:val="14"/>
                <w:szCs w:val="14"/>
                <w:color w:val="auto"/>
              </w:rPr>
              <w:t>Income taxes receivable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3,341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566</w:t>
            </w:r>
          </w:p>
        </w:tc>
      </w:tr>
      <w:tr>
        <w:trPr>
          <w:trHeight w:val="39"/>
        </w:trPr>
        <w:tc>
          <w:tcPr>
            <w:tcW w:w="5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09"/>
        </w:trPr>
        <w:tc>
          <w:tcPr>
            <w:tcW w:w="524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4"/>
                <w:szCs w:val="14"/>
                <w:color w:val="auto"/>
              </w:rPr>
              <w:t>Route and customer acquisition costs</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(4,347)</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(3,077)</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(603)</w:t>
            </w:r>
          </w:p>
        </w:tc>
      </w:tr>
      <w:tr>
        <w:trPr>
          <w:trHeight w:val="191"/>
        </w:trPr>
        <w:tc>
          <w:tcPr>
            <w:tcW w:w="5240" w:type="dxa"/>
            <w:vAlign w:val="bottom"/>
          </w:tcPr>
          <w:p>
            <w:pPr>
              <w:ind w:left="1320"/>
              <w:spacing w:after="0"/>
              <w:rPr>
                <w:sz w:val="20"/>
                <w:szCs w:val="20"/>
                <w:color w:val="auto"/>
              </w:rPr>
            </w:pPr>
            <w:r>
              <w:rPr>
                <w:rFonts w:ascii="Arial" w:cs="Arial" w:eastAsia="Arial" w:hAnsi="Arial"/>
                <w:sz w:val="14"/>
                <w:szCs w:val="14"/>
                <w:color w:val="auto"/>
              </w:rPr>
              <w:t>Route and customer acquisition costs payable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(780)</w:t>
            </w:r>
          </w:p>
        </w:tc>
      </w:tr>
      <w:tr>
        <w:trPr>
          <w:trHeight w:val="39"/>
        </w:trPr>
        <w:tc>
          <w:tcPr>
            <w:tcW w:w="5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10"/>
        </w:trPr>
        <w:tc>
          <w:tcPr>
            <w:tcW w:w="524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4"/>
                <w:szCs w:val="14"/>
                <w:color w:val="auto"/>
              </w:rPr>
              <w:t>Accounts payable and accrued expenses</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1,791</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3,738</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(16,876)</w:t>
            </w:r>
          </w:p>
        </w:tc>
      </w:tr>
      <w:tr>
        <w:trPr>
          <w:trHeight w:val="204"/>
        </w:trPr>
        <w:tc>
          <w:tcPr>
            <w:tcW w:w="5240" w:type="dxa"/>
            <w:vAlign w:val="bottom"/>
          </w:tcPr>
          <w:p>
            <w:pPr>
              <w:ind w:left="1320"/>
              <w:spacing w:after="0"/>
              <w:rPr>
                <w:sz w:val="20"/>
                <w:szCs w:val="20"/>
                <w:color w:val="auto"/>
              </w:rPr>
            </w:pPr>
            <w:r>
              <w:rPr>
                <w:rFonts w:ascii="Arial" w:cs="Arial" w:eastAsia="Arial" w:hAnsi="Arial"/>
                <w:sz w:val="14"/>
                <w:szCs w:val="14"/>
                <w:color w:val="auto"/>
              </w:rPr>
              <w:t>Accrued compensation and related expenses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3,033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3,452</w:t>
            </w:r>
          </w:p>
        </w:tc>
      </w:tr>
      <w:tr>
        <w:trPr>
          <w:trHeight w:val="25"/>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524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(5,023)</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184"/>
        </w:trPr>
        <w:tc>
          <w:tcPr>
            <w:tcW w:w="5240" w:type="dxa"/>
            <w:vAlign w:val="bottom"/>
          </w:tcPr>
          <w:p>
            <w:pPr>
              <w:ind w:left="176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107,999</w:t>
            </w:r>
          </w:p>
        </w:tc>
        <w:tc>
          <w:tcPr>
            <w:tcW w:w="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110,755</w:t>
            </w:r>
          </w:p>
        </w:tc>
        <w:tc>
          <w:tcPr>
            <w:tcW w:w="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(3,705)</w:t>
            </w:r>
          </w:p>
        </w:tc>
      </w:tr>
      <w:tr>
        <w:trPr>
          <w:trHeight w:val="39"/>
        </w:trPr>
        <w:tc>
          <w:tcPr>
            <w:tcW w:w="52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r>
      <w:tr>
        <w:trPr>
          <w:trHeight w:val="191"/>
        </w:trPr>
        <w:tc>
          <w:tcPr>
            <w:tcW w:w="5240" w:type="dxa"/>
            <w:vAlign w:val="bottom"/>
          </w:tcPr>
          <w:p>
            <w:pPr>
              <w:ind w:left="48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(47,379)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(29,753)</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(25,761)</w:t>
            </w:r>
          </w:p>
        </w:tc>
      </w:tr>
      <w:tr>
        <w:trPr>
          <w:trHeight w:val="39"/>
        </w:trPr>
        <w:tc>
          <w:tcPr>
            <w:tcW w:w="5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10"/>
        </w:trPr>
        <w:tc>
          <w:tcPr>
            <w:tcW w:w="5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Proceeds from the sale of property and equipment</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2,144</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1,405</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394</w:t>
            </w:r>
          </w:p>
        </w:tc>
      </w:tr>
      <w:tr>
        <w:trPr>
          <w:trHeight w:val="190"/>
        </w:trPr>
        <w:tc>
          <w:tcPr>
            <w:tcW w:w="5240" w:type="dxa"/>
            <w:vAlign w:val="bottom"/>
          </w:tcPr>
          <w:p>
            <w:pPr>
              <w:ind w:left="480"/>
              <w:spacing w:after="0"/>
              <w:rPr>
                <w:sz w:val="20"/>
                <w:szCs w:val="20"/>
                <w:color w:val="auto"/>
              </w:rPr>
            </w:pPr>
            <w:r>
              <w:rPr>
                <w:rFonts w:ascii="Arial" w:cs="Arial" w:eastAsia="Arial" w:hAnsi="Arial"/>
                <w:sz w:val="14"/>
                <w:szCs w:val="14"/>
                <w:color w:val="auto"/>
              </w:rPr>
              <w:t>Payments on consideration payable</w:t>
            </w:r>
          </w:p>
        </w:tc>
        <w:tc>
          <w:tcPr>
            <w:tcW w:w="26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(299)</w:t>
            </w:r>
          </w:p>
        </w:tc>
      </w:tr>
      <w:tr>
        <w:trPr>
          <w:trHeight w:val="39"/>
        </w:trPr>
        <w:tc>
          <w:tcPr>
            <w:tcW w:w="5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29"/>
        </w:trPr>
        <w:tc>
          <w:tcPr>
            <w:tcW w:w="5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Business and asset acquisitions, net of cash acquired</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(144,028)</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(6,196)</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(35,769)</w:t>
            </w:r>
          </w:p>
        </w:tc>
      </w:tr>
      <w:tr>
        <w:trPr>
          <w:trHeight w:val="184"/>
        </w:trPr>
        <w:tc>
          <w:tcPr>
            <w:tcW w:w="5240" w:type="dxa"/>
            <w:vAlign w:val="bottom"/>
          </w:tcPr>
          <w:p>
            <w:pPr>
              <w:ind w:left="1760"/>
              <w:spacing w:after="0"/>
              <w:rPr>
                <w:sz w:val="20"/>
                <w:szCs w:val="20"/>
                <w:color w:val="auto"/>
              </w:rPr>
            </w:pPr>
            <w:r>
              <w:rPr>
                <w:rFonts w:ascii="Arial" w:cs="Arial" w:eastAsia="Arial" w:hAnsi="Arial"/>
                <w:sz w:val="14"/>
                <w:szCs w:val="14"/>
                <w:b w:val="1"/>
                <w:bCs w:val="1"/>
                <w:color w:val="auto"/>
              </w:rPr>
              <w:t>Net cash used in investing activities</w:t>
            </w: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(189,263)</w:t>
            </w:r>
          </w:p>
        </w:tc>
        <w:tc>
          <w:tcPr>
            <w:tcW w:w="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(34,544)</w:t>
            </w:r>
          </w:p>
        </w:tc>
        <w:tc>
          <w:tcPr>
            <w:tcW w:w="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(61,435)</w:t>
            </w:r>
          </w:p>
        </w:tc>
      </w:tr>
      <w:tr>
        <w:trPr>
          <w:trHeight w:val="39"/>
        </w:trPr>
        <w:tc>
          <w:tcPr>
            <w:tcW w:w="52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r>
      <w:tr>
        <w:trPr>
          <w:trHeight w:val="204"/>
        </w:trPr>
        <w:tc>
          <w:tcPr>
            <w:tcW w:w="5240" w:type="dxa"/>
            <w:vAlign w:val="bottom"/>
          </w:tcPr>
          <w:p>
            <w:pPr>
              <w:ind w:left="480"/>
              <w:spacing w:after="0"/>
              <w:rPr>
                <w:sz w:val="20"/>
                <w:szCs w:val="20"/>
                <w:color w:val="auto"/>
              </w:rPr>
            </w:pPr>
            <w:r>
              <w:rPr>
                <w:rFonts w:ascii="Arial" w:cs="Arial" w:eastAsia="Arial" w:hAnsi="Arial"/>
                <w:sz w:val="14"/>
                <w:szCs w:val="14"/>
                <w:color w:val="auto"/>
              </w:rPr>
              <w:t>Proceeds from term loan</w:t>
            </w:r>
          </w:p>
        </w:tc>
        <w:tc>
          <w:tcPr>
            <w:tcW w:w="2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12,338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5"/>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0"/>
        </w:trPr>
        <w:tc>
          <w:tcPr>
            <w:tcW w:w="5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Payments on term loan</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(21,875)</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(12,000)</w:t>
            </w:r>
          </w:p>
        </w:tc>
      </w:tr>
      <w:tr>
        <w:trPr>
          <w:trHeight w:val="204"/>
        </w:trPr>
        <w:tc>
          <w:tcPr>
            <w:tcW w:w="5240" w:type="dxa"/>
            <w:vAlign w:val="bottom"/>
          </w:tcPr>
          <w:p>
            <w:pPr>
              <w:ind w:left="480"/>
              <w:spacing w:after="0"/>
              <w:rPr>
                <w:sz w:val="20"/>
                <w:szCs w:val="20"/>
                <w:color w:val="auto"/>
              </w:rPr>
            </w:pPr>
            <w:r>
              <w:rPr>
                <w:rFonts w:ascii="Arial" w:cs="Arial" w:eastAsia="Arial" w:hAnsi="Arial"/>
                <w:sz w:val="14"/>
                <w:szCs w:val="14"/>
                <w:color w:val="auto"/>
              </w:rPr>
              <w:t>Proceeds from delayed draw term loans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100,000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65,000</w:t>
            </w:r>
          </w:p>
        </w:tc>
      </w:tr>
      <w:tr>
        <w:trPr>
          <w:trHeight w:val="25"/>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0"/>
        </w:trPr>
        <w:tc>
          <w:tcPr>
            <w:tcW w:w="5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Payments on delayed draw term loans</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(3,750)</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(4,688)</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(5,438)</w:t>
            </w:r>
          </w:p>
        </w:tc>
      </w:tr>
      <w:tr>
        <w:trPr>
          <w:trHeight w:val="204"/>
        </w:trPr>
        <w:tc>
          <w:tcPr>
            <w:tcW w:w="5240" w:type="dxa"/>
            <w:vAlign w:val="bottom"/>
          </w:tcPr>
          <w:p>
            <w:pPr>
              <w:ind w:left="480"/>
              <w:spacing w:after="0"/>
              <w:rPr>
                <w:sz w:val="20"/>
                <w:szCs w:val="20"/>
                <w:color w:val="auto"/>
              </w:rPr>
            </w:pPr>
            <w:r>
              <w:rPr>
                <w:rFonts w:ascii="Arial" w:cs="Arial" w:eastAsia="Arial" w:hAnsi="Arial"/>
                <w:sz w:val="14"/>
                <w:szCs w:val="14"/>
                <w:color w:val="auto"/>
              </w:rPr>
              <w:t>Proceeds from revolving debt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140,000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42,000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49,000</w:t>
            </w:r>
          </w:p>
        </w:tc>
      </w:tr>
      <w:tr>
        <w:trPr>
          <w:trHeight w:val="25"/>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0"/>
        </w:trPr>
        <w:tc>
          <w:tcPr>
            <w:tcW w:w="5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Payments on revolving debt</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(19,000)</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(42,000)</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(107,500)</w:t>
            </w:r>
          </w:p>
        </w:tc>
      </w:tr>
      <w:tr>
        <w:trPr>
          <w:trHeight w:val="204"/>
        </w:trPr>
        <w:tc>
          <w:tcPr>
            <w:tcW w:w="5240" w:type="dxa"/>
            <w:vAlign w:val="bottom"/>
          </w:tcPr>
          <w:p>
            <w:pPr>
              <w:ind w:left="480"/>
              <w:spacing w:after="0"/>
              <w:rPr>
                <w:sz w:val="20"/>
                <w:szCs w:val="20"/>
                <w:color w:val="auto"/>
              </w:rPr>
            </w:pPr>
            <w:r>
              <w:rPr>
                <w:rFonts w:ascii="Arial" w:cs="Arial" w:eastAsia="Arial" w:hAnsi="Arial"/>
                <w:sz w:val="14"/>
                <w:szCs w:val="14"/>
                <w:color w:val="auto"/>
              </w:rPr>
              <w:t>Payments for debt issuance costs</w:t>
            </w:r>
          </w:p>
        </w:tc>
        <w:tc>
          <w:tcPr>
            <w:tcW w:w="2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(677)</w:t>
            </w:r>
          </w:p>
        </w:tc>
      </w:tr>
      <w:tr>
        <w:trPr>
          <w:trHeight w:val="25"/>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0"/>
        </w:trPr>
        <w:tc>
          <w:tcPr>
            <w:tcW w:w="5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Payments for repurchase of common shares</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(79,002)</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(8,983)</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04"/>
        </w:trPr>
        <w:tc>
          <w:tcPr>
            <w:tcW w:w="5240" w:type="dxa"/>
            <w:vAlign w:val="bottom"/>
          </w:tcPr>
          <w:p>
            <w:pPr>
              <w:ind w:left="480"/>
              <w:spacing w:after="0"/>
              <w:rPr>
                <w:sz w:val="20"/>
                <w:szCs w:val="20"/>
                <w:color w:val="auto"/>
              </w:rPr>
            </w:pPr>
            <w:r>
              <w:rPr>
                <w:rFonts w:ascii="Arial" w:cs="Arial" w:eastAsia="Arial" w:hAnsi="Arial"/>
                <w:sz w:val="14"/>
                <w:szCs w:val="14"/>
                <w:color w:val="auto"/>
              </w:rPr>
              <w:t>Payments on interest rate caplets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(873)</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5"/>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0"/>
        </w:trPr>
        <w:tc>
          <w:tcPr>
            <w:tcW w:w="5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Proceeds from issuance of common stock, net</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90,422</w:t>
            </w:r>
          </w:p>
        </w:tc>
      </w:tr>
      <w:tr>
        <w:trPr>
          <w:trHeight w:val="204"/>
        </w:trPr>
        <w:tc>
          <w:tcPr>
            <w:tcW w:w="5240" w:type="dxa"/>
            <w:vAlign w:val="bottom"/>
          </w:tcPr>
          <w:p>
            <w:pPr>
              <w:ind w:left="480"/>
              <w:spacing w:after="0"/>
              <w:rPr>
                <w:sz w:val="20"/>
                <w:szCs w:val="20"/>
                <w:color w:val="auto"/>
              </w:rPr>
            </w:pPr>
            <w:r>
              <w:rPr>
                <w:rFonts w:ascii="Arial" w:cs="Arial" w:eastAsia="Arial" w:hAnsi="Arial"/>
                <w:sz w:val="14"/>
                <w:szCs w:val="14"/>
                <w:color w:val="auto"/>
              </w:rPr>
              <w:t>Proceeds from exercise of stock options and warrants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1,704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847</w:t>
            </w:r>
          </w:p>
        </w:tc>
      </w:tr>
      <w:tr>
        <w:trPr>
          <w:trHeight w:val="25"/>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0"/>
        </w:trPr>
        <w:tc>
          <w:tcPr>
            <w:tcW w:w="5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Payments on consideration payable</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(9,197)</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(2,792)</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(5,448)</w:t>
            </w:r>
          </w:p>
        </w:tc>
      </w:tr>
      <w:tr>
        <w:trPr>
          <w:trHeight w:val="204"/>
        </w:trPr>
        <w:tc>
          <w:tcPr>
            <w:tcW w:w="5240" w:type="dxa"/>
            <w:vAlign w:val="bottom"/>
          </w:tcPr>
          <w:p>
            <w:pPr>
              <w:ind w:left="480"/>
              <w:spacing w:after="0"/>
              <w:rPr>
                <w:sz w:val="20"/>
                <w:szCs w:val="20"/>
                <w:color w:val="auto"/>
              </w:rPr>
            </w:pPr>
            <w:r>
              <w:rPr>
                <w:rFonts w:ascii="Arial" w:cs="Arial" w:eastAsia="Arial" w:hAnsi="Arial"/>
                <w:sz w:val="14"/>
                <w:szCs w:val="14"/>
                <w:color w:val="auto"/>
              </w:rPr>
              <w:t>Tax withholding on share-based payments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5"/>
        </w:trPr>
        <w:tc>
          <w:tcPr>
            <w:tcW w:w="5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524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106,591</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(11,876)</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74,188</w:t>
            </w:r>
          </w:p>
        </w:tc>
      </w:tr>
      <w:tr>
        <w:trPr>
          <w:trHeight w:val="198"/>
        </w:trPr>
        <w:tc>
          <w:tcPr>
            <w:tcW w:w="5240" w:type="dxa"/>
            <w:vAlign w:val="bottom"/>
          </w:tcPr>
          <w:p>
            <w:pPr>
              <w:ind w:left="1760"/>
              <w:spacing w:after="0"/>
              <w:rPr>
                <w:sz w:val="20"/>
                <w:szCs w:val="20"/>
                <w:color w:val="auto"/>
              </w:rPr>
            </w:pPr>
            <w:r>
              <w:rPr>
                <w:rFonts w:ascii="Arial" w:cs="Arial" w:eastAsia="Arial" w:hAnsi="Arial"/>
                <w:sz w:val="14"/>
                <w:szCs w:val="14"/>
                <w:b w:val="1"/>
                <w:bCs w:val="1"/>
                <w:color w:val="auto"/>
              </w:rPr>
              <w:t>Net increase in cash and cash equivalents</w:t>
            </w: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25,327</w:t>
            </w: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64,335</w:t>
            </w: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9,048</w:t>
            </w:r>
          </w:p>
        </w:tc>
      </w:tr>
      <w:tr>
        <w:trPr>
          <w:trHeight w:val="26"/>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191"/>
        </w:trPr>
        <w:tc>
          <w:tcPr>
            <w:tcW w:w="5240" w:type="dxa"/>
            <w:vAlign w:val="bottom"/>
          </w:tcPr>
          <w:p>
            <w:pPr>
              <w:ind w:left="480"/>
              <w:spacing w:after="0"/>
              <w:rPr>
                <w:sz w:val="20"/>
                <w:szCs w:val="20"/>
                <w:color w:val="auto"/>
              </w:rPr>
            </w:pPr>
            <w:r>
              <w:rPr>
                <w:rFonts w:ascii="Arial" w:cs="Arial" w:eastAsia="Arial" w:hAnsi="Arial"/>
                <w:sz w:val="14"/>
                <w:szCs w:val="14"/>
                <w:color w:val="auto"/>
              </w:rPr>
              <w:t>Beginning of year</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198,786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134,451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125,403</w:t>
            </w:r>
          </w:p>
        </w:tc>
      </w:tr>
      <w:tr>
        <w:trPr>
          <w:trHeight w:val="39"/>
        </w:trPr>
        <w:tc>
          <w:tcPr>
            <w:tcW w:w="52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2"/>
        </w:trPr>
        <w:tc>
          <w:tcPr>
            <w:tcW w:w="5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End of year</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224,113</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198,786</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134,451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5" w:right="1440" w:bottom="59" w:gutter="0" w:footer="0" w:header="0"/>
        </w:sectPr>
      </w:pPr>
    </w:p>
    <w:p>
      <w:pPr>
        <w:spacing w:after="0" w:line="200" w:lineRule="exact"/>
        <w:rPr>
          <w:sz w:val="20"/>
          <w:szCs w:val="20"/>
          <w:color w:val="auto"/>
        </w:rPr>
      </w:pPr>
    </w:p>
    <w:p>
      <w:pPr>
        <w:spacing w:after="0" w:line="34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59"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ACCEL ENTERTAINMENT,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44" w:lineRule="exact"/>
        <w:rPr>
          <w:sz w:val="20"/>
          <w:szCs w:val="20"/>
          <w:color w:val="auto"/>
        </w:rPr>
      </w:pPr>
    </w:p>
    <w:tbl>
      <w:tblPr>
        <w:tblLayout w:type="fixed"/>
        <w:tblInd w:w="1160" w:type="dxa"/>
        <w:tblCellMar>
          <w:top w:w="0" w:type="dxa"/>
          <w:left w:w="0" w:type="dxa"/>
          <w:bottom w:w="0" w:type="dxa"/>
          <w:right w:w="0" w:type="dxa"/>
        </w:tblCellMar>
      </w:tblPr>
      <w:tr>
        <w:trPr>
          <w:trHeight w:val="196"/>
        </w:trPr>
        <w:tc>
          <w:tcPr>
            <w:tcW w:w="51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7"/>
                <w:szCs w:val="17"/>
                <w:color w:val="auto"/>
              </w:rPr>
            </w:pPr>
          </w:p>
        </w:tc>
        <w:tc>
          <w:tcPr>
            <w:tcW w:w="2580" w:type="dxa"/>
            <w:vAlign w:val="bottom"/>
            <w:gridSpan w:val="6"/>
          </w:tcPr>
          <w:p>
            <w:pPr>
              <w:jc w:val="right"/>
              <w:ind w:right="79"/>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7"/>
                <w:szCs w:val="17"/>
                <w:color w:val="auto"/>
              </w:rPr>
            </w:pPr>
          </w:p>
        </w:tc>
      </w:tr>
      <w:tr>
        <w:trPr>
          <w:trHeight w:val="26"/>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5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2020</w:t>
            </w:r>
          </w:p>
        </w:tc>
      </w:tr>
      <w:tr>
        <w:trPr>
          <w:trHeight w:val="219"/>
        </w:trPr>
        <w:tc>
          <w:tcPr>
            <w:tcW w:w="5160" w:type="dxa"/>
            <w:vAlign w:val="bottom"/>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3"/>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Cash payments for:</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3"/>
        </w:trPr>
        <w:tc>
          <w:tcPr>
            <w:tcW w:w="5160" w:type="dxa"/>
            <w:vAlign w:val="bottom"/>
          </w:tcPr>
          <w:p>
            <w:pPr>
              <w:ind w:left="880"/>
              <w:spacing w:after="0"/>
              <w:rPr>
                <w:sz w:val="20"/>
                <w:szCs w:val="20"/>
                <w:color w:val="auto"/>
              </w:rPr>
            </w:pPr>
            <w:r>
              <w:rPr>
                <w:rFonts w:ascii="Arial" w:cs="Arial" w:eastAsia="Arial" w:hAnsi="Arial"/>
                <w:sz w:val="16"/>
                <w:szCs w:val="16"/>
                <w:color w:val="auto"/>
              </w:rPr>
              <w:t>Interest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19,942</w:t>
            </w:r>
          </w:p>
        </w:tc>
        <w:tc>
          <w:tcPr>
            <w:tcW w:w="1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9,647</w:t>
            </w:r>
          </w:p>
        </w:tc>
        <w:tc>
          <w:tcPr>
            <w:tcW w:w="1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12,854</w:t>
            </w:r>
          </w:p>
        </w:tc>
      </w:tr>
      <w:tr>
        <w:trPr>
          <w:trHeight w:val="253"/>
        </w:trPr>
        <w:tc>
          <w:tcPr>
            <w:tcW w:w="5160" w:type="dxa"/>
            <w:vAlign w:val="bottom"/>
            <w:shd w:val="clear" w:color="auto" w:fill="CCEEFF"/>
          </w:tcPr>
          <w:p>
            <w:pPr>
              <w:ind w:left="880"/>
              <w:spacing w:after="0"/>
              <w:rPr>
                <w:sz w:val="20"/>
                <w:szCs w:val="20"/>
                <w:color w:val="auto"/>
              </w:rPr>
            </w:pPr>
            <w:r>
              <w:rPr>
                <w:rFonts w:ascii="Arial" w:cs="Arial" w:eastAsia="Arial" w:hAnsi="Arial"/>
                <w:sz w:val="16"/>
                <w:szCs w:val="16"/>
                <w:color w:val="auto"/>
              </w:rPr>
              <w:t>Income taxes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7,662</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8,589</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160" w:type="dxa"/>
            <w:vAlign w:val="bottom"/>
          </w:tcPr>
          <w:p>
            <w:pPr>
              <w:ind w:left="20"/>
              <w:spacing w:after="0"/>
              <w:rPr>
                <w:sz w:val="20"/>
                <w:szCs w:val="20"/>
                <w:color w:val="auto"/>
              </w:rPr>
            </w:pPr>
            <w:r>
              <w:rPr>
                <w:rFonts w:ascii="Arial" w:cs="Arial" w:eastAsia="Arial" w:hAnsi="Arial"/>
                <w:sz w:val="16"/>
                <w:szCs w:val="16"/>
                <w:color w:val="auto"/>
              </w:rPr>
              <w:t>Supplemental schedules of noncash investing and financing activities: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2"/>
              </w:rPr>
              <w:t>Purchases of property and equipment in accounts payable and accrued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9"/>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liabilities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9,763</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14,992</w:t>
            </w:r>
          </w:p>
        </w:tc>
      </w:tr>
      <w:tr>
        <w:trPr>
          <w:trHeight w:val="233"/>
        </w:trPr>
        <w:tc>
          <w:tcPr>
            <w:tcW w:w="5160" w:type="dxa"/>
            <w:vAlign w:val="bottom"/>
          </w:tcPr>
          <w:p>
            <w:pPr>
              <w:ind w:left="480"/>
              <w:spacing w:after="0"/>
              <w:rPr>
                <w:sz w:val="20"/>
                <w:szCs w:val="20"/>
                <w:color w:val="auto"/>
              </w:rPr>
            </w:pPr>
            <w:r>
              <w:rPr>
                <w:rFonts w:ascii="Arial" w:cs="Arial" w:eastAsia="Arial" w:hAnsi="Arial"/>
                <w:sz w:val="16"/>
                <w:szCs w:val="16"/>
                <w:color w:val="auto"/>
              </w:rPr>
              <w:t>Deferred premium on interest rate caplets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3,025</w:t>
            </w:r>
          </w:p>
        </w:tc>
        <w:tc>
          <w:tcPr>
            <w:tcW w:w="1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Fair value of treasury stock issued in business combination</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5,584</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5160" w:type="dxa"/>
            <w:vAlign w:val="bottom"/>
          </w:tcPr>
          <w:p>
            <w:pPr>
              <w:ind w:left="480"/>
              <w:spacing w:after="0"/>
              <w:rPr>
                <w:sz w:val="20"/>
                <w:szCs w:val="20"/>
                <w:color w:val="auto"/>
              </w:rPr>
            </w:pPr>
            <w:r>
              <w:rPr>
                <w:rFonts w:ascii="Arial" w:cs="Arial" w:eastAsia="Arial" w:hAnsi="Arial"/>
                <w:sz w:val="16"/>
                <w:szCs w:val="16"/>
                <w:color w:val="auto"/>
              </w:rPr>
              <w:t>Common stock offering costs in accounts payable and accrued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5160" w:type="dxa"/>
            <w:vAlign w:val="bottom"/>
          </w:tcPr>
          <w:p>
            <w:pPr>
              <w:ind w:left="480"/>
              <w:spacing w:after="0"/>
              <w:rPr>
                <w:sz w:val="20"/>
                <w:szCs w:val="20"/>
                <w:color w:val="auto"/>
              </w:rPr>
            </w:pPr>
            <w:r>
              <w:rPr>
                <w:rFonts w:ascii="Arial" w:cs="Arial" w:eastAsia="Arial" w:hAnsi="Arial"/>
                <w:sz w:val="16"/>
                <w:szCs w:val="16"/>
                <w:color w:val="auto"/>
              </w:rPr>
              <w:t>liabilities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364</w:t>
            </w:r>
          </w:p>
        </w:tc>
      </w:tr>
      <w:tr>
        <w:trPr>
          <w:trHeight w:val="253"/>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Conversion of contingent earnout shares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(19,924)</w:t>
            </w:r>
          </w:p>
        </w:tc>
      </w:tr>
      <w:tr>
        <w:trPr>
          <w:trHeight w:val="233"/>
        </w:trPr>
        <w:tc>
          <w:tcPr>
            <w:tcW w:w="5160" w:type="dxa"/>
            <w:vAlign w:val="bottom"/>
          </w:tcPr>
          <w:p>
            <w:pPr>
              <w:ind w:left="480"/>
              <w:spacing w:after="0"/>
              <w:rPr>
                <w:sz w:val="20"/>
                <w:szCs w:val="20"/>
                <w:color w:val="auto"/>
              </w:rPr>
            </w:pPr>
            <w:r>
              <w:rPr>
                <w:rFonts w:ascii="Arial" w:cs="Arial" w:eastAsia="Arial" w:hAnsi="Arial"/>
                <w:sz w:val="16"/>
                <w:szCs w:val="16"/>
                <w:color w:val="auto"/>
              </w:rPr>
              <w:t>Accrued debt issuance costs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3,956</w:t>
            </w:r>
          </w:p>
        </w:tc>
        <w:tc>
          <w:tcPr>
            <w:tcW w:w="1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of businesses and assets: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3"/>
        </w:trPr>
        <w:tc>
          <w:tcPr>
            <w:tcW w:w="5160" w:type="dxa"/>
            <w:vAlign w:val="bottom"/>
          </w:tcPr>
          <w:p>
            <w:pPr>
              <w:ind w:left="480"/>
              <w:spacing w:after="0"/>
              <w:rPr>
                <w:sz w:val="20"/>
                <w:szCs w:val="20"/>
                <w:color w:val="auto"/>
              </w:rPr>
            </w:pPr>
            <w:r>
              <w:rPr>
                <w:rFonts w:ascii="Arial" w:cs="Arial" w:eastAsia="Arial" w:hAnsi="Arial"/>
                <w:sz w:val="16"/>
                <w:szCs w:val="16"/>
                <w:color w:val="auto"/>
              </w:rPr>
              <w:t>Total identifiable net assets acquired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185,415</w:t>
            </w:r>
          </w:p>
        </w:tc>
        <w:tc>
          <w:tcPr>
            <w:tcW w:w="1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6,948</w:t>
            </w:r>
          </w:p>
        </w:tc>
        <w:tc>
          <w:tcPr>
            <w:tcW w:w="1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39,731</w:t>
            </w:r>
          </w:p>
        </w:tc>
      </w:tr>
      <w:tr>
        <w:trPr>
          <w:trHeight w:val="253"/>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Less cash acquired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(33,270)</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r>
      <w:tr>
        <w:trPr>
          <w:trHeight w:val="233"/>
        </w:trPr>
        <w:tc>
          <w:tcPr>
            <w:tcW w:w="5160" w:type="dxa"/>
            <w:vAlign w:val="bottom"/>
          </w:tcPr>
          <w:p>
            <w:pPr>
              <w:ind w:left="480"/>
              <w:spacing w:after="0"/>
              <w:rPr>
                <w:sz w:val="20"/>
                <w:szCs w:val="20"/>
                <w:color w:val="auto"/>
              </w:rPr>
            </w:pPr>
            <w:r>
              <w:rPr>
                <w:rFonts w:ascii="Arial" w:cs="Arial" w:eastAsia="Arial" w:hAnsi="Arial"/>
                <w:sz w:val="16"/>
                <w:szCs w:val="16"/>
                <w:color w:val="auto"/>
              </w:rPr>
              <w:t>Less contingent consideration</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(2,533)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(3,246)</w:t>
            </w:r>
          </w:p>
        </w:tc>
      </w:tr>
      <w:tr>
        <w:trPr>
          <w:trHeight w:val="246"/>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Less fair value of treasury stock issued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(5,584)</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5160" w:type="dxa"/>
            <w:vAlign w:val="bottom"/>
          </w:tcPr>
          <w:p>
            <w:pPr>
              <w:ind w:left="480"/>
              <w:spacing w:after="0"/>
              <w:rPr>
                <w:sz w:val="20"/>
                <w:szCs w:val="20"/>
                <w:color w:val="auto"/>
              </w:rPr>
            </w:pPr>
            <w:r>
              <w:rPr>
                <w:rFonts w:ascii="Arial" w:cs="Arial" w:eastAsia="Arial" w:hAnsi="Arial"/>
                <w:sz w:val="16"/>
                <w:szCs w:val="16"/>
                <w:color w:val="auto"/>
              </w:rPr>
              <w:t>Cash purchase price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144,028</w:t>
            </w:r>
          </w:p>
        </w:tc>
        <w:tc>
          <w:tcPr>
            <w:tcW w:w="1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6,196</w:t>
            </w:r>
          </w:p>
        </w:tc>
        <w:tc>
          <w:tcPr>
            <w:tcW w:w="1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35,769</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248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89" w:lineRule="exact"/>
        <w:rPr>
          <w:sz w:val="20"/>
          <w:szCs w:val="20"/>
          <w:color w:val="auto"/>
        </w:rPr>
      </w:pPr>
    </w:p>
    <w:p>
      <w:pPr>
        <w:jc w:val="both"/>
        <w:ind w:firstLine="324"/>
        <w:spacing w:after="0" w:line="321" w:lineRule="auto"/>
        <w:rPr>
          <w:sz w:val="20"/>
          <w:szCs w:val="20"/>
          <w:color w:val="auto"/>
        </w:rPr>
      </w:pPr>
      <w:r>
        <w:rPr>
          <w:rFonts w:ascii="Arial" w:cs="Arial" w:eastAsia="Arial" w:hAnsi="Arial"/>
          <w:sz w:val="17"/>
          <w:szCs w:val="17"/>
          <w:color w:val="auto"/>
        </w:rPr>
        <w:t>Accel Entertainment, Inc. (and together with its subsidiaries, the “Company” or “Accel”) is a leading distributed gaming operator in the United States. The Company's wholly owned subsidiary, Accel Entertainment Gaming LLC, has been licensed by the State of Illinois Gaming Board (“IGB”) since March 15, 2012 to be a terminal operator in the State of Illinois. Its Illinois terminal operator license allows the Company to install and operate gaming terminals in licensed gaming locations throughout the State of Illinois as approved by individual municipalities. The Illinois terminal operator license, which is not transferable or assignable, requires compliance with applicable regulations and the license is renewable annually unless sooner cancelled or terminated. In July 2020, the Georgia Lottery Corporation approved one of the Company's consolidated subsidiaries as a licensed operator, or Master Licensee, which allows the Company to install and operate coin operated amusement machines for commercial use by the public for play throughout the State of Georgia. The Company also holds a license from the Pennsylvania Gaming Control Board. On December 30, 2021, one of the Company's consolidated subsidiaries acquired amusement and automated teller machines (“ATMs”) operations in Iowa and registered with the Iowa Department of Inspections and Appeals to conduct such operations in Iowa.</w:t>
      </w:r>
    </w:p>
    <w:p>
      <w:pPr>
        <w:spacing w:after="0" w:line="11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On June 1, 2022, the Company acquired Century Gaming, Inc. (“Century”), which is a leading distributed gaming operator in the Montana and Nevada gaming markets. Century is also a manufacturer of gaming terminals in the Montana, Nevada, South Dakota, Louisiana and West Virginia markets. In connection with the acquisition, Accel was granted a two-year terminal operator license by the Nevada Gaming Commission and a manufacturer, distributor and route operator license by the Gambling Control Division of the Montana Department of Justice through June 2023. The Montana license is renewable annually.</w:t>
      </w:r>
    </w:p>
    <w:p>
      <w:pPr>
        <w:spacing w:after="0" w:line="116"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In June 2022, the Company became a licensed distributor of mechanical amusement devices (“MADs”) in Nebraska and commenced operations in this market. The Company also operates redemption terminals, which also function as ATMs at its licensed video gaming locations, and amusement equipment at certain locations.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also subject to various other federal, state and local laws and regulations in addition to gaming regulations.</w:t>
      </w:r>
    </w:p>
    <w:p>
      <w:pPr>
        <w:spacing w:after="0" w:line="212"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7"/>
          <w:szCs w:val="17"/>
          <w:color w:val="auto"/>
        </w:rPr>
        <w:t>On November 20, 2019, TPG Pace Holdings Corp., (“TPG Holdings”) entered into a Transaction Agreement with each of the stockholders of Accel Entertainment, Inc. (“Accel”). Pursuant to the Transaction Agreement and in connection therewith, TPG Holdings acquired, directly or indirectly, all of the issued and outstanding shares of common stock and preferred stock from the Accel stockholders. In connection with the closing of the transaction, TPG Holdings changed its name to Accel Entertainment, Inc. This transaction was accounted for as a reverse recapitalization.</w:t>
      </w:r>
    </w:p>
    <w:p>
      <w:pPr>
        <w:spacing w:after="0" w:line="113" w:lineRule="exact"/>
        <w:rPr>
          <w:sz w:val="20"/>
          <w:szCs w:val="20"/>
          <w:color w:val="auto"/>
        </w:rPr>
      </w:pPr>
    </w:p>
    <w:p>
      <w:pPr>
        <w:jc w:val="both"/>
        <w:ind w:firstLine="324"/>
        <w:spacing w:after="0" w:line="360" w:lineRule="auto"/>
        <w:rPr>
          <w:sz w:val="20"/>
          <w:szCs w:val="20"/>
          <w:color w:val="auto"/>
        </w:rPr>
      </w:pPr>
      <w:r>
        <w:rPr>
          <w:rFonts w:ascii="Arial" w:cs="Arial" w:eastAsia="Arial" w:hAnsi="Arial"/>
          <w:sz w:val="16"/>
          <w:szCs w:val="16"/>
          <w:color w:val="auto"/>
        </w:rPr>
        <w:t>The Company was an emerging growth company ("EGC") under the Jumpstart Our Business Startups Act of 2012 (“JOBS Act”) following the consummation of the merger of TPG Pace Holding Corp. and Accel Entertainment, Inc. The Company elected to use this extended transition period for complying with new or revised accounting standards pursuant to Section 107(b) of the JOBS Act and as a result of this election, its financial statements may not be comparable to companies that comply with public company effective dates. The Company was no longer an EGC effective December 31, 2022.</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the Consolidated Financial Statements</w:t>
      </w:r>
    </w:p>
    <w:p>
      <w:pPr>
        <w:spacing w:after="0" w:line="20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The ongoing COVID-19 outbreak and its related variants are having a significant impact on global markets as a result of prior and current government-mandated business closures, supply chain and production disruptions, workforce restrictions, travel restrictions, reduced consumer spending and sentiment, amongst other factors, which are, individually or in the aggregate, negatively affecting the financial performance, liquidity and cash flow projections of many companies in the United States and abroad.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324"/>
        <w:spacing w:after="0" w:line="322" w:lineRule="auto"/>
        <w:rPr>
          <w:sz w:val="20"/>
          <w:szCs w:val="20"/>
          <w:color w:val="auto"/>
        </w:rPr>
      </w:pPr>
      <w:r>
        <w:rPr>
          <w:rFonts w:ascii="Arial" w:cs="Arial" w:eastAsia="Arial" w:hAnsi="Arial"/>
          <w:sz w:val="17"/>
          <w:szCs w:val="17"/>
          <w:color w:val="auto"/>
        </w:rPr>
        <w:t>In its response to the initial COVID-19 outbreak in 2020, the IGB made the decision to shut down all gaming terminals across the State of Illinois starting at 9:00 p.m. on March 16, 2020 and ultimately extended the shutdown through June 30, 2020. As COVID-19 began a resurgence in the fall of 2020, the virus spread exponentially in every geographical region (currently 11 regions) in the State of Illinois. In response, the IGB suspended all video gaming operations until further notice across the entire state of Illinois starting at 11:01 PM on Thursday November 19, 2020. Video gaming operations resumed in certain regions of the state beginning on January 16, 2021, and fully resumed in all regions on January 23, 2021. Even though video gaming operations resumed across all regions, certain regions still had government-imposed restrictions that, among other things, limited hours of operation and restricted the number of patrons allowed within in the licensed establishments. These temporary shutdowns of Illinois video gaming impacted 148 of the 365 gaming days (or 40% of gaming days) during the year ended December 31, 2020 and 18 of the 365 gaming days (or 5% of gaming days) during the year ended December 31, 2021.</w:t>
      </w:r>
    </w:p>
    <w:p>
      <w:pPr>
        <w:spacing w:after="0" w:line="124"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8"/>
          <w:szCs w:val="18"/>
          <w:color w:val="auto"/>
        </w:rPr>
        <w:t>As a result of these developments, the Company's revenues, results of operations and cash flows for the years ended December 31, 2020 and 2021 were materially affected. The COVID-19 situation is rapidly changing as new variant strains continue to pose a threat to the public health and additional impacts to the business and financial results may arise that the Company is not aware of currently.</w:t>
      </w:r>
    </w:p>
    <w:p>
      <w:pPr>
        <w:spacing w:after="0" w:line="122"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While variants of COVID-19 continue to impact infection rates and the healthcare system, it is possible that the regulating bodies or the states in which the Company operates may order future shutdowns, or a complete suspension of video gaming in the state, or institute stay-at-home, closure or other similar orders or measures in the future in response to COVID-19 and its related variants. If this were to occur, the Company's revenues, results of operations and cash flows could be materially affected and the Company could recognize impairment losses which could be material.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1"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Basis of presentation and preparation</w:t>
      </w:r>
      <w:r>
        <w:rPr>
          <w:rFonts w:ascii="Arial" w:cs="Arial" w:eastAsia="Arial" w:hAnsi="Arial"/>
          <w:sz w:val="18"/>
          <w:szCs w:val="18"/>
          <w:color w:val="auto"/>
        </w:rPr>
        <w:t>: The consolidated financial statements and accompanying notes were prepared in conformity with U.S. GAAP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rules and regulations of the Securities and Exchange Commission (“SEC”). The consolidated financial statements include the accounts of the Company and of its wholly owned subsidiaries. All significant intercompany balances and transactions have been eliminated in consolidation. Certain prior period amounts have been reclassified to conform to the current period presentation.</w:t>
      </w:r>
    </w:p>
    <w:p>
      <w:pPr>
        <w:spacing w:after="0" w:line="108" w:lineRule="exact"/>
        <w:rPr>
          <w:sz w:val="20"/>
          <w:szCs w:val="20"/>
          <w:color w:val="auto"/>
        </w:rPr>
      </w:pPr>
    </w:p>
    <w:p>
      <w:pPr>
        <w:jc w:val="both"/>
        <w:spacing w:after="0" w:line="345"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 The preparation of consolidated financial statements requires management to make estimates and assumptions that affect (i) the reported</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of assets and liabilities, (ii) disclosure of contingent assets and liabilities at the date of the consolidated financial statements and (iii) the reported amounts of revenues and expenses during the reporting period. Actual results could differ from those estimates. Estimates used by the Company include, among other things, the useful lives for depreciable and amortizable assets, income tax provisions, the evaluation of the future realization of deferred tax assets, projected cash flows in assessing the initial valuation of intangible assets in conjunction with business and asset acquisitions, the selection of useful lives for depreciable and amortizable assets in conjunction with business and asset acquisitions, the valuation of level 3 investments, the valuation of contingent earnout shares and warrants, the valuation of interest rate caplets, contingencies, and the expected term of share-based compensation awards and stock price volatility when computing share-based compensation expense. The Company also estimated stock prices prior to the reverse recapitalization discussed in Note 1 when computing share-based compensation expense. Actual results may differ from those estimates.</w:t>
      </w:r>
    </w:p>
    <w:p>
      <w:pPr>
        <w:spacing w:after="0" w:line="104"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 xml:space="preserve">Change in estimate: </w:t>
      </w:r>
      <w:r>
        <w:rPr>
          <w:rFonts w:ascii="Arial" w:cs="Arial" w:eastAsia="Arial" w:hAnsi="Arial"/>
          <w:sz w:val="18"/>
          <w:szCs w:val="18"/>
          <w:color w:val="auto"/>
        </w:rPr>
        <w:t>During the fourth quarter of 2021, the Company conducted a review of its estimate of depreciable lives for its gaming terminals and</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As a result of this review, the Company extended the useful lives of its gaming terminals and equipment from 10 years to 13 years as the equipment is lasting longer than originally estimated. The Company has many gaming terminals and equipment that were purchased when the Company started operations in 2012 that are still being used today.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Also during the fourth quarter of 2021, the Company conducted a review of its estimate of the amortization periods for its route and customer acquisition costs and its location contracts. As a result of this review, the Company extended the amortization period of its route and customer acquisition costs from 12.4 years to 18 years and its location contracts from 10 years to 15 years. In both cases the extended useful lives reflect the Company's strong relationship with its location partners as demonstrated by continued high contract renewal rates.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these changes in estimate for the years ended December 31, 2022 and 2021, was as follows (in thousands):</w:t>
      </w:r>
    </w:p>
    <w:p>
      <w:pPr>
        <w:spacing w:after="0" w:line="325" w:lineRule="exact"/>
        <w:rPr>
          <w:sz w:val="20"/>
          <w:szCs w:val="20"/>
          <w:color w:val="auto"/>
        </w:rPr>
      </w:pPr>
    </w:p>
    <w:tbl>
      <w:tblPr>
        <w:tblLayout w:type="fixed"/>
        <w:tblInd w:w="166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Year ended</w:t>
            </w:r>
          </w:p>
        </w:tc>
        <w:tc>
          <w:tcPr>
            <w:tcW w:w="160" w:type="dxa"/>
            <w:vAlign w:val="bottom"/>
          </w:tcPr>
          <w:p>
            <w:pPr>
              <w:spacing w:after="0"/>
              <w:rPr>
                <w:sz w:val="16"/>
                <w:szCs w:val="16"/>
                <w:color w:val="auto"/>
              </w:rPr>
            </w:pPr>
          </w:p>
        </w:tc>
        <w:tc>
          <w:tcPr>
            <w:tcW w:w="1440" w:type="dxa"/>
            <w:vAlign w:val="bottom"/>
          </w:tcPr>
          <w:p>
            <w:pPr>
              <w:jc w:val="right"/>
              <w:ind w:right="376"/>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2022</w:t>
            </w:r>
          </w:p>
        </w:tc>
        <w:tc>
          <w:tcPr>
            <w:tcW w:w="160" w:type="dxa"/>
            <w:vAlign w:val="bottom"/>
          </w:tcPr>
          <w:p>
            <w:pPr>
              <w:spacing w:after="0"/>
              <w:rPr>
                <w:sz w:val="19"/>
                <w:szCs w:val="19"/>
                <w:color w:val="auto"/>
              </w:rPr>
            </w:pPr>
          </w:p>
        </w:tc>
        <w:tc>
          <w:tcPr>
            <w:tcW w:w="1440" w:type="dxa"/>
            <w:vAlign w:val="bottom"/>
          </w:tcPr>
          <w:p>
            <w:pPr>
              <w:jc w:val="right"/>
              <w:ind w:right="136"/>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39"/>
        </w:trPr>
        <w:tc>
          <w:tcPr>
            <w:tcW w:w="4600" w:type="dxa"/>
            <w:vAlign w:val="bottom"/>
            <w:vMerge w:val="restart"/>
          </w:tcPr>
          <w:p>
            <w:pPr>
              <w:ind w:left="20"/>
              <w:spacing w:after="0"/>
              <w:rPr>
                <w:sz w:val="20"/>
                <w:szCs w:val="20"/>
                <w:color w:val="auto"/>
              </w:rPr>
            </w:pPr>
            <w:r>
              <w:rPr>
                <w:rFonts w:ascii="Arial" w:cs="Arial" w:eastAsia="Arial" w:hAnsi="Arial"/>
                <w:sz w:val="18"/>
                <w:szCs w:val="18"/>
                <w:color w:val="auto"/>
              </w:rPr>
              <w:t>Decrease to depreciation expense</w:t>
            </w: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60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3,685</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to amortization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8,215</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Increase to 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8,511</w:t>
            </w: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to net income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4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spacing w:after="0" w:line="307" w:lineRule="auto"/>
        <w:rPr>
          <w:sz w:val="20"/>
          <w:szCs w:val="20"/>
          <w:color w:val="auto"/>
        </w:rPr>
      </w:pPr>
      <w:r>
        <w:rPr>
          <w:rFonts w:ascii="Arial" w:cs="Arial" w:eastAsia="Arial" w:hAnsi="Arial"/>
          <w:sz w:val="18"/>
          <w:szCs w:val="18"/>
          <w:b w:val="1"/>
          <w:bCs w:val="1"/>
          <w:color w:val="auto"/>
        </w:rPr>
        <w:t>Segment information</w:t>
      </w:r>
      <w:r>
        <w:rPr>
          <w:rFonts w:ascii="Arial" w:cs="Arial" w:eastAsia="Arial" w:hAnsi="Arial"/>
          <w:sz w:val="18"/>
          <w:szCs w:val="18"/>
          <w:color w:val="auto"/>
        </w:rPr>
        <w:t>: The Company operates as a single operating segment. The Company’s chief operating decision maker (“CODM”) is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who has ultimate responsibility for the operating performance of the Company and the allocation of resources. The CODM assesses the Company’s performance and allocates resources based on consolidated results, and this is the only discrete financial information that is regularly reviewed by the CODM.</w:t>
      </w:r>
    </w:p>
    <w:p>
      <w:pPr>
        <w:spacing w:after="0" w:line="115" w:lineRule="exact"/>
        <w:rPr>
          <w:sz w:val="20"/>
          <w:szCs w:val="20"/>
          <w:color w:val="auto"/>
        </w:rPr>
      </w:pPr>
    </w:p>
    <w:p>
      <w:pPr>
        <w:jc w:val="both"/>
        <w:spacing w:after="0" w:line="344"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 Cash and cash equivalents include bank deposit accounts; term bank deposit accounts; cash in the Company’s gaming</w:t>
      </w:r>
      <w:r>
        <w:rPr>
          <w:rFonts w:ascii="Arial" w:cs="Arial" w:eastAsia="Arial" w:hAnsi="Arial"/>
          <w:sz w:val="18"/>
          <w:szCs w:val="18"/>
          <w:b w:val="1"/>
          <w:bCs w:val="1"/>
          <w:color w:val="auto"/>
        </w:rPr>
        <w:t xml:space="preserve"> </w:t>
      </w:r>
      <w:r>
        <w:rPr>
          <w:rFonts w:ascii="Arial" w:cs="Arial" w:eastAsia="Arial" w:hAnsi="Arial"/>
          <w:sz w:val="18"/>
          <w:szCs w:val="18"/>
          <w:color w:val="auto"/>
        </w:rPr>
        <w:t>terminals, ATMs, redemption terminals, and Company vaults.</w:t>
      </w:r>
    </w:p>
    <w:p>
      <w:pPr>
        <w:spacing w:after="0" w:line="72" w:lineRule="exact"/>
        <w:rPr>
          <w:sz w:val="20"/>
          <w:szCs w:val="20"/>
          <w:color w:val="auto"/>
        </w:rPr>
      </w:pPr>
    </w:p>
    <w:p>
      <w:pPr>
        <w:jc w:val="both"/>
        <w:spacing w:after="0" w:line="374" w:lineRule="auto"/>
        <w:rPr>
          <w:sz w:val="20"/>
          <w:szCs w:val="20"/>
          <w:color w:val="auto"/>
        </w:rPr>
      </w:pPr>
      <w:r>
        <w:rPr>
          <w:rFonts w:ascii="Arial" w:cs="Arial" w:eastAsia="Arial" w:hAnsi="Arial"/>
          <w:sz w:val="17"/>
          <w:szCs w:val="17"/>
          <w:color w:val="auto"/>
        </w:rPr>
        <w:t>The Company’s policy is to limit the amount of credit exposure to any one financial institution. The Company maintains its cash in accounts which may at times exceed Federal Deposit Insurance Corporation insured limits. The Company has not experienced any losses in such accounts.</w:t>
      </w:r>
    </w:p>
    <w:p>
      <w:pPr>
        <w:spacing w:after="0" w:line="75" w:lineRule="exact"/>
        <w:rPr>
          <w:sz w:val="20"/>
          <w:szCs w:val="20"/>
          <w:color w:val="auto"/>
        </w:rPr>
      </w:pPr>
    </w:p>
    <w:p>
      <w:pPr>
        <w:jc w:val="both"/>
        <w:spacing w:after="0" w:line="351" w:lineRule="auto"/>
        <w:rPr>
          <w:sz w:val="20"/>
          <w:szCs w:val="20"/>
          <w:color w:val="auto"/>
        </w:rPr>
      </w:pPr>
      <w:r>
        <w:rPr>
          <w:rFonts w:ascii="Arial" w:cs="Arial" w:eastAsia="Arial" w:hAnsi="Arial"/>
          <w:sz w:val="16"/>
          <w:szCs w:val="16"/>
          <w:b w:val="1"/>
          <w:bCs w:val="1"/>
          <w:color w:val="auto"/>
        </w:rPr>
        <w:t>Accounts receivable</w:t>
      </w:r>
      <w:r>
        <w:rPr>
          <w:rFonts w:ascii="Arial" w:cs="Arial" w:eastAsia="Arial" w:hAnsi="Arial"/>
          <w:sz w:val="16"/>
          <w:szCs w:val="16"/>
          <w:color w:val="auto"/>
        </w:rPr>
        <w:t>: Accounts receivable represent amounts due from third-party locations serviced by the Company and amounts due for machines,</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and equipment sold by the Company. The carrying amount of receivables is reduced by a valuation allowance that reflects management’s best estimate of the amounts that will not be collected. Management determines the allowance by regularly evaluating individual receivables from third-party locations and considering a customer’s financial condition, credit history and current economic conditions. The Company's allowance for doubtful accounts was $0.1 million as of December 31, 2022. The Company generally does not charge interest on past due accounts receivable.</w:t>
      </w:r>
    </w:p>
    <w:p>
      <w:pPr>
        <w:spacing w:after="0" w:line="113"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Inventories</w:t>
      </w:r>
      <w:r>
        <w:rPr>
          <w:rFonts w:ascii="Arial" w:cs="Arial" w:eastAsia="Arial" w:hAnsi="Arial"/>
          <w:sz w:val="18"/>
          <w:szCs w:val="18"/>
          <w:color w:val="auto"/>
        </w:rPr>
        <w:t>: Inventories consist of gaming machines for sale to third-parties, raw materials, and manufacturing supplies. Inventories are stated at the lower</w:t>
      </w:r>
      <w:r>
        <w:rPr>
          <w:rFonts w:ascii="Arial" w:cs="Arial" w:eastAsia="Arial" w:hAnsi="Arial"/>
          <w:sz w:val="18"/>
          <w:szCs w:val="18"/>
          <w:b w:val="1"/>
          <w:bCs w:val="1"/>
          <w:color w:val="auto"/>
        </w:rPr>
        <w:t xml:space="preserve"> </w:t>
      </w:r>
      <w:r>
        <w:rPr>
          <w:rFonts w:ascii="Arial" w:cs="Arial" w:eastAsia="Arial" w:hAnsi="Arial"/>
          <w:sz w:val="18"/>
          <w:szCs w:val="18"/>
          <w:color w:val="auto"/>
        </w:rPr>
        <w:t>of cost and net realizable value. Cost is determined using the average cost method. Labor and overhead associated with the assembly of gaming machines for sales to third-parties are capitalized and allocated to inventory.</w:t>
      </w:r>
    </w:p>
    <w:p>
      <w:pPr>
        <w:spacing w:after="0" w:line="122"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Derivative instruments</w:t>
      </w:r>
      <w:r>
        <w:rPr>
          <w:rFonts w:ascii="Arial" w:cs="Arial" w:eastAsia="Arial" w:hAnsi="Arial"/>
          <w:sz w:val="18"/>
          <w:szCs w:val="18"/>
          <w:color w:val="auto"/>
        </w:rPr>
        <w:t>: The Company may manage its exposure to certain financial risks through the use of derivative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(“derivatives”). The Company does not use derivatives for speculative purposes. For a derivative that is designated as a cash flow hedge, changes in the fair value of the derivative are recognized in accumulated other comprehensive income to the extent the derivative is effective at offsetting the changes in the cash flows being hedged until the hedged item affects earnings.</w:t>
      </w:r>
    </w:p>
    <w:p>
      <w:pPr>
        <w:spacing w:after="0" w:line="122"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Investment in convertible notes</w:t>
      </w:r>
      <w:r>
        <w:rPr>
          <w:rFonts w:ascii="Arial" w:cs="Arial" w:eastAsia="Arial" w:hAnsi="Arial"/>
          <w:sz w:val="18"/>
          <w:szCs w:val="18"/>
          <w:color w:val="auto"/>
        </w:rPr>
        <w:t>: At acquisition, an entity shall classify debt securities as trading, available-for-sale, or held-to-maturity. While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has no the intention of selling the convertible notes, it cannot classify them as held-to-maturity due to the conversion feature. Therefore, the Company has classified its investment in convertible notes as available for sale.</w:t>
      </w:r>
    </w:p>
    <w:p>
      <w:pPr>
        <w:spacing w:after="0" w:line="108" w:lineRule="exact"/>
        <w:rPr>
          <w:sz w:val="20"/>
          <w:szCs w:val="20"/>
          <w:color w:val="auto"/>
        </w:rPr>
      </w:pPr>
    </w:p>
    <w:p>
      <w:pPr>
        <w:jc w:val="both"/>
        <w:spacing w:after="0" w:line="329"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 Property and equipment are stated at cost or fair value at the date of acquisition. Maintenance and repairs are charged to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as incurred. Major additions, replacements and improvements are capitalized. Spare parts are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included in other current assets when acquired and are expensed when used to repair equipment. Depreciation has been computed using the straight-line method over the following estimated useful lives:</w:t>
      </w:r>
    </w:p>
    <w:p>
      <w:pPr>
        <w:spacing w:after="0" w:line="67" w:lineRule="exact"/>
        <w:rPr>
          <w:sz w:val="20"/>
          <w:szCs w:val="20"/>
          <w:color w:val="auto"/>
        </w:rPr>
      </w:pPr>
    </w:p>
    <w:tbl>
      <w:tblPr>
        <w:tblLayout w:type="fixed"/>
        <w:tblInd w:w="102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1140" w:type="dxa"/>
            <w:vAlign w:val="bottom"/>
          </w:tcPr>
          <w:p>
            <w:pPr>
              <w:ind w:left="380"/>
              <w:spacing w:after="0"/>
              <w:rPr>
                <w:sz w:val="20"/>
                <w:szCs w:val="20"/>
                <w:color w:val="auto"/>
              </w:rPr>
            </w:pPr>
            <w:r>
              <w:rPr>
                <w:rFonts w:ascii="Arial" w:cs="Arial" w:eastAsia="Arial" w:hAnsi="Arial"/>
                <w:sz w:val="14"/>
                <w:szCs w:val="14"/>
                <w:b w:val="1"/>
                <w:bCs w:val="1"/>
                <w:color w:val="auto"/>
              </w:rPr>
              <w:t>Years</w:t>
            </w:r>
          </w:p>
        </w:tc>
      </w:tr>
      <w:tr>
        <w:trPr>
          <w:trHeight w:val="39"/>
        </w:trPr>
        <w:tc>
          <w:tcPr>
            <w:tcW w:w="80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8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Gaming terminals and equipment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w:t>
            </w:r>
          </w:p>
        </w:tc>
      </w:tr>
      <w:tr>
        <w:trPr>
          <w:trHeight w:val="297"/>
        </w:trPr>
        <w:tc>
          <w:tcPr>
            <w:tcW w:w="8080" w:type="dxa"/>
            <w:vAlign w:val="bottom"/>
          </w:tcPr>
          <w:p>
            <w:pPr>
              <w:ind w:left="20"/>
              <w:spacing w:after="0"/>
              <w:rPr>
                <w:sz w:val="20"/>
                <w:szCs w:val="20"/>
                <w:color w:val="auto"/>
              </w:rPr>
            </w:pPr>
            <w:r>
              <w:rPr>
                <w:rFonts w:ascii="Arial" w:cs="Arial" w:eastAsia="Arial" w:hAnsi="Arial"/>
                <w:sz w:val="18"/>
                <w:szCs w:val="18"/>
                <w:color w:val="auto"/>
              </w:rPr>
              <w:t>Amusement and other equipment</w:t>
            </w: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7"/>
        </w:trPr>
        <w:tc>
          <w:tcPr>
            <w:tcW w:w="8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0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equipment and furniture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r>
      <w:tr>
        <w:trPr>
          <w:trHeight w:val="297"/>
        </w:trPr>
        <w:tc>
          <w:tcPr>
            <w:tcW w:w="808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3-5</w:t>
            </w:r>
          </w:p>
        </w:tc>
      </w:tr>
      <w:tr>
        <w:trPr>
          <w:trHeight w:val="27"/>
        </w:trPr>
        <w:tc>
          <w:tcPr>
            <w:tcW w:w="8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Leasehold improvements </w:t>
            </w:r>
            <w:r>
              <w:rPr>
                <w:rFonts w:ascii="Arial" w:cs="Arial" w:eastAsia="Arial" w:hAnsi="Arial"/>
                <w:sz w:val="23"/>
                <w:szCs w:val="23"/>
                <w:color w:val="auto"/>
                <w:vertAlign w:val="superscript"/>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97"/>
        </w:trPr>
        <w:tc>
          <w:tcPr>
            <w:tcW w:w="8080" w:type="dxa"/>
            <w:vAlign w:val="bottom"/>
          </w:tcPr>
          <w:p>
            <w:pPr>
              <w:ind w:left="20"/>
              <w:spacing w:after="0"/>
              <w:rPr>
                <w:sz w:val="20"/>
                <w:szCs w:val="20"/>
                <w:color w:val="auto"/>
              </w:rPr>
            </w:pPr>
            <w:r>
              <w:rPr>
                <w:rFonts w:ascii="Arial" w:cs="Arial" w:eastAsia="Arial" w:hAnsi="Arial"/>
                <w:sz w:val="18"/>
                <w:szCs w:val="18"/>
                <w:color w:val="auto"/>
              </w:rPr>
              <w:t>Vehicles</w:t>
            </w: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7"/>
        </w:trPr>
        <w:tc>
          <w:tcPr>
            <w:tcW w:w="80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15-29</w:t>
            </w:r>
          </w:p>
        </w:tc>
      </w:tr>
      <w:tr>
        <w:trPr>
          <w:trHeight w:val="27"/>
        </w:trPr>
        <w:tc>
          <w:tcPr>
            <w:tcW w:w="80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Leasehold improvements are amortized over the shorter of the useful life or the lease.</w:t>
      </w:r>
    </w:p>
    <w:p>
      <w:pPr>
        <w:spacing w:after="0" w:line="198"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Development costs directly associated with the acquisition, development and construction of a project are capitalized as a cost of the project during the periods in which activities necessary to prepare the property for its intended use are in progress. Interest costs associated with major construction projects are capitalized as part of the cost of the constructed assets. When no debt is incurred specifically for a project, interest is capitalized on amounts expended for the project using the weighted-average cost of borrowing. Capitalization of interest ceases when the project (or discernible portions of the project) is substantially complete. If substantially all of the construction activities of a project are suspended, capitalization of interest will cease until such activities are resumed.</w:t>
      </w:r>
    </w:p>
    <w:p>
      <w:pPr>
        <w:spacing w:after="0" w:line="119" w:lineRule="exact"/>
        <w:rPr>
          <w:sz w:val="20"/>
          <w:szCs w:val="20"/>
          <w:color w:val="auto"/>
        </w:rPr>
      </w:pPr>
    </w:p>
    <w:p>
      <w:pPr>
        <w:jc w:val="both"/>
        <w:spacing w:after="0" w:line="367" w:lineRule="auto"/>
        <w:rPr>
          <w:sz w:val="20"/>
          <w:szCs w:val="20"/>
          <w:color w:val="auto"/>
        </w:rPr>
      </w:pPr>
      <w:r>
        <w:rPr>
          <w:rFonts w:ascii="Arial" w:cs="Arial" w:eastAsia="Arial" w:hAnsi="Arial"/>
          <w:sz w:val="16"/>
          <w:szCs w:val="16"/>
          <w:b w:val="1"/>
          <w:bCs w:val="1"/>
          <w:color w:val="auto"/>
        </w:rPr>
        <w:t>Concentration of credit risk</w:t>
      </w:r>
      <w:r>
        <w:rPr>
          <w:rFonts w:ascii="Arial" w:cs="Arial" w:eastAsia="Arial" w:hAnsi="Arial"/>
          <w:sz w:val="16"/>
          <w:szCs w:val="16"/>
          <w:color w:val="auto"/>
        </w:rPr>
        <w:t>: The Company’s operations are centralized primarily in Illinois, Montana and Nevada. Should there be favorable or</w:t>
      </w:r>
      <w:r>
        <w:rPr>
          <w:rFonts w:ascii="Arial" w:cs="Arial" w:eastAsia="Arial" w:hAnsi="Arial"/>
          <w:sz w:val="16"/>
          <w:szCs w:val="16"/>
          <w:b w:val="1"/>
          <w:bCs w:val="1"/>
          <w:color w:val="auto"/>
        </w:rPr>
        <w:t xml:space="preserve"> </w:t>
      </w:r>
      <w:r>
        <w:rPr>
          <w:rFonts w:ascii="Arial" w:cs="Arial" w:eastAsia="Arial" w:hAnsi="Arial"/>
          <w:sz w:val="16"/>
          <w:szCs w:val="16"/>
          <w:color w:val="auto"/>
        </w:rPr>
        <w:t>unfavorable changes to the gaming regulations in these states there may be an impact on the Company’s results of operations. The Company has high concentrations of locations within certain municipalities in Illinois which could impact the Company if these municipalities change their gaming laws.</w:t>
      </w:r>
    </w:p>
    <w:p>
      <w:pPr>
        <w:spacing w:after="0" w:line="74" w:lineRule="exact"/>
        <w:rPr>
          <w:sz w:val="20"/>
          <w:szCs w:val="20"/>
          <w:color w:val="auto"/>
        </w:rPr>
      </w:pPr>
    </w:p>
    <w:p>
      <w:pPr>
        <w:jc w:val="both"/>
        <w:ind w:right="20"/>
        <w:spacing w:after="0" w:line="362" w:lineRule="auto"/>
        <w:rPr>
          <w:sz w:val="20"/>
          <w:szCs w:val="20"/>
          <w:color w:val="auto"/>
        </w:rPr>
      </w:pPr>
      <w:r>
        <w:rPr>
          <w:rFonts w:ascii="Arial" w:cs="Arial" w:eastAsia="Arial" w:hAnsi="Arial"/>
          <w:sz w:val="17"/>
          <w:szCs w:val="17"/>
          <w:b w:val="1"/>
          <w:bCs w:val="1"/>
          <w:color w:val="auto"/>
        </w:rPr>
        <w:t>Fair value of financial instruments</w:t>
      </w:r>
      <w:r>
        <w:rPr>
          <w:rFonts w:ascii="Arial" w:cs="Arial" w:eastAsia="Arial" w:hAnsi="Arial"/>
          <w:sz w:val="17"/>
          <w:szCs w:val="17"/>
          <w:color w:val="auto"/>
        </w:rPr>
        <w:t>: The Company’s financial instruments consist principally of cash, convertibles notes, accounts payable, route and</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 acquisition costs payable, contingent consideration, contingent earnout shares liability, interest rate caplets, and bank indebtedness.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 of cash, accounts payable and short-term borrowings approximates fair value because of the short-term maturity of these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Company estimates the fair value of its investment in convertible notes based on Level 3 inputs.</w:t>
      </w:r>
    </w:p>
    <w:p>
      <w:pPr>
        <w:spacing w:after="0" w:line="198" w:lineRule="exact"/>
        <w:rPr>
          <w:sz w:val="20"/>
          <w:szCs w:val="20"/>
          <w:color w:val="auto"/>
        </w:rPr>
      </w:pPr>
    </w:p>
    <w:p>
      <w:pPr>
        <w:jc w:val="both"/>
        <w:spacing w:after="0" w:line="395" w:lineRule="auto"/>
        <w:rPr>
          <w:sz w:val="20"/>
          <w:szCs w:val="20"/>
          <w:color w:val="auto"/>
        </w:rPr>
      </w:pPr>
      <w:r>
        <w:rPr>
          <w:rFonts w:ascii="Arial" w:cs="Arial" w:eastAsia="Arial" w:hAnsi="Arial"/>
          <w:sz w:val="16"/>
          <w:szCs w:val="16"/>
          <w:color w:val="auto"/>
        </w:rPr>
        <w:t>The Company estimates the fair value of the interest rate caplets using quotes that are based on models whose inputs are observable LIBOR forward interest rate curves. The valuation of the interest rate caplets is considered to be a Level 2 fair value measurement as the significant inputs are observable.</w:t>
      </w:r>
    </w:p>
    <w:p>
      <w:pPr>
        <w:spacing w:after="0" w:line="5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The Company estimates the fair value of its debt using level two and level three inputs by discounting the future cash flows using current interest rates at which it could obtain similar borrowings in consideration of the estimated enterprise value of the Company.</w:t>
      </w:r>
    </w:p>
    <w:p>
      <w:pPr>
        <w:spacing w:after="0" w:line="10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Contingent consideration, which is recorded within consideration payable on the accompanying consolidated balance sheets, is measured at fair value on a recurring basis based on Level 3 inputs.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contingent earnout shares liability and warrant liability is measured at fair value on a recurring basis based on Level 2 inputs.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For further discussion on how the Company determines the fair value of its investment in convertible notes, interest rate caplets, contingent consideration, contingent earnout shares and warrants, see Note 13.</w:t>
      </w:r>
    </w:p>
    <w:p>
      <w:pPr>
        <w:spacing w:after="0" w:line="99" w:lineRule="exact"/>
        <w:rPr>
          <w:sz w:val="20"/>
          <w:szCs w:val="20"/>
          <w:color w:val="auto"/>
        </w:rPr>
      </w:pPr>
    </w:p>
    <w:p>
      <w:pPr>
        <w:jc w:val="both"/>
        <w:spacing w:after="0" w:line="307"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 The Company generates revenues from the following types of services: gaming terminals, amusements and ATMs.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also generates manufacturing revenue from the sales of gaming terminals and associated software by Grand Vision Gaming, a wholly-owned subsidiary of Century, which is a designer and manufacturer of gaming terminals. Revenue is disaggregated by type of revenue and is presented on the face of the consolidated statements of operations and comprehensive income (loss).</w:t>
      </w:r>
    </w:p>
    <w:p>
      <w:pPr>
        <w:spacing w:after="0" w:line="119"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Net gaming revenue is the net cash from gaming activities, which is the difference between gaming wins and losses. Net gaming revenue includes the amounts earned by the gaming locations and is recognized at the time of gaming play. Additionally, taxes and administrative expenses due to the states in which the Company operates are recorded as net gaming revenue. Amounts earned by the gaming locations and taxes and administrative expenses are also included in cost of revenue.</w:t>
      </w:r>
    </w:p>
    <w:p>
      <w:pPr>
        <w:spacing w:after="0" w:line="115"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Amusement revenue represents amounts collected from machines (e.g. dart boards, digital jukeboxes, pool tables, etc.) operated at various locations and is recognized at the time the machine is used.</w:t>
      </w:r>
    </w:p>
    <w:p>
      <w:pPr>
        <w:spacing w:after="0" w:line="116"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color w:val="auto"/>
        </w:rPr>
        <w:t>Manufacturing revenue represents the sale of gaming terminals and associated software and is recognized at the time the goods are delivered to the customer.</w:t>
      </w:r>
    </w:p>
    <w:p>
      <w:pPr>
        <w:spacing w:after="0" w:line="10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ATM fees and other revenue represents fees charged for the withdrawal of funds from the Company’s redemption terminals and stand-alone ATM machines and is recognized at the time of the transaction.</w:t>
      </w:r>
    </w:p>
    <w:p>
      <w:pPr>
        <w:spacing w:after="0" w:line="116"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The Company determined that in a gaming environment, whenever a customer’s money has been accepted by a machine, the Company has an obligation (an implied contract) to provide the customer access to the game and honor the outcome of the game (in the case of gaming terminals). The Company determined that when the implied contract is entered into between the Company and the customer, it satisfies the requirements of a contract under the revenue standard, as (i) the contract is a legally enforceable contract with the customer, (ii) the arrangement identifies the rights of the parties, (iii) the contract has commercial substance, and (iv) the cash is received upfront from the customer, so its collectability is probable. The gaming service is a single performance obligation in each implied contract with the customer. The Company applies the portfolio approach of all wins and losses by gaming terminals daily to determine the total transaction price of the portfolio of implied contracts. The Company recognizes revenue when the single performance obligation is satisfied, which is at the completion of each game.</w:t>
      </w:r>
    </w:p>
    <w:p>
      <w:pPr>
        <w:spacing w:after="0" w:line="123"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color w:val="auto"/>
        </w:rPr>
        <w:t>Total net revenues for the years ended December 31 is disaggregated in the following table by the primary states in which the Company operates given the geographic economic factors that affect the revenues in the states.</w:t>
      </w:r>
    </w:p>
    <w:p>
      <w:pPr>
        <w:spacing w:after="0" w:line="139"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7"/>
        </w:trPr>
        <w:tc>
          <w:tcPr>
            <w:tcW w:w="3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revenues by state:</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3560" w:type="dxa"/>
            <w:vAlign w:val="bottom"/>
          </w:tcPr>
          <w:p>
            <w:pPr>
              <w:ind w:left="200"/>
              <w:spacing w:after="0"/>
              <w:rPr>
                <w:sz w:val="20"/>
                <w:szCs w:val="20"/>
                <w:color w:val="auto"/>
              </w:rPr>
            </w:pPr>
            <w:r>
              <w:rPr>
                <w:rFonts w:ascii="Arial" w:cs="Arial" w:eastAsia="Arial" w:hAnsi="Arial"/>
                <w:sz w:val="18"/>
                <w:szCs w:val="18"/>
                <w:color w:val="auto"/>
              </w:rPr>
              <w:t>Illinois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808,652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730,244</w:t>
            </w:r>
          </w:p>
        </w:tc>
        <w:tc>
          <w:tcPr>
            <w:tcW w:w="1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316,352</w:t>
            </w:r>
          </w:p>
        </w:tc>
      </w:tr>
      <w:tr>
        <w:trPr>
          <w:trHeight w:val="27"/>
        </w:trPr>
        <w:tc>
          <w:tcPr>
            <w:tcW w:w="3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Montana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tcPr>
          <w:p>
            <w:pPr>
              <w:ind w:left="200"/>
              <w:spacing w:after="0"/>
              <w:rPr>
                <w:sz w:val="20"/>
                <w:szCs w:val="20"/>
                <w:color w:val="auto"/>
              </w:rPr>
            </w:pPr>
            <w:r>
              <w:rPr>
                <w:rFonts w:ascii="Arial" w:cs="Arial" w:eastAsia="Arial" w:hAnsi="Arial"/>
                <w:sz w:val="18"/>
                <w:szCs w:val="18"/>
                <w:color w:val="auto"/>
              </w:rPr>
              <w:t>Nevada</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66,989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560" w:type="dxa"/>
            <w:vAlign w:val="bottom"/>
          </w:tcPr>
          <w:p>
            <w:pPr>
              <w:ind w:left="440"/>
              <w:spacing w:after="0"/>
              <w:rPr>
                <w:sz w:val="20"/>
                <w:szCs w:val="20"/>
                <w:color w:val="auto"/>
              </w:rPr>
            </w:pPr>
            <w:r>
              <w:rPr>
                <w:rFonts w:ascii="Arial" w:cs="Arial" w:eastAsia="Arial" w:hAnsi="Arial"/>
                <w:sz w:val="18"/>
                <w:szCs w:val="18"/>
                <w:color w:val="auto"/>
              </w:rPr>
              <w:t>Total net revenues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969,797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734,707</w:t>
            </w:r>
          </w:p>
        </w:tc>
        <w:tc>
          <w:tcPr>
            <w:tcW w:w="16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316,352</w:t>
            </w:r>
          </w:p>
        </w:tc>
      </w:tr>
      <w:tr>
        <w:trPr>
          <w:trHeight w:val="27"/>
        </w:trPr>
        <w:tc>
          <w:tcPr>
            <w:tcW w:w="3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
        </w:trPr>
        <w:tc>
          <w:tcPr>
            <w:tcW w:w="3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309" w:lineRule="auto"/>
        <w:rPr>
          <w:sz w:val="20"/>
          <w:szCs w:val="20"/>
          <w:color w:val="auto"/>
        </w:rPr>
      </w:pPr>
      <w:r>
        <w:rPr>
          <w:rFonts w:ascii="Arial" w:cs="Arial" w:eastAsia="Arial" w:hAnsi="Arial"/>
          <w:sz w:val="18"/>
          <w:szCs w:val="18"/>
          <w:b w:val="1"/>
          <w:bCs w:val="1"/>
          <w:color w:val="auto"/>
        </w:rPr>
        <w:t>Route and customer acquisition costs</w:t>
      </w:r>
      <w:r>
        <w:rPr>
          <w:rFonts w:ascii="Arial" w:cs="Arial" w:eastAsia="Arial" w:hAnsi="Arial"/>
          <w:sz w:val="18"/>
          <w:szCs w:val="18"/>
          <w:color w:val="auto"/>
        </w:rPr>
        <w:t>: The Company’s route and customer acquisition costs consist of fees paid at the inception of contracts entered into</w:t>
      </w:r>
      <w:r>
        <w:rPr>
          <w:rFonts w:ascii="Arial" w:cs="Arial" w:eastAsia="Arial" w:hAnsi="Arial"/>
          <w:sz w:val="18"/>
          <w:szCs w:val="18"/>
          <w:b w:val="1"/>
          <w:bCs w:val="1"/>
          <w:color w:val="auto"/>
        </w:rPr>
        <w:t xml:space="preserve"> </w:t>
      </w:r>
      <w:r>
        <w:rPr>
          <w:rFonts w:ascii="Arial" w:cs="Arial" w:eastAsia="Arial" w:hAnsi="Arial"/>
          <w:sz w:val="18"/>
          <w:szCs w:val="18"/>
          <w:color w:val="auto"/>
        </w:rPr>
        <w:t>with third parties and its gaming locations to install and operate gaming terminals. The route and customer acquisition costs and route and customer acquisition costs payable are recorded at the net present value of the future payments using a discount rate equal to the Company’s incremental borrowing rate associated with its long-term debt. Route and customer acquisition costs are amortized on a straight-line basis over 18 years beginning on the date the location goes live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amortized over the life of the contract, which includes expected renewals. The Company records the accretion of interest on route and customer acquisitions costs payable in the consolidated statements of operations and comprehensive income (loss) as a component of interest expense. For locations that close prior to the end of the contractual term, the Company writes-off the net book value of the route and customer acquisition cost and route and customer acquisition cost payable and records a gain or loss in the consolidated statements of operations and comprehensive income (loss) as a component of other expenses, net. The Company’s route and customer acquisition costs also consists of prepaid commission costs to the Company's internal sales force of employees. The commissions paid to internal sales employees are subsequently expensed once the respective gaming location goes live and the commission is earned by the employee.</w:t>
      </w:r>
    </w:p>
    <w:p>
      <w:pPr>
        <w:spacing w:after="0" w:line="118" w:lineRule="exact"/>
        <w:rPr>
          <w:sz w:val="20"/>
          <w:szCs w:val="20"/>
          <w:color w:val="auto"/>
        </w:rPr>
      </w:pPr>
    </w:p>
    <w:p>
      <w:pPr>
        <w:jc w:val="both"/>
        <w:spacing w:after="0" w:line="323" w:lineRule="auto"/>
        <w:rPr>
          <w:sz w:val="20"/>
          <w:szCs w:val="20"/>
          <w:color w:val="auto"/>
        </w:rPr>
      </w:pPr>
      <w:r>
        <w:rPr>
          <w:rFonts w:ascii="Arial" w:cs="Arial" w:eastAsia="Arial" w:hAnsi="Arial"/>
          <w:sz w:val="17"/>
          <w:szCs w:val="17"/>
          <w:b w:val="1"/>
          <w:bCs w:val="1"/>
          <w:color w:val="auto"/>
        </w:rPr>
        <w:t>Business acquisitions</w:t>
      </w:r>
      <w:r>
        <w:rPr>
          <w:rFonts w:ascii="Arial" w:cs="Arial" w:eastAsia="Arial" w:hAnsi="Arial"/>
          <w:sz w:val="17"/>
          <w:szCs w:val="17"/>
          <w:color w:val="auto"/>
        </w:rPr>
        <w:t>: The Company evaluates the inputs, processes and outputs of each business acquisition to determine if the transaction is a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or asset acquisition. If an acquisition qualifies as a business combination, the related transaction costs are recorded as an expense in the consolidated statements of operations and comprehensive income (loss). If an acquisition qualifies as an asset acquisition, the related transaction costs are generally capitalized and amortized over the useful life of the acquired assets. The Company accounts for acquisitions that meet the definition of a business combination using the acquisition method of accounting. Acquired tangible personal property such as gaming equipment is generally measured at fair value using a cost approach which measures the fair value based on the cost to reproduce or replace the asset. Location contract intangibles, which represent the acquisition-date fair value of the preexisting relationships between the acquired company and gaming locations, are generally measured at fair value using an income approach which measures the fair value based on the estimated future cash flows using certain projected financial information such as revenue projections, cost of revenue margins and other assumptions such as discount rates.Any contingent consideration is measured at its fair value on the acquisition date, recorded as a liability and accreted over its payment term in Accel’s consolidated statements of operations and comprehensive income (loss) as other expenses, net.</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8"/>
          <w:szCs w:val="18"/>
          <w:b w:val="1"/>
          <w:bCs w:val="1"/>
          <w:color w:val="auto"/>
        </w:rPr>
        <w:t>Location contracts acquired</w:t>
      </w:r>
      <w:r>
        <w:rPr>
          <w:rFonts w:ascii="Arial" w:cs="Arial" w:eastAsia="Arial" w:hAnsi="Arial"/>
          <w:sz w:val="18"/>
          <w:szCs w:val="18"/>
          <w:color w:val="auto"/>
        </w:rPr>
        <w:t>: Location contracts acquired are accounted for as intangible assets and consist of expected cash flows to be generated from</w:t>
      </w:r>
      <w:r>
        <w:rPr>
          <w:rFonts w:ascii="Arial" w:cs="Arial" w:eastAsia="Arial" w:hAnsi="Arial"/>
          <w:sz w:val="18"/>
          <w:szCs w:val="18"/>
          <w:b w:val="1"/>
          <w:bCs w:val="1"/>
          <w:color w:val="auto"/>
        </w:rPr>
        <w:t xml:space="preserve"> </w:t>
      </w:r>
      <w:r>
        <w:rPr>
          <w:rFonts w:ascii="Arial" w:cs="Arial" w:eastAsia="Arial" w:hAnsi="Arial"/>
          <w:sz w:val="18"/>
          <w:szCs w:val="18"/>
          <w:color w:val="auto"/>
        </w:rPr>
        <w:t>location contracts acquired through business and asset acquisitions. Location contracts acquired are amortized on a straight-line basis over the expected useful life of primarily 15 years. Location contracts are tested for impairment when triggering events occur. If a triggering event were to occur, the Company compares the carrying amount of the location contracts to future undiscounted cash flows. If the value of future undiscounted cash flows is less than the carrying amount of an asset group, an impairment loss is recorded based on the excess of the carrying amount over the fair value of the asset group.</w:t>
      </w:r>
    </w:p>
    <w:p>
      <w:pPr>
        <w:spacing w:after="0" w:line="118"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Goodwill represents the difference between the purchase price and the fair value of the identifiable tangible and intangible net assets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when accounted for using the acquisition method of accounting. Goodwill is reviewed for impairment annually, as of October 1st, and whenever events or changes in circumstances indicate that the carrying value of the goodwill may not be recoverable. When performing the annual goodwill impairment test, the Company conducts a qualitative assessment to determine whether it is more likely than not that the goodwill is impaired. Under the qualitative assessment, the Company considers both positive and negative factors, including macroeconomic conditions, industry events, financial performance, and makes a determination of whether it is more likely than not that the fair value of the goodwill is less than its carrying amount. If, after assessing the qualitative factors, the Company determines it is more likely than not the goodwill is impaired, it then performs a quantitative test. When performing the quantitative test, the Company compares the fair value of the reporting unit to its carrying value. If the carrying value of the net assets assigned to the reporting unit exceeds the fair value of the reporting unit, the Company would record an impairment loss equal to the difference.</w:t>
      </w:r>
    </w:p>
    <w:p>
      <w:pPr>
        <w:spacing w:after="0" w:line="76" w:lineRule="exact"/>
        <w:rPr>
          <w:sz w:val="20"/>
          <w:szCs w:val="20"/>
          <w:color w:val="auto"/>
        </w:rPr>
      </w:pPr>
    </w:p>
    <w:p>
      <w:pPr>
        <w:jc w:val="both"/>
        <w:spacing w:after="0" w:line="355" w:lineRule="auto"/>
        <w:rPr>
          <w:sz w:val="20"/>
          <w:szCs w:val="20"/>
          <w:color w:val="auto"/>
        </w:rPr>
      </w:pPr>
      <w:r>
        <w:rPr>
          <w:rFonts w:ascii="Arial" w:cs="Arial" w:eastAsia="Arial" w:hAnsi="Arial"/>
          <w:sz w:val="16"/>
          <w:szCs w:val="16"/>
          <w:b w:val="1"/>
          <w:bCs w:val="1"/>
          <w:color w:val="auto"/>
        </w:rPr>
        <w:t>Consideration payable</w:t>
      </w:r>
      <w:r>
        <w:rPr>
          <w:rFonts w:ascii="Arial" w:cs="Arial" w:eastAsia="Arial" w:hAnsi="Arial"/>
          <w:sz w:val="16"/>
          <w:szCs w:val="16"/>
          <w:color w:val="auto"/>
        </w:rPr>
        <w:t>: Consideration payable consists of amounts payable related to certain business acquisitions as well as contingent consideration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future location performance related to certain business acquisitions (see Note 10). Consideration payable, exclusive of contingent consideration, is discounted using the Company’s incremental borrowing rate associated with its outstanding debt. The contingent consideration is measured at fair value on a recurring basis. The changes in the fair value of contingent consideration are recognized within the Company’s consolidated statements of operations and comprehensive income (loss) as other expenses, net. The Company presents on its statement of cash flows, payments for consideration payable within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90-days in investing activities, payments after 90-days and up to the acquisition date fair value in financing activities, and payments in excess of the acquisition date fair value in operating activities.</w:t>
      </w:r>
    </w:p>
    <w:p>
      <w:pPr>
        <w:spacing w:after="0" w:line="99" w:lineRule="exact"/>
        <w:rPr>
          <w:sz w:val="20"/>
          <w:szCs w:val="20"/>
          <w:color w:val="auto"/>
        </w:rPr>
      </w:pPr>
    </w:p>
    <w:p>
      <w:pPr>
        <w:jc w:val="both"/>
        <w:spacing w:after="0" w:line="326" w:lineRule="auto"/>
        <w:rPr>
          <w:sz w:val="20"/>
          <w:szCs w:val="20"/>
          <w:color w:val="auto"/>
        </w:rPr>
      </w:pPr>
      <w:r>
        <w:rPr>
          <w:rFonts w:ascii="Arial" w:cs="Arial" w:eastAsia="Arial" w:hAnsi="Arial"/>
          <w:sz w:val="17"/>
          <w:szCs w:val="17"/>
          <w:b w:val="1"/>
          <w:bCs w:val="1"/>
          <w:color w:val="auto"/>
        </w:rPr>
        <w:t>Impairment of long-lived assets</w:t>
      </w:r>
      <w:r>
        <w:rPr>
          <w:rFonts w:ascii="Arial" w:cs="Arial" w:eastAsia="Arial" w:hAnsi="Arial"/>
          <w:sz w:val="17"/>
          <w:szCs w:val="17"/>
          <w:color w:val="auto"/>
        </w:rPr>
        <w:t>: Long-lived assets, which includes property and equipment, net and other assets, are reviewed for impairment whenever</w:t>
      </w:r>
      <w:r>
        <w:rPr>
          <w:rFonts w:ascii="Arial" w:cs="Arial" w:eastAsia="Arial" w:hAnsi="Arial"/>
          <w:sz w:val="17"/>
          <w:szCs w:val="17"/>
          <w:b w:val="1"/>
          <w:bCs w:val="1"/>
          <w:color w:val="auto"/>
        </w:rPr>
        <w:t xml:space="preserve"> </w:t>
      </w:r>
      <w:r>
        <w:rPr>
          <w:rFonts w:ascii="Arial" w:cs="Arial" w:eastAsia="Arial" w:hAnsi="Arial"/>
          <w:sz w:val="17"/>
          <w:szCs w:val="17"/>
          <w:color w:val="auto"/>
        </w:rPr>
        <w:t>events or changes in circumstances indicate that the carrying amount of the asset or asset group may not be recoverable. Impairment of the assets is measured by a comparison of the carrying amount of the asset to future undiscounted cash flows expected to be generated by the asset. If the carrying amount of an asset exceeds its estimated future cash flows, an impairment charge is recognized by the amount of which the carrying amount of the asset exceeds the fair value of the asset. There were no indicators of impairment of long-lived assets in 2022, 2021, or 2020.</w:t>
      </w:r>
    </w:p>
    <w:p>
      <w:pPr>
        <w:spacing w:after="0" w:line="103"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 xml:space="preserve">Contingent earnout shares liability: </w:t>
      </w:r>
      <w:r>
        <w:rPr>
          <w:rFonts w:ascii="Arial" w:cs="Arial" w:eastAsia="Arial" w:hAnsi="Arial"/>
          <w:sz w:val="18"/>
          <w:szCs w:val="18"/>
          <w:color w:val="auto"/>
        </w:rPr>
        <w:t>The Company's Class A-2 common stock is classified as a contingent earnout share liability due to the fact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 of the Company's Class A-2 common stock would be accelerated on a change of control regardless of the transaction value. The liability is stated at fair value and any change in the fair value is recognized as a gain or loss in the Company’s consolidated statements of operations and comprehensive income (loss).</w:t>
      </w:r>
    </w:p>
    <w:p>
      <w:pPr>
        <w:spacing w:after="0" w:line="122" w:lineRule="exact"/>
        <w:rPr>
          <w:sz w:val="20"/>
          <w:szCs w:val="20"/>
          <w:color w:val="auto"/>
        </w:rPr>
      </w:pPr>
    </w:p>
    <w:p>
      <w:pPr>
        <w:jc w:val="both"/>
        <w:spacing w:after="0" w:line="362" w:lineRule="auto"/>
        <w:rPr>
          <w:sz w:val="20"/>
          <w:szCs w:val="20"/>
          <w:color w:val="auto"/>
        </w:rPr>
      </w:pPr>
      <w:r>
        <w:rPr>
          <w:rFonts w:ascii="Arial" w:cs="Arial" w:eastAsia="Arial" w:hAnsi="Arial"/>
          <w:sz w:val="16"/>
          <w:szCs w:val="16"/>
          <w:b w:val="1"/>
          <w:bCs w:val="1"/>
          <w:color w:val="auto"/>
        </w:rPr>
        <w:t xml:space="preserve">Warrant liability: </w:t>
      </w:r>
      <w:r>
        <w:rPr>
          <w:rFonts w:ascii="Arial" w:cs="Arial" w:eastAsia="Arial" w:hAnsi="Arial"/>
          <w:sz w:val="16"/>
          <w:szCs w:val="16"/>
          <w:color w:val="auto"/>
        </w:rPr>
        <w:t>The Company's warrants are classified as a liability due to the fact that certain provisions preclude the warrants from being accounted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as components of stockholders’ equity, including certain settlement provisions that differ based on the holder of the warrants. The warrants are measured at fair value at each reporting date in accordance with Accounting Standards Codification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Any changes in the fair value of the warrants are recognized in the consolidated statements of operations and comprehensive income (loss) in the period of change.</w:t>
      </w:r>
    </w:p>
    <w:p>
      <w:pPr>
        <w:spacing w:after="0" w:line="91" w:lineRule="exact"/>
        <w:rPr>
          <w:sz w:val="20"/>
          <w:szCs w:val="20"/>
          <w:color w:val="auto"/>
        </w:rPr>
      </w:pPr>
    </w:p>
    <w:p>
      <w:pPr>
        <w:jc w:val="both"/>
        <w:spacing w:after="0" w:line="344" w:lineRule="auto"/>
        <w:rPr>
          <w:sz w:val="20"/>
          <w:szCs w:val="20"/>
          <w:color w:val="auto"/>
        </w:rPr>
      </w:pPr>
      <w:r>
        <w:rPr>
          <w:rFonts w:ascii="Arial" w:cs="Arial" w:eastAsia="Arial" w:hAnsi="Arial"/>
          <w:sz w:val="16"/>
          <w:szCs w:val="16"/>
          <w:b w:val="1"/>
          <w:bCs w:val="1"/>
          <w:color w:val="auto"/>
        </w:rPr>
        <w:t>Leases</w:t>
      </w:r>
      <w:r>
        <w:rPr>
          <w:rFonts w:ascii="Arial" w:cs="Arial" w:eastAsia="Arial" w:hAnsi="Arial"/>
          <w:sz w:val="16"/>
          <w:szCs w:val="16"/>
          <w:color w:val="auto"/>
        </w:rPr>
        <w:t>: The Company determines if an arrangement is a lease at inception and categorizes it as either an operating or finance lease. An arrangement</w:t>
      </w:r>
      <w:r>
        <w:rPr>
          <w:rFonts w:ascii="Arial" w:cs="Arial" w:eastAsia="Arial" w:hAnsi="Arial"/>
          <w:sz w:val="16"/>
          <w:szCs w:val="16"/>
          <w:b w:val="1"/>
          <w:bCs w:val="1"/>
          <w:color w:val="auto"/>
        </w:rPr>
        <w:t xml:space="preserve"> </w:t>
      </w:r>
      <w:r>
        <w:rPr>
          <w:rFonts w:ascii="Arial" w:cs="Arial" w:eastAsia="Arial" w:hAnsi="Arial"/>
          <w:sz w:val="16"/>
          <w:szCs w:val="16"/>
          <w:color w:val="auto"/>
        </w:rPr>
        <w:t>contains a lease when the arrangement conveys the right to control the use of an identified asset over the lease term. Lease liabilities are recognized based on the present value of the future minimum lease payments over the lease term at the commencement date. As most of the Company's leases do not provide an implicit interest rate, the Company utilizes its incremental borrowing rate based on the information available at the commencement date in determining the present value of lease payments. The incremental borrowing rate is the rate of interest that the Company would have to pay to borrow on a fully collateralized basis over a similar term in an amount equal to the total lease payments in a similar economic environment. Right-of-use (“ROU”) assets are recognized at the lease commencement date of the lease based on the amount of the initial measurement of the lease liability, adjusted for any lease payments made prior to commencement and exclude lease incentives and initial direct costs incurred, if applicable. The lease terms include all non-cancelable periods and may include options to extend or terminate the lease when it is reasonably certain that we will exercise that option. Lease expense for operating leases is recognized on a straight-line basis over the lease term. We do not recognize a ROU asset and lease liability for leases with a duration of less than 12 months. The Company separates lease and non-lease components for our lease contracts.</w:t>
      </w:r>
    </w:p>
    <w:p>
      <w:pPr>
        <w:spacing w:after="0" w:line="114"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ROU assets are included in other assets on the consolidated balance sheets. Short-term lease liabilities are included in accounts payable and other accrued expenses while long-term lease liabilities are included in other long-term liabilities.</w:t>
      </w:r>
    </w:p>
    <w:p>
      <w:pPr>
        <w:spacing w:after="0" w:line="99"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 The Company grants common stock options and/or restricted stock units (“RSUs”) to certain employees and officers. Stock-based compensation cost is measured at the grant date, based on the estimated fair value of the award, and is recognized in general and administrative expense over the employee’s requisite service period. All stock-based awards are classified as equity awards.</w:t>
      </w:r>
    </w:p>
    <w:p>
      <w:pPr>
        <w:spacing w:after="0" w:line="108" w:lineRule="exact"/>
        <w:rPr>
          <w:sz w:val="20"/>
          <w:szCs w:val="20"/>
          <w:color w:val="auto"/>
        </w:rPr>
      </w:pPr>
    </w:p>
    <w:p>
      <w:pPr>
        <w:jc w:val="both"/>
        <w:spacing w:after="0" w:line="309"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 The Company is organized as a C-corporation and files tax returns at the federal and state level. Deferred taxes are provided on a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method whereby deferred tax assets are recognized for deductible temporary differences and operating loss and tax credit carryforwards, and deferred tax liabilities are recognized for taxable temporary differences. Temporary differences are the differences between the book basis of assets and liabilities and their tax bases. Deferred tax assets are reduced by a valuation allowance when, in the opinion of management, it is more likely than not that some portion, or all of the deferred tax</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asset, will not be realized. Deferred tax assets and liabilities are adjusted for the effects of changes in the tax laws and rates as of the date of enactment.</w:t>
      </w:r>
    </w:p>
    <w:p>
      <w:pPr>
        <w:spacing w:after="0" w:line="221"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The consolidated financial statements may reflect expected future tax consequences of uncertain tax positions presuming the taxing authorities’ full knowledge of the position and all relevant facts. When and if applicable, potential interest and penalty costs are accrued as incurred with expenses recognized in general and administrative expenses in the consolidated statements of operations and comprehensive income (loss).</w:t>
      </w:r>
    </w:p>
    <w:p>
      <w:pPr>
        <w:spacing w:after="0" w:line="93" w:lineRule="exact"/>
        <w:rPr>
          <w:sz w:val="20"/>
          <w:szCs w:val="20"/>
          <w:color w:val="auto"/>
        </w:rPr>
      </w:pPr>
    </w:p>
    <w:p>
      <w:pPr>
        <w:jc w:val="both"/>
        <w:spacing w:after="0" w:line="327" w:lineRule="auto"/>
        <w:rPr>
          <w:sz w:val="20"/>
          <w:szCs w:val="20"/>
          <w:color w:val="auto"/>
        </w:rPr>
      </w:pPr>
      <w:r>
        <w:rPr>
          <w:rFonts w:ascii="Arial" w:cs="Arial" w:eastAsia="Arial" w:hAnsi="Arial"/>
          <w:sz w:val="17"/>
          <w:szCs w:val="17"/>
          <w:b w:val="1"/>
          <w:bCs w:val="1"/>
          <w:color w:val="auto"/>
        </w:rPr>
        <w:t>Earnings (loss) per share</w:t>
      </w:r>
      <w:r>
        <w:rPr>
          <w:rFonts w:ascii="Arial" w:cs="Arial" w:eastAsia="Arial" w:hAnsi="Arial"/>
          <w:sz w:val="17"/>
          <w:szCs w:val="17"/>
          <w:color w:val="auto"/>
        </w:rPr>
        <w:t>: The Company computes basic earnings (loss) per share by dividing net income (loss) by the weighted average number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for the applicable period. Diluted earnings (loss) per share is computed based on the weighted average number of shares plus the effect of dilutive potential common shares outstanding during the period using the treasury stock method , unless the effect of such increase would be anti-dilutive. Under the treasury stock method, the amount the employee must pay for exercising stock options and the amount of compensation cost for future service that the Company has not yet recognized are assumed to be used to repurchase shares. Dilutive potential common shares include outstanding stock options, unvested RSUs, contingent earnout shares, and warrants.</w:t>
      </w:r>
    </w:p>
    <w:p>
      <w:pPr>
        <w:spacing w:after="0" w:line="103" w:lineRule="exact"/>
        <w:rPr>
          <w:sz w:val="20"/>
          <w:szCs w:val="20"/>
          <w:color w:val="auto"/>
        </w:rPr>
      </w:pPr>
    </w:p>
    <w:p>
      <w:pPr>
        <w:jc w:val="both"/>
        <w:spacing w:after="0" w:line="329" w:lineRule="auto"/>
        <w:rPr>
          <w:sz w:val="20"/>
          <w:szCs w:val="20"/>
          <w:color w:val="auto"/>
        </w:rPr>
      </w:pPr>
      <w:r>
        <w:rPr>
          <w:rFonts w:ascii="Arial" w:cs="Arial" w:eastAsia="Arial" w:hAnsi="Arial"/>
          <w:sz w:val="18"/>
          <w:szCs w:val="18"/>
          <w:b w:val="1"/>
          <w:bCs w:val="1"/>
          <w:color w:val="auto"/>
        </w:rPr>
        <w:t>Debt issuance costs</w:t>
      </w:r>
      <w:r>
        <w:rPr>
          <w:rFonts w:ascii="Arial" w:cs="Arial" w:eastAsia="Arial" w:hAnsi="Arial"/>
          <w:sz w:val="18"/>
          <w:szCs w:val="18"/>
          <w:color w:val="auto"/>
        </w:rPr>
        <w:t>: Debt issuance costs are capitalized and amortized over the contractual terms of the related loans. Debt issuance costs are presented as</w:t>
      </w:r>
      <w:r>
        <w:rPr>
          <w:rFonts w:ascii="Arial" w:cs="Arial" w:eastAsia="Arial" w:hAnsi="Arial"/>
          <w:sz w:val="18"/>
          <w:szCs w:val="18"/>
          <w:b w:val="1"/>
          <w:bCs w:val="1"/>
          <w:color w:val="auto"/>
        </w:rPr>
        <w:t xml:space="preserve"> </w:t>
      </w:r>
      <w:r>
        <w:rPr>
          <w:rFonts w:ascii="Arial" w:cs="Arial" w:eastAsia="Arial" w:hAnsi="Arial"/>
          <w:sz w:val="18"/>
          <w:szCs w:val="18"/>
          <w:color w:val="auto"/>
        </w:rPr>
        <w:t>an offset to the related loans on the consolidated balance sheets.</w:t>
      </w:r>
    </w:p>
    <w:p>
      <w:pPr>
        <w:spacing w:after="0" w:line="94"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Advertising costs</w:t>
      </w:r>
      <w:r>
        <w:rPr>
          <w:rFonts w:ascii="Arial" w:cs="Arial" w:eastAsia="Arial" w:hAnsi="Arial"/>
          <w:sz w:val="18"/>
          <w:szCs w:val="18"/>
          <w:color w:val="auto"/>
        </w:rPr>
        <w:t>: Advertising costs are primarily comprised of marketing expenses, which are recorded within general and administrative expense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accompanying consolidated statements of operations and comprehensive income (loss). Advertising costs were $5.3 million, $4.8 million, and $3.2 million for the years ended December 31, 2022, 2021, and 2020, respectively.</w:t>
      </w:r>
    </w:p>
    <w:p>
      <w:pPr>
        <w:spacing w:after="0" w:line="108" w:lineRule="exact"/>
        <w:rPr>
          <w:sz w:val="20"/>
          <w:szCs w:val="20"/>
          <w:color w:val="auto"/>
        </w:rPr>
      </w:pPr>
    </w:p>
    <w:p>
      <w:pPr>
        <w:jc w:val="both"/>
        <w:spacing w:after="0" w:line="337" w:lineRule="auto"/>
        <w:rPr>
          <w:sz w:val="20"/>
          <w:szCs w:val="20"/>
          <w:color w:val="auto"/>
        </w:rPr>
      </w:pPr>
      <w:r>
        <w:rPr>
          <w:rFonts w:ascii="Arial" w:cs="Arial" w:eastAsia="Arial" w:hAnsi="Arial"/>
          <w:sz w:val="16"/>
          <w:szCs w:val="16"/>
          <w:b w:val="1"/>
          <w:bCs w:val="1"/>
          <w:color w:val="auto"/>
        </w:rPr>
        <w:t>Adopted accounting pronouncement</w:t>
      </w:r>
      <w:r>
        <w:rPr>
          <w:rFonts w:ascii="Arial" w:cs="Arial" w:eastAsia="Arial" w:hAnsi="Arial"/>
          <w:sz w:val="16"/>
          <w:szCs w:val="16"/>
          <w:color w:val="auto"/>
        </w:rPr>
        <w:t>: In February 2016, the Financial Accounting Standards Board (“FASB”) issued ASU No. 2016-02,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Leases (Topic</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842)</w:t>
      </w:r>
      <w:r>
        <w:rPr>
          <w:rFonts w:ascii="Arial" w:cs="Arial" w:eastAsia="Arial" w:hAnsi="Arial"/>
          <w:sz w:val="16"/>
          <w:szCs w:val="16"/>
          <w:color w:val="auto"/>
        </w:rPr>
        <w:t>. The guidance in this ASU supersedes the leasing guidance in Topic 840,</w:t>
      </w:r>
      <w:r>
        <w:rPr>
          <w:rFonts w:ascii="Arial" w:cs="Arial" w:eastAsia="Arial" w:hAnsi="Arial"/>
          <w:sz w:val="16"/>
          <w:szCs w:val="16"/>
          <w:i w:val="1"/>
          <w:iCs w:val="1"/>
          <w:color w:val="auto"/>
        </w:rPr>
        <w:t xml:space="preserve"> Leases</w:t>
      </w:r>
      <w:r>
        <w:rPr>
          <w:rFonts w:ascii="Arial" w:cs="Arial" w:eastAsia="Arial" w:hAnsi="Arial"/>
          <w:sz w:val="16"/>
          <w:szCs w:val="16"/>
          <w:color w:val="auto"/>
        </w:rPr>
        <w:t>. In July 2018, the FASB also issued ASU No. 2018-11,</w:t>
      </w:r>
      <w:r>
        <w:rPr>
          <w:rFonts w:ascii="Arial" w:cs="Arial" w:eastAsia="Arial" w:hAnsi="Arial"/>
          <w:sz w:val="16"/>
          <w:szCs w:val="16"/>
          <w:i w:val="1"/>
          <w:iCs w:val="1"/>
          <w:color w:val="auto"/>
        </w:rPr>
        <w:t xml:space="preserve"> Leases (Topic</w:t>
      </w:r>
    </w:p>
    <w:p>
      <w:pPr>
        <w:jc w:val="both"/>
        <w:spacing w:after="0" w:line="337" w:lineRule="auto"/>
        <w:rPr>
          <w:sz w:val="20"/>
          <w:szCs w:val="20"/>
          <w:color w:val="auto"/>
        </w:rPr>
      </w:pPr>
      <w:r>
        <w:rPr>
          <w:rFonts w:ascii="Arial" w:cs="Arial" w:eastAsia="Arial" w:hAnsi="Arial"/>
          <w:sz w:val="16"/>
          <w:szCs w:val="16"/>
          <w:i w:val="1"/>
          <w:iCs w:val="1"/>
          <w:color w:val="auto"/>
        </w:rPr>
        <w:t>842): Targeted Improvements</w:t>
      </w:r>
      <w:r>
        <w:rPr>
          <w:rFonts w:ascii="Arial" w:cs="Arial" w:eastAsia="Arial" w:hAnsi="Arial"/>
          <w:sz w:val="16"/>
          <w:szCs w:val="16"/>
          <w:color w:val="auto"/>
        </w:rPr>
        <w:t>, which provides an optional transition method allowing the standard to be applied at the adoption date. Under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The Company, as an EGC, elected to use the non-public effective date and adopted this standard in the fourth quarter of 2022 for the annual period ended December 31, 2022. The Company elected to adopt this new standard under a modified retrospective approach and the financial statements reflect the adjustment as if the Company adopted the standard as of January 1, 2022. As part of the transition to Topic 842, the Company elected the package of practical expedients that allowed us to not reassess: (1) whether any expired or existing contracts are or contain leases, (2) lease classification of any expired or existing leases and</w:t>
      </w:r>
    </w:p>
    <w:p>
      <w:pPr>
        <w:spacing w:after="0" w:line="1" w:lineRule="exact"/>
        <w:rPr>
          <w:sz w:val="20"/>
          <w:szCs w:val="20"/>
          <w:color w:val="auto"/>
        </w:rPr>
      </w:pPr>
    </w:p>
    <w:p>
      <w:pPr>
        <w:spacing w:after="0"/>
        <w:tabs>
          <w:tab w:leader="none" w:pos="4160" w:val="left"/>
        </w:tabs>
        <w:rPr>
          <w:sz w:val="20"/>
          <w:szCs w:val="20"/>
          <w:color w:val="auto"/>
        </w:rPr>
      </w:pPr>
      <w:r>
        <w:rPr>
          <w:rFonts w:ascii="Arial" w:cs="Arial" w:eastAsia="Arial" w:hAnsi="Arial"/>
          <w:sz w:val="18"/>
          <w:szCs w:val="18"/>
          <w:color w:val="auto"/>
        </w:rPr>
        <w:t>(3) initial direct costs of any expired or existing leases.</w:t>
      </w:r>
      <w:r>
        <w:rPr>
          <w:sz w:val="20"/>
          <w:szCs w:val="20"/>
          <w:color w:val="auto"/>
        </w:rPr>
        <w:tab/>
      </w:r>
      <w:r>
        <w:rPr>
          <w:rFonts w:ascii="Arial" w:cs="Arial" w:eastAsia="Arial" w:hAnsi="Arial"/>
          <w:sz w:val="16"/>
          <w:szCs w:val="16"/>
          <w:color w:val="auto"/>
        </w:rPr>
        <w:t>Upon adoption, the Company recognized ROU assets and lease liabilities of $1.1 million.</w:t>
      </w:r>
    </w:p>
    <w:p>
      <w:pPr>
        <w:spacing w:after="0" w:line="194" w:lineRule="exact"/>
        <w:rPr>
          <w:sz w:val="20"/>
          <w:szCs w:val="20"/>
          <w:color w:val="auto"/>
        </w:rPr>
      </w:pPr>
    </w:p>
    <w:p>
      <w:pPr>
        <w:jc w:val="both"/>
        <w:spacing w:after="0" w:line="327" w:lineRule="auto"/>
        <w:rPr>
          <w:sz w:val="20"/>
          <w:szCs w:val="20"/>
          <w:color w:val="auto"/>
        </w:rPr>
      </w:pPr>
      <w:r>
        <w:rPr>
          <w:rFonts w:ascii="Arial" w:cs="Arial" w:eastAsia="Arial" w:hAnsi="Arial"/>
          <w:sz w:val="17"/>
          <w:szCs w:val="17"/>
          <w:b w:val="1"/>
          <w:bCs w:val="1"/>
          <w:color w:val="auto"/>
        </w:rPr>
        <w:t>Recent accounting pronouncements</w:t>
      </w:r>
      <w:r>
        <w:rPr>
          <w:rFonts w:ascii="Arial" w:cs="Arial" w:eastAsia="Arial" w:hAnsi="Arial"/>
          <w:sz w:val="17"/>
          <w:szCs w:val="17"/>
          <w:color w:val="auto"/>
        </w:rPr>
        <w:t>: In October 2021, the FASB issued ASU No. 2021-08,</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Combinations (Topic 805).</w:t>
      </w:r>
      <w:r>
        <w:rPr>
          <w:rFonts w:ascii="Arial" w:cs="Arial" w:eastAsia="Arial" w:hAnsi="Arial"/>
          <w:sz w:val="17"/>
          <w:szCs w:val="17"/>
          <w:b w:val="1"/>
          <w:bCs w:val="1"/>
          <w:color w:val="auto"/>
        </w:rPr>
        <w:t xml:space="preserve"> </w:t>
      </w:r>
      <w:r>
        <w:rPr>
          <w:rFonts w:ascii="Arial" w:cs="Arial" w:eastAsia="Arial" w:hAnsi="Arial"/>
          <w:sz w:val="17"/>
          <w:szCs w:val="17"/>
          <w:color w:val="auto"/>
        </w:rPr>
        <w:t>The guidance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ASU improves the accounting for revenue contracts with customers acquired in a business combination by addressing diversity in practice and inconsistency related to recognition of contract assets and liabilities acquired in a business combination. The provisions of this ASU require that an acquiring entity accounts for the related revenue contracts in accordance with ASC 606 as if it had originated the contracts. The standard is effective for fiscal years beginning after December 15, 2022, and interim periods within those fiscal years with early adoption permitted. The Company does not expect the impact of the adoption of this ASU to be material to its financial statements or disclosures.</w:t>
      </w:r>
    </w:p>
    <w:p>
      <w:pPr>
        <w:spacing w:after="0" w:line="107"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This ASU provides temporary guidance to ease the potential burden in accounting for reference rate reform primarily resulting from the discontinuation of LIBOR, which began phasing out on December 31, 2021. The amendments in ASU 2020-04 are elective and apply to all entities that have contracts, hedging relationships, and other transactions that reference LIBOR or another reference rate expected to be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discontinued. The new guidance (i) simplifies accounting analyses under current GAAP for contract modifications; (ii) simplifies the assessment of hedge effectiveness and allows hedging relationships affected by reference rate reform to continue; and (iii) allows a one-time election to sell or transfer debt securities classified as held to maturity that reference a rate affected by reference rate reform. An entity may elect to apply the amendments prospectively from March 12, 2020, through December 31, 2022 by accounting topic. The Company currently references LIBOR for certain debt and hedging arrangements. While no material impacts are expected from the transition from LIBOR, the Company will continue to evaluate the provisions of this ASU and the impacts of transitioning to an alternative rate.</w:t>
      </w:r>
    </w:p>
    <w:p>
      <w:pPr>
        <w:spacing w:after="0" w:line="109" w:lineRule="exact"/>
        <w:rPr>
          <w:sz w:val="20"/>
          <w:szCs w:val="20"/>
          <w:color w:val="auto"/>
        </w:rPr>
      </w:pPr>
    </w:p>
    <w:p>
      <w:pPr>
        <w:jc w:val="both"/>
        <w:spacing w:after="0" w:line="340" w:lineRule="auto"/>
        <w:rPr>
          <w:sz w:val="20"/>
          <w:szCs w:val="20"/>
          <w:color w:val="auto"/>
        </w:rPr>
      </w:pPr>
      <w:r>
        <w:rPr>
          <w:rFonts w:ascii="Arial" w:cs="Arial" w:eastAsia="Arial" w:hAnsi="Arial"/>
          <w:sz w:val="18"/>
          <w:szCs w:val="18"/>
          <w:color w:val="auto"/>
        </w:rPr>
        <w:t>Other recently issued accounting standards or pronouncements have been excluded because they are either not relevant to the Company, or are not expected to have, or did not have, a material effect on its consolidated financial statements.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Note 3. Inventories</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6940" w:type="dxa"/>
            <w:vAlign w:val="bottom"/>
            <w:gridSpan w:val="2"/>
          </w:tcPr>
          <w:p>
            <w:pPr>
              <w:spacing w:after="0"/>
              <w:rPr>
                <w:sz w:val="20"/>
                <w:szCs w:val="20"/>
                <w:color w:val="auto"/>
              </w:rPr>
            </w:pPr>
            <w:r>
              <w:rPr>
                <w:rFonts w:ascii="Arial" w:cs="Arial" w:eastAsia="Arial" w:hAnsi="Arial"/>
                <w:sz w:val="18"/>
                <w:szCs w:val="18"/>
                <w:color w:val="auto"/>
              </w:rPr>
              <w:t>Inventories were as follows (in thousands):</w:t>
            </w: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6"/>
        </w:trPr>
        <w:tc>
          <w:tcPr>
            <w:tcW w:w="24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December 31, 2022</w:t>
            </w:r>
          </w:p>
        </w:tc>
      </w:tr>
      <w:tr>
        <w:trPr>
          <w:trHeight w:val="27"/>
        </w:trPr>
        <w:tc>
          <w:tcPr>
            <w:tcW w:w="2440" w:type="dxa"/>
            <w:vAlign w:val="bottom"/>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3"/>
        </w:trPr>
        <w:tc>
          <w:tcPr>
            <w:tcW w:w="2440" w:type="dxa"/>
            <w:vAlign w:val="bottom"/>
          </w:tcPr>
          <w:p>
            <w:pPr>
              <w:spacing w:after="0"/>
              <w:rPr>
                <w:sz w:val="21"/>
                <w:szCs w:val="21"/>
                <w:color w:val="auto"/>
              </w:rPr>
            </w:pPr>
          </w:p>
        </w:tc>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manufacturing supplies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4,977</w:t>
            </w:r>
          </w:p>
        </w:tc>
      </w:tr>
      <w:tr>
        <w:trPr>
          <w:trHeight w:val="243"/>
        </w:trPr>
        <w:tc>
          <w:tcPr>
            <w:tcW w:w="2440" w:type="dxa"/>
            <w:vAlign w:val="bottom"/>
          </w:tcPr>
          <w:p>
            <w:pPr>
              <w:spacing w:after="0"/>
              <w:rPr>
                <w:sz w:val="21"/>
                <w:szCs w:val="21"/>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Finished products</w:t>
            </w: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1,964</w:t>
            </w:r>
          </w:p>
        </w:tc>
      </w:tr>
      <w:tr>
        <w:trPr>
          <w:trHeight w:val="27"/>
        </w:trPr>
        <w:tc>
          <w:tcPr>
            <w:tcW w:w="2440" w:type="dxa"/>
            <w:vAlign w:val="bottom"/>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89"/>
        </w:trPr>
        <w:tc>
          <w:tcPr>
            <w:tcW w:w="2440" w:type="dxa"/>
            <w:vAlign w:val="bottom"/>
          </w:tcPr>
          <w:p>
            <w:pPr>
              <w:spacing w:after="0"/>
              <w:rPr>
                <w:sz w:val="24"/>
                <w:szCs w:val="24"/>
                <w:color w:val="auto"/>
              </w:rPr>
            </w:pPr>
          </w:p>
        </w:tc>
        <w:tc>
          <w:tcPr>
            <w:tcW w:w="4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6,941</w:t>
            </w:r>
          </w:p>
        </w:tc>
      </w:tr>
      <w:tr>
        <w:trPr>
          <w:trHeight w:val="20"/>
        </w:trPr>
        <w:tc>
          <w:tcPr>
            <w:tcW w:w="244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2022, no inventory valuation allowance was determined to be necessary.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Convertible Notes</w:t>
      </w:r>
    </w:p>
    <w:p>
      <w:pPr>
        <w:spacing w:after="0" w:line="202"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On July 19, 2019, the Company entered into an agreement to purchase up to $30.0 million in convertible notes bearing interest at 3% per annum from Gold Rush Amusements, Inc. (“Gold Rush”), another terminal operator in Illinois. The convertible notes each included an option to convert the notes to common stock of Gold Rush prior to the maturity date upon written notice from the Company. At closing, the Company purchased a $5.0 million note which was subordinated to Gold Rush’s credit facility and matured six months following the satisfaction of administrative conditions.</w:t>
      </w:r>
    </w:p>
    <w:p>
      <w:pPr>
        <w:spacing w:after="0" w:line="116"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8"/>
          <w:szCs w:val="18"/>
          <w:color w:val="auto"/>
        </w:rPr>
        <w:t>On October 11, 2019, the Company purchased an additional $25.0 million note which was also subordinated to Gold Rush’s credit facility and, beginning on July 1, 2020, the balance of this note, if not previously converted, was payable in equal $1,000,000 monthly installments until all principal has been repaid in full.</w:t>
      </w:r>
    </w:p>
    <w:p>
      <w:pPr>
        <w:spacing w:after="0" w:line="122"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On July 30, 2020, the Company and Gold Rush entered into the Omnibus Amendment (the “Amendment”) to the original agreement to purchase convertible notes from Gold Rush. The Amendment, among other things, extended the maturity date of the $5.0 million convertible note and the beginning of the payback period for the $25.0 million convertible note until December 31, 2020.</w:t>
      </w:r>
    </w:p>
    <w:p>
      <w:pPr>
        <w:spacing w:after="0" w:line="143" w:lineRule="exact"/>
        <w:rPr>
          <w:sz w:val="20"/>
          <w:szCs w:val="20"/>
          <w:color w:val="auto"/>
        </w:rPr>
      </w:pPr>
    </w:p>
    <w:p>
      <w:pPr>
        <w:jc w:val="both"/>
        <w:ind w:firstLine="324"/>
        <w:spacing w:after="0" w:line="354" w:lineRule="auto"/>
        <w:rPr>
          <w:sz w:val="20"/>
          <w:szCs w:val="20"/>
          <w:color w:val="auto"/>
        </w:rPr>
      </w:pPr>
      <w:r>
        <w:rPr>
          <w:rFonts w:ascii="Arial" w:cs="Arial" w:eastAsia="Arial" w:hAnsi="Arial"/>
          <w:sz w:val="16"/>
          <w:szCs w:val="16"/>
          <w:color w:val="auto"/>
        </w:rPr>
        <w:t>On March 9, 2021, the Company and Gold Rush entered into the Second Omnibus Amendment (the “Second Amendment”) to both of the convertible notes and the agreement to purchase the convertible notes. The Second Amendment, among other things, extended the December 31, 2020 maturity and conversion feature of the $5.0 million convertible note to December 31, 2021, the maturity and conversion feature of the $25.0 million convertible note to June 1, 2024 and the beginning of the payback period for the $25.0 million convertible note from December 31, 2020 to January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On July 30, 2021, the Company provided notice to Gold Rush that it was exercising its rights under each of the convertible notes to convert the entire aggregate principal amount and accrued interest into common stock of Gold Rush, subject to approval from the IGB to transfer the common stock to the Company and receipt of other customary closing deliverables.</w:t>
      </w:r>
    </w:p>
    <w:p>
      <w:pPr>
        <w:spacing w:after="0" w:line="143"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On December 2, 2021, the Company received notice from the administrator of the IGB that he was denying the requested transfer of Gold Rush common stock to the Company. The Company disagreed with the administrator’s ruling and requested that the matter be put before the IGB for a public vote. On January 27, 2022, the IGB affirmed the administrator’s denial. Although the Company is pursuing all administrative remedies available to contest the IGB’s ruling, this denial has impacted the conversion assumptions previously used in the accounting valuation of the convertible notes.</w:t>
      </w:r>
    </w:p>
    <w:p>
      <w:pPr>
        <w:spacing w:after="0" w:line="116"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7"/>
          <w:szCs w:val="17"/>
          <w:color w:val="auto"/>
        </w:rPr>
        <w:t>On March 9, 2022, the Company filed a lawsuit in the Circuit Court of Cook County, Illinois against Gold Rush relating to the Gold Rush convertible notes. The complaint seeks damages for breach of contract and the implied covenant of good faith and fair dealing as well as unjust enrichment. The lawsuit is publicly available. On April 22, 2022, the Company filed a petition in the Circuit Court of Cook County, Illinois to judicially review the IGB's decision to deny the requested transfer of Gold Rush common stock in respect of the Company's conversion of its convertible notes.</w:t>
      </w:r>
    </w:p>
    <w:p>
      <w:pPr>
        <w:spacing w:after="0" w:line="11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On June 22, 2022, Gold Rush filed a lawsuit in the Circuit Court of Cook County, Illinois against the Company. The lawsuit alleges that the Company tortiously interfered with Gold Rush’s business activities and engaged in misconduct with respect to the Gold Rush convertible notes. The complaint seeks declaratory judgment and damages related to the allegations. The Company intends to vigorously defend itself against the allegations in the complaint and denies any allegations of wrongdoing.</w:t>
      </w:r>
    </w:p>
    <w:p>
      <w:pPr>
        <w:spacing w:after="0" w:line="129" w:lineRule="exact"/>
        <w:rPr>
          <w:sz w:val="20"/>
          <w:szCs w:val="20"/>
          <w:color w:val="auto"/>
        </w:rPr>
      </w:pPr>
    </w:p>
    <w:p>
      <w:pPr>
        <w:jc w:val="both"/>
        <w:ind w:firstLine="324"/>
        <w:spacing w:after="0" w:line="343" w:lineRule="auto"/>
        <w:rPr>
          <w:sz w:val="20"/>
          <w:szCs w:val="20"/>
          <w:color w:val="auto"/>
        </w:rPr>
      </w:pPr>
      <w:r>
        <w:rPr>
          <w:rFonts w:ascii="Arial" w:cs="Arial" w:eastAsia="Arial" w:hAnsi="Arial"/>
          <w:sz w:val="16"/>
          <w:szCs w:val="16"/>
          <w:color w:val="auto"/>
        </w:rPr>
        <w:t>Based on the IGB denying the Company’s request to transfer Gold Rush common stock despite the Company’s unilateral conversion rights, the convertible notes continue to be accounted for as available for sale debt securities, at fair value, with gains and losses recorded in other comprehensive income. As of the filing of the financial statements, the Gold Rush convertible notes (which the Company converted under the terms of the convertible notes to shares of common stock of Gold Rush, but the IGB has currently denied the distribution of shares to the Company) are deemed in default for disclosure and presentation purposes, assuming non-conversion of the convertible notes, as no repayment or installment payments have been received. The Company has classified the entire $32.1 million accounting fair value, of the convertible notes as current on the condensed consolidated balance sheets as the Company hopes to resolve this matter within the next year. The Company did not further adjust the valuation of the convertible notes downward as the Company believes, assuming for accounting purposes that the notes have not been converted, the recorded amounts approximate the accounting fair value. If successful, the Company's legal remedies with respect to its rights to receive the Gold Rush common stock or equivalent amounts it is entitled to receive with respect to the convertible notes could be materially in excess of the current accounting fair value. The Company recognized an unrealized loss of $0.1 million and a $0.1 million gain, net of taxes, within comprehensive income (loss) for the years ended December 31, 2021 and 2020, respectively. For more information on how the Company determined the fair value of the convertible notes, see Note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Note 5. Property and Equipment</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6580" w:type="dxa"/>
            <w:vAlign w:val="bottom"/>
            <w:gridSpan w:val="2"/>
          </w:tcPr>
          <w:p>
            <w:pPr>
              <w:ind w:left="340"/>
              <w:spacing w:after="0"/>
              <w:rPr>
                <w:sz w:val="20"/>
                <w:szCs w:val="20"/>
                <w:color w:val="auto"/>
              </w:rPr>
            </w:pPr>
            <w:r>
              <w:rPr>
                <w:rFonts w:ascii="Arial" w:cs="Arial" w:eastAsia="Arial" w:hAnsi="Arial"/>
                <w:sz w:val="18"/>
                <w:szCs w:val="18"/>
                <w:color w:val="auto"/>
                <w:w w:val="96"/>
              </w:rPr>
              <w:t>Property and equipment consists of the following at December 31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86"/>
        </w:trPr>
        <w:tc>
          <w:tcPr>
            <w:tcW w:w="2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7"/>
        </w:trPr>
        <w:tc>
          <w:tcPr>
            <w:tcW w:w="2160" w:type="dxa"/>
            <w:vAlign w:val="bottom"/>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21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Gaming terminals and equipment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294,944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225,692</w:t>
            </w:r>
          </w:p>
        </w:tc>
      </w:tr>
      <w:tr>
        <w:trPr>
          <w:trHeight w:val="243"/>
        </w:trPr>
        <w:tc>
          <w:tcPr>
            <w:tcW w:w="216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Amusement and other equipment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25,807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18,547</w:t>
            </w:r>
          </w:p>
        </w:tc>
      </w:tr>
      <w:tr>
        <w:trPr>
          <w:trHeight w:val="27"/>
        </w:trPr>
        <w:tc>
          <w:tcPr>
            <w:tcW w:w="2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1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equipment and furniture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r>
      <w:tr>
        <w:trPr>
          <w:trHeight w:val="243"/>
        </w:trPr>
        <w:tc>
          <w:tcPr>
            <w:tcW w:w="216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18,526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14,319</w:t>
            </w:r>
          </w:p>
        </w:tc>
      </w:tr>
      <w:tr>
        <w:trPr>
          <w:trHeight w:val="27"/>
        </w:trPr>
        <w:tc>
          <w:tcPr>
            <w:tcW w:w="2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1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4,127</w:t>
            </w:r>
          </w:p>
        </w:tc>
      </w:tr>
      <w:tr>
        <w:trPr>
          <w:trHeight w:val="243"/>
        </w:trPr>
        <w:tc>
          <w:tcPr>
            <w:tcW w:w="216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Vehicles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16,293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11,518</w:t>
            </w:r>
          </w:p>
        </w:tc>
      </w:tr>
      <w:tr>
        <w:trPr>
          <w:trHeight w:val="27"/>
        </w:trPr>
        <w:tc>
          <w:tcPr>
            <w:tcW w:w="2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1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10,997</w:t>
            </w:r>
          </w:p>
        </w:tc>
      </w:tr>
      <w:tr>
        <w:trPr>
          <w:trHeight w:val="243"/>
        </w:trPr>
        <w:tc>
          <w:tcPr>
            <w:tcW w:w="216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Land</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911</w:t>
            </w:r>
          </w:p>
        </w:tc>
      </w:tr>
      <w:tr>
        <w:trPr>
          <w:trHeight w:val="27"/>
        </w:trPr>
        <w:tc>
          <w:tcPr>
            <w:tcW w:w="2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160" w:type="dxa"/>
            <w:vAlign w:val="bottom"/>
          </w:tcPr>
          <w:p>
            <w:pPr>
              <w:spacing w:after="0"/>
              <w:rPr>
                <w:sz w:val="23"/>
                <w:szCs w:val="23"/>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3,898</w:t>
            </w:r>
          </w:p>
        </w:tc>
      </w:tr>
      <w:tr>
        <w:trPr>
          <w:trHeight w:val="236"/>
        </w:trPr>
        <w:tc>
          <w:tcPr>
            <w:tcW w:w="216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Total property and equipment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378,835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291,740</w:t>
            </w:r>
          </w:p>
        </w:tc>
      </w:tr>
      <w:tr>
        <w:trPr>
          <w:trHeight w:val="27"/>
        </w:trPr>
        <w:tc>
          <w:tcPr>
            <w:tcW w:w="2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160" w:type="dxa"/>
            <w:vAlign w:val="bottom"/>
          </w:tcPr>
          <w:p>
            <w:pPr>
              <w:spacing w:after="0"/>
              <w:rPr>
                <w:sz w:val="23"/>
                <w:szCs w:val="23"/>
                <w:color w:val="auto"/>
              </w:rPr>
            </w:pPr>
          </w:p>
        </w:tc>
        <w:tc>
          <w:tcPr>
            <w:tcW w:w="4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(139,489)</w:t>
            </w:r>
          </w:p>
        </w:tc>
      </w:tr>
      <w:tr>
        <w:trPr>
          <w:trHeight w:val="263"/>
        </w:trPr>
        <w:tc>
          <w:tcPr>
            <w:tcW w:w="2160" w:type="dxa"/>
            <w:vAlign w:val="bottom"/>
          </w:tcPr>
          <w:p>
            <w:pPr>
              <w:spacing w:after="0"/>
              <w:rPr>
                <w:sz w:val="22"/>
                <w:szCs w:val="22"/>
                <w:color w:val="auto"/>
              </w:rPr>
            </w:pPr>
          </w:p>
        </w:tc>
        <w:tc>
          <w:tcPr>
            <w:tcW w:w="44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211,844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152,251</w:t>
            </w:r>
          </w:p>
        </w:tc>
      </w:tr>
      <w:tr>
        <w:trPr>
          <w:trHeight w:val="20"/>
        </w:trPr>
        <w:tc>
          <w:tcPr>
            <w:tcW w:w="2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Depreciation and amortization of property and equipment amounted to $29.3 million, $24.6 million and $21.0 million during the years ended December 31, 2022, 2021 and 2020, respectively. Depreciation expense in 2022 increased primarily due to acquisitions, partially offset by extending the useful lives of gaming terminals and equipment from 10 years to 13 years in the fourth quarter of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Route and Customer Acquisition Costs</w:t>
      </w:r>
    </w:p>
    <w:p>
      <w:pPr>
        <w:spacing w:after="0" w:line="202" w:lineRule="exact"/>
        <w:rPr>
          <w:sz w:val="20"/>
          <w:szCs w:val="20"/>
          <w:color w:val="auto"/>
        </w:rPr>
      </w:pPr>
    </w:p>
    <w:p>
      <w:pPr>
        <w:jc w:val="both"/>
        <w:ind w:firstLine="324"/>
        <w:spacing w:after="0" w:line="321" w:lineRule="auto"/>
        <w:rPr>
          <w:sz w:val="20"/>
          <w:szCs w:val="20"/>
          <w:color w:val="auto"/>
        </w:rPr>
      </w:pPr>
      <w:r>
        <w:rPr>
          <w:rFonts w:ascii="Arial" w:cs="Arial" w:eastAsia="Arial" w:hAnsi="Arial"/>
          <w:sz w:val="17"/>
          <w:szCs w:val="17"/>
          <w:color w:val="auto"/>
        </w:rPr>
        <w:t>The Company enters into contracts with third parties and its gaming locations to install and operate gaming terminals. Payments are due when gaming operations commence and then on a periodic basis for a specified period of time thereafter. Gross payments due, based on the number of live locations, are approximately $7.6 million and $6.8 million as of December 31, 2022 and 2021, respectively. Payments are due over varying terms of the individual agreements and are discounted at the Company’s incremental borrowing rate associated with its long-term debt at the time the contract is acquired. The net present value of payments due is $6.6 million and $6.0 million as of December 31, 2022 and 2021, respectively, of which approximately $1.5 million and $2.1 million is included in current liabilities in the accompanying consolidated balance sheets as of December 31, 2022 and 2021, respectively. The route and customer acquisition cost asset is comprised of upfront payments made on the contracts of $17.9 million and $18.0 million as of December 31, 2022 and 2021, respectively. The Company has upfront payments of commissions paid to the third parties for the acquisition of the customer contracts that are subject to a claw back provision if the customer cancels the contract prior to completion. The payments subject to a claw back are $1.2 million and $1.5 million as of December 31, 2022 and 2021, respectively.</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Route and customer acquisition costs consist of the following at December 31 (in thousands):</w:t>
      </w:r>
    </w:p>
    <w:p>
      <w:pPr>
        <w:spacing w:after="0" w:line="149" w:lineRule="exact"/>
        <w:rPr>
          <w:sz w:val="20"/>
          <w:szCs w:val="20"/>
          <w:color w:val="auto"/>
        </w:rPr>
      </w:pPr>
    </w:p>
    <w:tbl>
      <w:tblPr>
        <w:tblLayout w:type="fixed"/>
        <w:tblInd w:w="262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39"/>
        </w:trPr>
        <w:tc>
          <w:tcPr>
            <w:tcW w:w="32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center"/>
              <w:ind w:left="255"/>
              <w:spacing w:after="0"/>
              <w:rPr>
                <w:sz w:val="20"/>
                <w:szCs w:val="20"/>
                <w:color w:val="auto"/>
              </w:rPr>
            </w:pPr>
            <w:r>
              <w:rPr>
                <w:rFonts w:ascii="Arial" w:cs="Arial" w:eastAsia="Arial" w:hAnsi="Arial"/>
                <w:sz w:val="18"/>
                <w:szCs w:val="18"/>
                <w:color w:val="auto"/>
                <w:w w:val="90"/>
              </w:rPr>
              <w:t>31,805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center"/>
              <w:ind w:left="255"/>
              <w:spacing w:after="0"/>
              <w:rPr>
                <w:sz w:val="20"/>
                <w:szCs w:val="20"/>
                <w:color w:val="auto"/>
              </w:rPr>
            </w:pPr>
            <w:r>
              <w:rPr>
                <w:rFonts w:ascii="Arial" w:cs="Arial" w:eastAsia="Arial" w:hAnsi="Arial"/>
                <w:sz w:val="18"/>
                <w:szCs w:val="18"/>
                <w:color w:val="auto"/>
                <w:w w:val="90"/>
              </w:rPr>
              <w:t>28,902</w:t>
            </w: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21"/>
                <w:szCs w:val="21"/>
                <w:color w:val="auto"/>
              </w:rPr>
            </w:pPr>
          </w:p>
        </w:tc>
        <w:tc>
          <w:tcPr>
            <w:tcW w:w="1000" w:type="dxa"/>
            <w:vAlign w:val="bottom"/>
          </w:tcPr>
          <w:p>
            <w:pPr>
              <w:jc w:val="center"/>
              <w:ind w:left="215"/>
              <w:spacing w:after="0"/>
              <w:rPr>
                <w:sz w:val="20"/>
                <w:szCs w:val="20"/>
                <w:color w:val="auto"/>
              </w:rPr>
            </w:pPr>
            <w:r>
              <w:rPr>
                <w:rFonts w:ascii="Arial" w:cs="Arial" w:eastAsia="Arial" w:hAnsi="Arial"/>
                <w:sz w:val="18"/>
                <w:szCs w:val="18"/>
                <w:color w:val="auto"/>
                <w:w w:val="92"/>
              </w:rPr>
              <w:t>(13,463)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center"/>
              <w:ind w:left="215"/>
              <w:spacing w:after="0"/>
              <w:rPr>
                <w:sz w:val="20"/>
                <w:szCs w:val="20"/>
                <w:color w:val="auto"/>
              </w:rPr>
            </w:pPr>
            <w:r>
              <w:rPr>
                <w:rFonts w:ascii="Arial" w:cs="Arial" w:eastAsia="Arial" w:hAnsi="Arial"/>
                <w:sz w:val="18"/>
                <w:szCs w:val="18"/>
                <w:color w:val="auto"/>
                <w:w w:val="92"/>
              </w:rPr>
              <w:t>(12,989)</w:t>
            </w:r>
          </w:p>
        </w:tc>
      </w:tr>
      <w:tr>
        <w:trPr>
          <w:trHeight w:val="27"/>
        </w:trPr>
        <w:tc>
          <w:tcPr>
            <w:tcW w:w="3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Route and customer acquisition costs,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center"/>
              <w:ind w:left="255"/>
              <w:spacing w:after="0"/>
              <w:rPr>
                <w:sz w:val="20"/>
                <w:szCs w:val="20"/>
                <w:color w:val="auto"/>
              </w:rPr>
            </w:pPr>
            <w:r>
              <w:rPr>
                <w:rFonts w:ascii="Arial" w:cs="Arial" w:eastAsia="Arial" w:hAnsi="Arial"/>
                <w:sz w:val="18"/>
                <w:szCs w:val="18"/>
                <w:color w:val="auto"/>
                <w:w w:val="90"/>
              </w:rPr>
              <w:t>18,342</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center"/>
              <w:ind w:left="255"/>
              <w:spacing w:after="0"/>
              <w:rPr>
                <w:sz w:val="20"/>
                <w:szCs w:val="20"/>
                <w:color w:val="auto"/>
              </w:rPr>
            </w:pPr>
            <w:r>
              <w:rPr>
                <w:rFonts w:ascii="Arial" w:cs="Arial" w:eastAsia="Arial" w:hAnsi="Arial"/>
                <w:sz w:val="18"/>
                <w:szCs w:val="18"/>
                <w:color w:val="auto"/>
                <w:w w:val="90"/>
              </w:rPr>
              <w:t>15,913</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364" w:lineRule="auto"/>
        <w:rPr>
          <w:sz w:val="20"/>
          <w:szCs w:val="20"/>
          <w:color w:val="auto"/>
        </w:rPr>
      </w:pPr>
      <w:r>
        <w:rPr>
          <w:rFonts w:ascii="Arial" w:cs="Arial" w:eastAsia="Arial" w:hAnsi="Arial"/>
          <w:sz w:val="16"/>
          <w:szCs w:val="16"/>
          <w:color w:val="auto"/>
        </w:rPr>
        <w:t>Amortization expense of route and customer acquisition costs was $1.3 million, $1.7 million and $1.8 million for the years ended December 31, 2022, 2021 and 2020, respectively. Amortization expense of route and customer acquisition costs is lower in 2022 when compared to the prior year as the Company extended the amortization period of its route and customer acquisition costs from 12.4 years to 18 years in the fourth quarter of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Location Contracts Acquired</w:t>
      </w:r>
    </w:p>
    <w:p>
      <w:pPr>
        <w:spacing w:after="0" w:line="202"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Location contract assets acquired in business acquisitions are recorded at fair value as of the acquisition date based on an income approach. Location contracts acquired consist of the following at December 31 (in thousands):</w:t>
      </w:r>
    </w:p>
    <w:p>
      <w:pPr>
        <w:spacing w:after="0" w:line="67" w:lineRule="exact"/>
        <w:rPr>
          <w:sz w:val="20"/>
          <w:szCs w:val="20"/>
          <w:color w:val="auto"/>
        </w:rPr>
      </w:pPr>
    </w:p>
    <w:tbl>
      <w:tblPr>
        <w:tblLayout w:type="fixed"/>
        <w:tblInd w:w="262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39"/>
        </w:trPr>
        <w:tc>
          <w:tcPr>
            <w:tcW w:w="32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8"/>
              </w:rPr>
              <w:t>282,653</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8"/>
              </w:rPr>
              <w:t>229,287</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320" w:type="dxa"/>
            <w:vAlign w:val="bottom"/>
          </w:tcPr>
          <w:p>
            <w:pPr>
              <w:spacing w:after="0"/>
              <w:rPr>
                <w:sz w:val="21"/>
                <w:szCs w:val="21"/>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w w:val="92"/>
              </w:rPr>
              <w:t>(93,310)</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ind w:left="360"/>
              <w:spacing w:after="0"/>
              <w:rPr>
                <w:sz w:val="20"/>
                <w:szCs w:val="20"/>
                <w:color w:val="auto"/>
              </w:rPr>
            </w:pPr>
            <w:r>
              <w:rPr>
                <w:rFonts w:ascii="Arial" w:cs="Arial" w:eastAsia="Arial" w:hAnsi="Arial"/>
                <w:sz w:val="18"/>
                <w:szCs w:val="18"/>
                <w:color w:val="auto"/>
                <w:w w:val="95"/>
              </w:rPr>
              <w:t>(78,615)</w:t>
            </w:r>
          </w:p>
        </w:tc>
      </w:tr>
      <w:tr>
        <w:trPr>
          <w:trHeight w:val="27"/>
        </w:trPr>
        <w:tc>
          <w:tcPr>
            <w:tcW w:w="3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Location contracts acquired,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8"/>
              </w:rPr>
              <w:t>189,343</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8"/>
              </w:rPr>
              <w:t>150,672</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Each asset is amortized over the expected useful life of primarily 15 years. Estimated amortization expense related to location contracts acquired for the next five years and thereafter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40005</wp:posOffset>
            </wp:positionV>
            <wp:extent cx="332613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8">
                      <a:extLst>
                        <a:ext uri="{28A0092B-C50C-407E-A947-70E740481C1C}"/>
                      </a:extLst>
                    </a:blip>
                    <a:srcRect/>
                    <a:stretch>
                      <a:fillRect/>
                    </a:stretch>
                  </pic:blipFill>
                  <pic:spPr bwMode="auto">
                    <a:xfrm>
                      <a:off x="0" y="0"/>
                      <a:ext cx="3326130" cy="171450"/>
                    </a:xfrm>
                    <a:prstGeom prst="rect">
                      <a:avLst/>
                    </a:prstGeom>
                    <a:noFill/>
                  </pic:spPr>
                </pic:pic>
              </a:graphicData>
            </a:graphic>
          </wp:anchor>
        </w:drawing>
      </w:r>
    </w:p>
    <w:p>
      <w:pPr>
        <w:spacing w:after="0" w:line="56"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Year ending December 31:</w:t>
      </w:r>
    </w:p>
    <w:p>
      <w:pPr>
        <w:spacing w:after="0" w:line="63" w:lineRule="exact"/>
        <w:rPr>
          <w:sz w:val="20"/>
          <w:szCs w:val="20"/>
          <w:color w:val="auto"/>
        </w:rPr>
      </w:pPr>
    </w:p>
    <w:tbl>
      <w:tblPr>
        <w:tblLayout w:type="fixed"/>
        <w:tblInd w:w="3000" w:type="dxa"/>
        <w:tblCellMar>
          <w:top w:w="0" w:type="dxa"/>
          <w:left w:w="0" w:type="dxa"/>
          <w:bottom w:w="0" w:type="dxa"/>
          <w:right w:w="0" w:type="dxa"/>
        </w:tblCellMar>
      </w:tblPr>
      <w:tr>
        <w:trPr>
          <w:trHeight w:val="230"/>
        </w:trPr>
        <w:tc>
          <w:tcPr>
            <w:tcW w:w="3880" w:type="dxa"/>
            <w:vAlign w:val="bottom"/>
          </w:tcPr>
          <w:p>
            <w:pPr>
              <w:ind w:left="460"/>
              <w:spacing w:after="0"/>
              <w:rPr>
                <w:sz w:val="20"/>
                <w:szCs w:val="20"/>
                <w:color w:val="auto"/>
              </w:rPr>
            </w:pPr>
            <w:r>
              <w:rPr>
                <w:rFonts w:ascii="Arial" w:cs="Arial" w:eastAsia="Arial" w:hAnsi="Arial"/>
                <w:sz w:val="18"/>
                <w:szCs w:val="18"/>
                <w:color w:val="auto"/>
              </w:rPr>
              <w:t>2023</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17,040</w:t>
            </w:r>
          </w:p>
        </w:tc>
      </w:tr>
      <w:tr>
        <w:trPr>
          <w:trHeight w:val="27"/>
        </w:trPr>
        <w:tc>
          <w:tcPr>
            <w:tcW w:w="3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2024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17,040</w:t>
            </w:r>
          </w:p>
        </w:tc>
      </w:tr>
      <w:tr>
        <w:trPr>
          <w:trHeight w:val="243"/>
        </w:trPr>
        <w:tc>
          <w:tcPr>
            <w:tcW w:w="3880" w:type="dxa"/>
            <w:vAlign w:val="bottom"/>
          </w:tcPr>
          <w:p>
            <w:pPr>
              <w:ind w:left="46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17,040</w:t>
            </w:r>
          </w:p>
        </w:tc>
      </w:tr>
      <w:tr>
        <w:trPr>
          <w:trHeight w:val="27"/>
        </w:trPr>
        <w:tc>
          <w:tcPr>
            <w:tcW w:w="3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2026</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16,895</w:t>
            </w:r>
          </w:p>
        </w:tc>
      </w:tr>
      <w:tr>
        <w:trPr>
          <w:trHeight w:val="243"/>
        </w:trPr>
        <w:tc>
          <w:tcPr>
            <w:tcW w:w="3880" w:type="dxa"/>
            <w:vAlign w:val="bottom"/>
          </w:tcPr>
          <w:p>
            <w:pPr>
              <w:ind w:left="460"/>
              <w:spacing w:after="0"/>
              <w:rPr>
                <w:sz w:val="20"/>
                <w:szCs w:val="20"/>
                <w:color w:val="auto"/>
              </w:rPr>
            </w:pPr>
            <w:r>
              <w:rPr>
                <w:rFonts w:ascii="Arial" w:cs="Arial" w:eastAsia="Arial" w:hAnsi="Arial"/>
                <w:sz w:val="18"/>
                <w:szCs w:val="18"/>
                <w:color w:val="auto"/>
              </w:rPr>
              <w:t>2027</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16,791</w:t>
            </w:r>
          </w:p>
        </w:tc>
      </w:tr>
      <w:tr>
        <w:trPr>
          <w:trHeight w:val="27"/>
        </w:trPr>
        <w:tc>
          <w:tcPr>
            <w:tcW w:w="3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104,537</w:t>
            </w:r>
          </w:p>
        </w:tc>
      </w:tr>
      <w:tr>
        <w:trPr>
          <w:trHeight w:val="263"/>
        </w:trPr>
        <w:tc>
          <w:tcPr>
            <w:tcW w:w="3880" w:type="dxa"/>
            <w:vAlign w:val="bottom"/>
          </w:tcPr>
          <w:p>
            <w:pPr>
              <w:ind w:left="88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189,343</w:t>
            </w:r>
          </w:p>
        </w:tc>
      </w:tr>
      <w:tr>
        <w:trPr>
          <w:trHeight w:val="20"/>
        </w:trPr>
        <w:tc>
          <w:tcPr>
            <w:tcW w:w="3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Amortization expense of location contracts acquired was $14.8 million, $20.3 million and $20.8 million, during the years ended December 31, 2022, 2021 and 2020, respectively. Amortization expense of location contracts is lower in 2022 when compared to the prior year as the Company extended the amortization period of its location contracts from 10 years to 15 years in the fourth quarter of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Other Intangible Assets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had goodwill of $100.7 million as of December 31, 2022, of which $41.1 million is deductible for tax purposes.</w:t>
      </w:r>
    </w:p>
    <w:p>
      <w:pPr>
        <w:spacing w:after="0" w:line="21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 xml:space="preserve">On December 30, 2020, the Company acquired American Video Gaming, LLC, and Erickson Amusements, Inc. (collectively referred to as "AVG") which was accounted for as a business combination using the acquisition method of accounting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("Topic 805"). The excess of the purchase price over the tangible and intangible assets acquired and liabilities assumed has been recorded as goodwill of $11.2 million. See Note 10 for more information on how the amount of goodwill was calculated.</w:t>
      </w:r>
    </w:p>
    <w:p>
      <w:pPr>
        <w:spacing w:after="0" w:line="146"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On December 30, 2021, the Company entered into an agreement with Rich and Junnie's Coin, Inc., an Iowa corporation, and JBCJ, Inc., also an Iowa corporation (collectively referred to as "Rich and Junnie's") to acquire all of Rich and Junnie's operating assets in Iowa and Illinois. The acquisition was accounted for as a business combination using the acquisition method of accounting in accordance with Topic 805. The excess of the purchase price over the tangible and intangible assets acquired and liabilities assumed has been recorded as goodwill of $0.4 million. See Note 10 for more information on how the amount of goodwill was calculated.</w:t>
      </w:r>
    </w:p>
    <w:p>
      <w:pPr>
        <w:spacing w:after="0" w:line="120" w:lineRule="exact"/>
        <w:rPr>
          <w:sz w:val="20"/>
          <w:szCs w:val="20"/>
          <w:color w:val="auto"/>
        </w:rPr>
      </w:pPr>
    </w:p>
    <w:p>
      <w:pPr>
        <w:jc w:val="both"/>
        <w:ind w:firstLine="324"/>
        <w:spacing w:after="0" w:line="344" w:lineRule="auto"/>
        <w:rPr>
          <w:sz w:val="20"/>
          <w:szCs w:val="20"/>
          <w:color w:val="auto"/>
        </w:rPr>
      </w:pPr>
      <w:r>
        <w:rPr>
          <w:rFonts w:ascii="Arial" w:cs="Arial" w:eastAsia="Arial" w:hAnsi="Arial"/>
          <w:sz w:val="17"/>
          <w:szCs w:val="17"/>
          <w:color w:val="auto"/>
        </w:rPr>
        <w:t>On June 1, 2022, the Company acquired Century, which was accounted for as a business combination using the acquisition method of accounting in accordance with ASC Topic 805. The excess of the purchase price over the tangible and intangible assets acquired and liabilities assumed has been recorded as goodwill of $53.4 million. See Note 10 for more information on how the amount of goodwill was calculated.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On December 15, 2022, Century acquired from DEP, Inc. ("Progressive"), a gaming operator in Montana, certain gaming assets and locations. The acquisition was accounted for as a business combination using the acquisition method of accounting in accordance with Topic 805. The excess of the purchase price over the tangible and intangible assets acquired and liabilities assumed has been recorded as goodwill of $1.2 million. See Note 10 for more information on how the amount of goodwill was calculated.</w:t>
      </w:r>
    </w:p>
    <w:p>
      <w:pPr>
        <w:spacing w:after="0" w:line="132" w:lineRule="exact"/>
        <w:rPr>
          <w:sz w:val="20"/>
          <w:szCs w:val="20"/>
          <w:color w:val="auto"/>
        </w:rPr>
      </w:pPr>
    </w:p>
    <w:p>
      <w:pPr>
        <w:jc w:val="both"/>
        <w:ind w:firstLine="324"/>
        <w:spacing w:after="0" w:line="327" w:lineRule="auto"/>
        <w:rPr>
          <w:sz w:val="20"/>
          <w:szCs w:val="20"/>
          <w:color w:val="auto"/>
        </w:rPr>
      </w:pPr>
      <w:r>
        <w:rPr>
          <w:rFonts w:ascii="Arial" w:cs="Arial" w:eastAsia="Arial" w:hAnsi="Arial"/>
          <w:sz w:val="17"/>
          <w:szCs w:val="17"/>
          <w:color w:val="auto"/>
        </w:rPr>
        <w:t>The Company conducted its annual goodwill impairment test on October 1, 2022. The Company conducted a qualitative assessment, or step zero analysis, to determine whether it is more likely than not that the goodwill was impaired. Under the qualitative assessment, the Company considered both positive and negative factors, including macroeconomic conditions, industry events, and financial performance, to make a determination of whether it is more likely than not that the fair value of the goodwill is less than its carrying amount. In performing this assessment, the Company considered such factors as its historical performance, its growth opportunities in existing markets; new markets and new products in determining whether the goodwill was impaired. The Company also referenced its forecasts of revenue, operating income, and capital expenditures and concluded it is more likely than not, that the carrying value of its goodwill was not impaired as of October 1, 2022.</w:t>
      </w:r>
    </w:p>
    <w:p>
      <w:pPr>
        <w:spacing w:after="0" w:line="12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The following is a roll forward of the Company's goodwill (in thousands):</w:t>
            </w: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03"/>
        </w:trPr>
        <w:tc>
          <w:tcPr>
            <w:tcW w:w="234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0"/>
        </w:trPr>
        <w:tc>
          <w:tcPr>
            <w:tcW w:w="2340" w:type="dxa"/>
            <w:vAlign w:val="bottom"/>
          </w:tcPr>
          <w:p>
            <w:pPr>
              <w:spacing w:after="0"/>
              <w:rPr>
                <w:sz w:val="21"/>
                <w:szCs w:val="21"/>
                <w:color w:val="auto"/>
              </w:rPr>
            </w:pPr>
          </w:p>
        </w:tc>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balance as of January 1, 2020</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34,511</w:t>
            </w:r>
          </w:p>
        </w:tc>
      </w:tr>
      <w:tr>
        <w:trPr>
          <w:trHeight w:val="270"/>
        </w:trPr>
        <w:tc>
          <w:tcPr>
            <w:tcW w:w="2340" w:type="dxa"/>
            <w:vAlign w:val="bottom"/>
          </w:tcPr>
          <w:p>
            <w:pPr>
              <w:spacing w:after="0"/>
              <w:rPr>
                <w:sz w:val="23"/>
                <w:szCs w:val="23"/>
                <w:color w:val="auto"/>
              </w:rPr>
            </w:pPr>
          </w:p>
        </w:tc>
        <w:tc>
          <w:tcPr>
            <w:tcW w:w="4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Addition to goodwill for acquisition of AVG</w:t>
            </w: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11,243</w:t>
            </w:r>
          </w:p>
        </w:tc>
      </w:tr>
      <w:tr>
        <w:trPr>
          <w:trHeight w:val="243"/>
        </w:trPr>
        <w:tc>
          <w:tcPr>
            <w:tcW w:w="2340" w:type="dxa"/>
            <w:vAlign w:val="bottom"/>
          </w:tcPr>
          <w:p>
            <w:pPr>
              <w:spacing w:after="0"/>
              <w:rPr>
                <w:sz w:val="21"/>
                <w:szCs w:val="21"/>
                <w:color w:val="auto"/>
              </w:rPr>
            </w:pPr>
          </w:p>
        </w:tc>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balance as of December 31, 2020</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45,754</w:t>
            </w:r>
          </w:p>
        </w:tc>
      </w:tr>
      <w:tr>
        <w:trPr>
          <w:trHeight w:val="270"/>
        </w:trPr>
        <w:tc>
          <w:tcPr>
            <w:tcW w:w="2340" w:type="dxa"/>
            <w:vAlign w:val="bottom"/>
          </w:tcPr>
          <w:p>
            <w:pPr>
              <w:spacing w:after="0"/>
              <w:rPr>
                <w:sz w:val="23"/>
                <w:szCs w:val="23"/>
                <w:color w:val="auto"/>
              </w:rPr>
            </w:pPr>
          </w:p>
        </w:tc>
        <w:tc>
          <w:tcPr>
            <w:tcW w:w="4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Addition to goodwill for acquisition of Rich and Junnie's</w:t>
            </w: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445</w:t>
            </w:r>
          </w:p>
        </w:tc>
      </w:tr>
      <w:tr>
        <w:trPr>
          <w:trHeight w:val="263"/>
        </w:trPr>
        <w:tc>
          <w:tcPr>
            <w:tcW w:w="2340" w:type="dxa"/>
            <w:vAlign w:val="bottom"/>
          </w:tcPr>
          <w:p>
            <w:pPr>
              <w:spacing w:after="0"/>
              <w:rPr>
                <w:sz w:val="22"/>
                <w:szCs w:val="22"/>
                <w:color w:val="auto"/>
              </w:rPr>
            </w:pPr>
          </w:p>
        </w:tc>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balance as of December 31, 2021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46,199</w:t>
            </w:r>
          </w:p>
        </w:tc>
      </w:tr>
      <w:tr>
        <w:trPr>
          <w:trHeight w:val="237"/>
        </w:trPr>
        <w:tc>
          <w:tcPr>
            <w:tcW w:w="2340" w:type="dxa"/>
            <w:vAlign w:val="bottom"/>
          </w:tcPr>
          <w:p>
            <w:pPr>
              <w:spacing w:after="0"/>
              <w:rPr>
                <w:sz w:val="20"/>
                <w:szCs w:val="20"/>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Addition to goodwill for acquisition of Century</w:t>
            </w: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53,356</w:t>
            </w:r>
          </w:p>
        </w:tc>
      </w:tr>
      <w:tr>
        <w:trPr>
          <w:trHeight w:val="27"/>
        </w:trPr>
        <w:tc>
          <w:tcPr>
            <w:tcW w:w="23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340" w:type="dxa"/>
            <w:vAlign w:val="bottom"/>
          </w:tcPr>
          <w:p>
            <w:pPr>
              <w:spacing w:after="0"/>
              <w:rPr>
                <w:sz w:val="23"/>
                <w:szCs w:val="23"/>
                <w:color w:val="auto"/>
              </w:rPr>
            </w:pPr>
          </w:p>
        </w:tc>
        <w:tc>
          <w:tcPr>
            <w:tcW w:w="4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Addition to goodwill for acquisition of Progressive</w:t>
            </w: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w:t>
            </w:r>
          </w:p>
        </w:tc>
      </w:tr>
      <w:tr>
        <w:trPr>
          <w:trHeight w:val="237"/>
        </w:trPr>
        <w:tc>
          <w:tcPr>
            <w:tcW w:w="234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Goodwill balance as of December 31, 2022</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100,707</w:t>
            </w:r>
          </w:p>
        </w:tc>
      </w:tr>
      <w:tr>
        <w:trPr>
          <w:trHeight w:val="27"/>
        </w:trPr>
        <w:tc>
          <w:tcPr>
            <w:tcW w:w="23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23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Other intangible assets, net of $23.0 million as of December 31, 2022 consist of definite-lived trade names, customer relationships, and software applications. Other intangible assets are related to the 2022 acquisition of Century. The Company determines the fair value of trade name assets acquired in acquisitions using a relief from royalty valuation method which requires assumptions such as projected revenue and a royalty rate. Other intangible assets are amortized over their estimated 7 to 20-year useful lives. Amortization expense of other intangible assets was $1.4 million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Note 9. Debt</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05"/>
        </w:trPr>
        <w:tc>
          <w:tcPr>
            <w:tcW w:w="6960" w:type="dxa"/>
            <w:vAlign w:val="bottom"/>
            <w:gridSpan w:val="2"/>
          </w:tcPr>
          <w:p>
            <w:pPr>
              <w:spacing w:after="0"/>
              <w:rPr>
                <w:sz w:val="20"/>
                <w:szCs w:val="20"/>
                <w:color w:val="auto"/>
              </w:rPr>
            </w:pPr>
            <w:r>
              <w:rPr>
                <w:rFonts w:ascii="Arial" w:cs="Arial" w:eastAsia="Arial" w:hAnsi="Arial"/>
                <w:sz w:val="18"/>
                <w:szCs w:val="18"/>
                <w:color w:val="auto"/>
              </w:rPr>
              <w:t>The Company’s debt as of December 31, consisted of the following (in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2"/>
        </w:trPr>
        <w:tc>
          <w:tcPr>
            <w:tcW w:w="1460" w:type="dxa"/>
            <w:vAlign w:val="bottom"/>
          </w:tcPr>
          <w:p>
            <w:pPr>
              <w:spacing w:after="0"/>
              <w:rPr>
                <w:sz w:val="24"/>
                <w:szCs w:val="24"/>
                <w:color w:val="auto"/>
              </w:rPr>
            </w:pPr>
          </w:p>
        </w:tc>
        <w:tc>
          <w:tcPr>
            <w:tcW w:w="55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30"/>
        </w:trPr>
        <w:tc>
          <w:tcPr>
            <w:tcW w:w="1460" w:type="dxa"/>
            <w:vAlign w:val="bottom"/>
          </w:tcPr>
          <w:p>
            <w:pPr>
              <w:spacing w:after="0"/>
              <w:rPr>
                <w:sz w:val="20"/>
                <w:szCs w:val="20"/>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Credit Facility (as amended):</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70"/>
        </w:trPr>
        <w:tc>
          <w:tcPr>
            <w:tcW w:w="1460" w:type="dxa"/>
            <w:vAlign w:val="bottom"/>
          </w:tcPr>
          <w:p>
            <w:pPr>
              <w:spacing w:after="0"/>
              <w:rPr>
                <w:sz w:val="23"/>
                <w:szCs w:val="23"/>
                <w:color w:val="auto"/>
              </w:rPr>
            </w:pPr>
          </w:p>
        </w:tc>
        <w:tc>
          <w:tcPr>
            <w:tcW w:w="5500" w:type="dxa"/>
            <w:vAlign w:val="bottom"/>
          </w:tcPr>
          <w:p>
            <w:pPr>
              <w:ind w:left="220"/>
              <w:spacing w:after="0"/>
              <w:rPr>
                <w:sz w:val="20"/>
                <w:szCs w:val="20"/>
                <w:color w:val="auto"/>
              </w:rPr>
            </w:pPr>
            <w:r>
              <w:rPr>
                <w:rFonts w:ascii="Arial" w:cs="Arial" w:eastAsia="Arial" w:hAnsi="Arial"/>
                <w:sz w:val="18"/>
                <w:szCs w:val="18"/>
                <w:color w:val="auto"/>
              </w:rPr>
              <w:t>Revolving credit facility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121,000</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146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Term Loan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328,125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r>
      <w:tr>
        <w:trPr>
          <w:trHeight w:val="270"/>
        </w:trPr>
        <w:tc>
          <w:tcPr>
            <w:tcW w:w="1460" w:type="dxa"/>
            <w:vAlign w:val="bottom"/>
          </w:tcPr>
          <w:p>
            <w:pPr>
              <w:spacing w:after="0"/>
              <w:rPr>
                <w:sz w:val="23"/>
                <w:szCs w:val="23"/>
                <w:color w:val="auto"/>
              </w:rPr>
            </w:pPr>
          </w:p>
        </w:tc>
        <w:tc>
          <w:tcPr>
            <w:tcW w:w="5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Delayed Draw Term Loan (DDTL)</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96,250</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46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545,375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r>
      <w:tr>
        <w:trPr>
          <w:trHeight w:val="270"/>
        </w:trPr>
        <w:tc>
          <w:tcPr>
            <w:tcW w:w="1460" w:type="dxa"/>
            <w:vAlign w:val="bottom"/>
          </w:tcPr>
          <w:p>
            <w:pPr>
              <w:spacing w:after="0"/>
              <w:rPr>
                <w:sz w:val="23"/>
                <w:szCs w:val="23"/>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Add: Remaining premium on interest rate caplets financed as debt</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460" w:type="dxa"/>
            <w:vAlign w:val="bottom"/>
          </w:tcPr>
          <w:p>
            <w:pPr>
              <w:spacing w:after="0"/>
              <w:rPr>
                <w:sz w:val="23"/>
                <w:szCs w:val="23"/>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Debt issuance costs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(8,478)</w:t>
            </w:r>
          </w:p>
        </w:tc>
      </w:tr>
      <w:tr>
        <w:trPr>
          <w:trHeight w:val="237"/>
        </w:trPr>
        <w:tc>
          <w:tcPr>
            <w:tcW w:w="1460" w:type="dxa"/>
            <w:vAlign w:val="bottom"/>
          </w:tcPr>
          <w:p>
            <w:pPr>
              <w:spacing w:after="0"/>
              <w:rPr>
                <w:sz w:val="20"/>
                <w:szCs w:val="20"/>
                <w:color w:val="auto"/>
              </w:rPr>
            </w:pPr>
          </w:p>
        </w:tc>
        <w:tc>
          <w:tcPr>
            <w:tcW w:w="5500" w:type="dxa"/>
            <w:vAlign w:val="bottom"/>
          </w:tcPr>
          <w:p>
            <w:pPr>
              <w:ind w:left="540"/>
              <w:spacing w:after="0"/>
              <w:rPr>
                <w:sz w:val="20"/>
                <w:szCs w:val="20"/>
                <w:color w:val="auto"/>
              </w:rPr>
            </w:pPr>
            <w:r>
              <w:rPr>
                <w:rFonts w:ascii="Arial" w:cs="Arial" w:eastAsia="Arial" w:hAnsi="Arial"/>
                <w:sz w:val="18"/>
                <w:szCs w:val="18"/>
                <w:color w:val="auto"/>
              </w:rPr>
              <w:t>Total debt, net of debt issuance costs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542,032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341,522</w:t>
            </w:r>
          </w:p>
        </w:tc>
      </w:tr>
      <w:tr>
        <w:trPr>
          <w:trHeight w:val="27"/>
        </w:trPr>
        <w:tc>
          <w:tcPr>
            <w:tcW w:w="14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1460" w:type="dxa"/>
            <w:vAlign w:val="bottom"/>
          </w:tcPr>
          <w:p>
            <w:pPr>
              <w:spacing w:after="0"/>
              <w:rPr>
                <w:sz w:val="23"/>
                <w:szCs w:val="23"/>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(23,466)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237"/>
        </w:trPr>
        <w:tc>
          <w:tcPr>
            <w:tcW w:w="1460" w:type="dxa"/>
            <w:vAlign w:val="bottom"/>
          </w:tcPr>
          <w:p>
            <w:pPr>
              <w:spacing w:after="0"/>
              <w:rPr>
                <w:sz w:val="20"/>
                <w:szCs w:val="20"/>
                <w:color w:val="auto"/>
              </w:rPr>
            </w:pPr>
          </w:p>
        </w:tc>
        <w:tc>
          <w:tcPr>
            <w:tcW w:w="5500" w:type="dxa"/>
            <w:vAlign w:val="bottom"/>
          </w:tcPr>
          <w:p>
            <w:pPr>
              <w:ind w:left="540"/>
              <w:spacing w:after="0"/>
              <w:rPr>
                <w:sz w:val="20"/>
                <w:szCs w:val="20"/>
                <w:color w:val="auto"/>
              </w:rPr>
            </w:pPr>
            <w:r>
              <w:rPr>
                <w:rFonts w:ascii="Arial" w:cs="Arial" w:eastAsia="Arial" w:hAnsi="Arial"/>
                <w:sz w:val="18"/>
                <w:szCs w:val="18"/>
                <w:color w:val="auto"/>
              </w:rPr>
              <w:t>Total debt, net of current maturities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518,566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324,022</w:t>
            </w:r>
          </w:p>
        </w:tc>
      </w:tr>
      <w:tr>
        <w:trPr>
          <w:trHeight w:val="27"/>
        </w:trPr>
        <w:tc>
          <w:tcPr>
            <w:tcW w:w="14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14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85" w:lineRule="exact"/>
        <w:rPr>
          <w:sz w:val="20"/>
          <w:szCs w:val="20"/>
          <w:color w:val="auto"/>
        </w:rPr>
      </w:pPr>
    </w:p>
    <w:p>
      <w:pPr>
        <w:jc w:val="both"/>
        <w:ind w:firstLine="324"/>
        <w:spacing w:after="0" w:line="360" w:lineRule="auto"/>
        <w:rPr>
          <w:sz w:val="20"/>
          <w:szCs w:val="20"/>
          <w:color w:val="auto"/>
        </w:rPr>
      </w:pPr>
      <w:r>
        <w:rPr>
          <w:rFonts w:ascii="Arial" w:cs="Arial" w:eastAsia="Arial" w:hAnsi="Arial"/>
          <w:sz w:val="16"/>
          <w:szCs w:val="16"/>
          <w:color w:val="auto"/>
        </w:rPr>
        <w:t>On November 13, 2019, in order to refinance its prior credit facility, for working capital and other general purposes from time to time, the Company entered into a credit agreement (the “Credit Agreement”) as borrower, the Company and its wholly-owned domestic subsidiaries, as a guarantor,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spacing w:after="0" w:line="71" w:lineRule="exact"/>
        <w:rPr>
          <w:sz w:val="20"/>
          <w:szCs w:val="20"/>
          <w:color w:val="auto"/>
        </w:rPr>
      </w:pPr>
    </w:p>
    <w:p>
      <w:pPr>
        <w:ind w:left="660" w:right="20" w:hanging="328"/>
        <w:spacing w:after="0" w:line="34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$100.0 million revolving credit facility, including a letter of credit facility with a $10.0 million sublimit and a swing line facility with a $10.0 million sublimit,</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$240.0 million initial term loan facility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$125.0 million additional term loan facility.</w:t>
      </w:r>
    </w:p>
    <w:p>
      <w:pPr>
        <w:spacing w:after="0" w:line="198"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The additional term loan facility was available for borrowings until November 13, 2020. Each of the revolving loans and the term loans were scheduled to mature on November 13, 2024. The Company incurred $8.8 million of debt issuance costs related to the Senior Secured Credit Facility, which are being amortized over the life of the Facility.</w:t>
      </w:r>
    </w:p>
    <w:p>
      <w:pPr>
        <w:spacing w:after="0" w:line="116"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7"/>
          <w:szCs w:val="17"/>
          <w:color w:val="auto"/>
        </w:rPr>
        <w:t>Given the uncertainty of COVID-19 and its variants and the resulting potential impact to the gaming industry, as well as to provide additional financial flexibility, the Company and the other parties thereto amended the Credit Agreement on August 4, 2020 ("Amendment No. 1") to provide a waiver of financial covenant breach for the periods ended September 30, 2020 through March 31, 2021 of the First Lien Net Leverage Ratio and Fixed Charge Coverage Ratio (each as defined under the Credit Agreement). Amendment No. 1 also raised the floor for the adjusted LIBOR rate to 0.50% and the floor for the Base Rate to 1.50%. The Company incurred costs of $0.4 million associated with Amendment No.1 of the Credit Agreement, of which $0.3 million was capitalized and is being amortized over the remaining life of the Credit Agreement. The waivers of financial covenant breach were never utilized as the Company remained in compliance with all debt covenants during these periods.</w:t>
      </w:r>
    </w:p>
    <w:p>
      <w:pPr>
        <w:spacing w:after="0" w:line="110" w:lineRule="exact"/>
        <w:rPr>
          <w:sz w:val="20"/>
          <w:szCs w:val="20"/>
          <w:color w:val="auto"/>
        </w:rPr>
      </w:pPr>
    </w:p>
    <w:p>
      <w:pPr>
        <w:jc w:val="both"/>
        <w:ind w:right="20" w:firstLine="324"/>
        <w:spacing w:after="0" w:line="324" w:lineRule="auto"/>
        <w:rPr>
          <w:sz w:val="20"/>
          <w:szCs w:val="20"/>
          <w:color w:val="auto"/>
        </w:rPr>
      </w:pPr>
      <w:r>
        <w:rPr>
          <w:rFonts w:ascii="Arial" w:cs="Arial" w:eastAsia="Arial" w:hAnsi="Arial"/>
          <w:sz w:val="18"/>
          <w:szCs w:val="18"/>
          <w:color w:val="auto"/>
        </w:rPr>
        <w:t>On October 22, 2021, in order to increase the borrowing capacity under the Credit Agreement, the Company and the other parties thereto entered into Amendment No. 2 to the Credit Agreement (“Amendment No. 2”). Amendment No. 2, among other things, provides for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the amount of the revolving credit facility from $100.0 million to $150.0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$350.0 million initial term loan facility, the proceeds of which were applied to refinancing existing indebtedness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$400.0 million delayed draw term loan facility, which is available for borrowings until October 22, 2023.</w:t>
      </w:r>
    </w:p>
    <w:p>
      <w:pPr>
        <w:spacing w:after="0" w:line="198"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The maturity date of the Credit Agreement was extended to October 22, 2026. The interest rate and covenants remain unchanged. The Company incurred $4.3 million in debt issuance costs associated with Amendment No. 2. The debt issuance costs are presented as a non-cash item on the consolidated statements of cash flows (less the portion impacting net income which are presented within operating activities) as they were financed with borrowings under the term loan. The Company also recognized a loss on debt extinguishment of $1.2 million for the year ended December 31, 2021 due to a partial extinguishment associated with certain lenders whose borrowing capacity decreased with the amendment.</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there remained $329 million of availability under the Credit Agreement.</w:t>
      </w:r>
    </w:p>
    <w:p>
      <w:pPr>
        <w:spacing w:after="0" w:line="198"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The obligations under the Credit Agreement are guaranteed by the Company and its wholly-owned domestic subsidiaries (collectively, the “Guarantors”), subject to certain exceptions. The obligations under the Credit Agreement are secured by substantially all of the assets of the Guarantors, subject to certain exceptions. Certain future-formed or acquired wholly-owned domestic subsidiaries of the Company will also be required to guarantee the Credit Agreement and grant a security interest in substantially all of their assets, subject to certain exceptions, to secure the obligations under the Credit Agreement.</w:t>
      </w:r>
    </w:p>
    <w:p>
      <w:pPr>
        <w:spacing w:after="0" w:line="120"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color w:val="auto"/>
        </w:rPr>
        <w:t>Borrowings under the Credit Agreement bear interest, at the Company’s option, at a rate per annum equal to either (a) the adjusted LIBOR rate (“LIBOR”) (which cannot be less than 0.5%) for interest periods of 1, 2, 3 or 6 months (or if consented to by (i) each applicable Lender, 12 months or any period shorter than 1 month or (ii) the Agent, a shorter period necessary to ensure that the end of the relevant interest period would coincide with any required amortization payment) plus the applicable LIBOR margin or (b) the alternative base rate (“ABR”) plus the applicable ABR margin. ABR is a fluctuating rate per annum equal to the highest of (i) the Federal Funds Effective Rate plus 1/2 of 1.0%, (ii) the prime rate announced from time to time by Capital One, National Association and (iii) LIBOR for a 1-month interest period on such day plus 1.0%. The Credit Agreement also includes provisions for determining a replacement rate when LIBOR is no longer available. As of December 31, 2022, the weighted-average interest rate was approximately 4.4%.</w:t>
      </w:r>
    </w:p>
    <w:p>
      <w:pPr>
        <w:spacing w:after="0" w:line="95"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8"/>
          <w:szCs w:val="18"/>
          <w:color w:val="auto"/>
        </w:rPr>
        <w:t>Interest is payable quarterly in arrears for ABR loans, at the end of the applicable interest period for LIBOR loans (but not less frequently than quarterly) and upon the prepayment or maturity of the underlying loans. The Company is required to pay a commitment fee quarterly in arrears in respect of unused commitments under the revolving credit facility and the additional term loan facility.</w:t>
      </w:r>
    </w:p>
    <w:p>
      <w:pPr>
        <w:spacing w:after="0" w:line="95" w:lineRule="exact"/>
        <w:rPr>
          <w:sz w:val="20"/>
          <w:szCs w:val="20"/>
          <w:color w:val="auto"/>
        </w:rPr>
      </w:pPr>
    </w:p>
    <w:p>
      <w:pPr>
        <w:jc w:val="both"/>
        <w:ind w:firstLine="324"/>
        <w:spacing w:after="0" w:line="344" w:lineRule="auto"/>
        <w:rPr>
          <w:sz w:val="20"/>
          <w:szCs w:val="20"/>
          <w:color w:val="auto"/>
        </w:rPr>
      </w:pPr>
      <w:r>
        <w:rPr>
          <w:rFonts w:ascii="Arial" w:cs="Arial" w:eastAsia="Arial" w:hAnsi="Arial"/>
          <w:sz w:val="17"/>
          <w:szCs w:val="17"/>
          <w:color w:val="auto"/>
        </w:rPr>
        <w:t>The applicable LIBOR and ABR margins and the commitment fee rate are calculated based upon the first lien net leverage ratio of the Company and its restricted subsidiaries on a consolidated basis, as defined in the Credit Agreement. The revolving loans and term loans bear interest at either (a) ABR (150 bps floor) plus a margin up to 1.75% or (b) LIBOR (50 bps floor) plus a margin up to 2.75%, at the option of the Company.</w:t>
      </w:r>
    </w:p>
    <w:p>
      <w:pPr>
        <w:spacing w:after="0" w:line="91"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The term loans and, once drawn, the additional term loans will amortize at an annual rate equal to approximately 5.00% per annum. Upon the consummation of certain non-ordinary course asset sales, the Company may be required to apply the net cash proceeds thereof to prepay outstanding term loans and additional term loans. The loans under the Credit Agreement may be prepaid without premium or penalty, subject to customary LIBOR “breakage” costs.</w:t>
      </w:r>
    </w:p>
    <w:p>
      <w:pPr>
        <w:spacing w:after="0" w:line="119" w:lineRule="exact"/>
        <w:rPr>
          <w:sz w:val="20"/>
          <w:szCs w:val="20"/>
          <w:color w:val="auto"/>
        </w:rPr>
      </w:pPr>
    </w:p>
    <w:p>
      <w:pPr>
        <w:jc w:val="both"/>
        <w:ind w:firstLine="324"/>
        <w:spacing w:after="0" w:line="395" w:lineRule="auto"/>
        <w:rPr>
          <w:sz w:val="20"/>
          <w:szCs w:val="20"/>
          <w:color w:val="auto"/>
        </w:rPr>
      </w:pPr>
      <w:r>
        <w:rPr>
          <w:rFonts w:ascii="Arial" w:cs="Arial" w:eastAsia="Arial" w:hAnsi="Arial"/>
          <w:sz w:val="16"/>
          <w:szCs w:val="16"/>
          <w:color w:val="auto"/>
        </w:rPr>
        <w:t>The Credit Agreement contains certain customary affirmative and negative covenants and events of default and requires the Company and certain of its affiliates obligated under the Credit Agreement to make customary representations and warranties in connection with credit extensions thereunder.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In addition, the Credit Agreement requires the Company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the Closing Date and determined on the basis of the four most recently ended fiscal quarters of the Company for which financial statements have been delivered pursuant to the Credit Agreement, subject to customary “equity cure” rights.</w:t>
      </w:r>
    </w:p>
    <w:p>
      <w:pPr>
        <w:spacing w:after="0" w:line="10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If an event of default (as such term is defined in the Credit Agreement) occurs, the lenders would be entitled to take various actions, including the acceleration of amounts due under the Credit Agreement, termination of the lenders’ commitments thereunder, foreclosure on collateral, and all other remedial actions available to a secured creditor. The failure to pay certain amounts owing under the Credit Agreement may result in an increase in the interest rate applicable thereto.</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was in compliance with all debt covenants as of December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caplets</w:t>
      </w:r>
    </w:p>
    <w:p>
      <w:pPr>
        <w:spacing w:after="0" w:line="212" w:lineRule="exact"/>
        <w:rPr>
          <w:sz w:val="20"/>
          <w:szCs w:val="20"/>
          <w:color w:val="auto"/>
        </w:rPr>
      </w:pPr>
    </w:p>
    <w:p>
      <w:pPr>
        <w:jc w:val="both"/>
        <w:ind w:firstLine="324"/>
        <w:spacing w:after="0" w:line="322" w:lineRule="auto"/>
        <w:rPr>
          <w:sz w:val="20"/>
          <w:szCs w:val="20"/>
          <w:color w:val="auto"/>
        </w:rPr>
      </w:pPr>
      <w:r>
        <w:rPr>
          <w:rFonts w:ascii="Arial" w:cs="Arial" w:eastAsia="Arial" w:hAnsi="Arial"/>
          <w:sz w:val="17"/>
          <w:szCs w:val="17"/>
          <w:color w:val="auto"/>
        </w:rPr>
        <w:t>The Company manages its exposure to some of its interest rate risk through the use of interest rate caplets, which are derivative financial instruments. On January 12, 2022, the Company hedged the variability of the cash flows attributable to the changes in the 1-month LIBOR interest rate on the first $300 million of the term loan under the Credit Agreement by entering into a 4-year series of 48 deferred premium caplets (“caplets”). The caplets mature at the end of each month and protect the Company if interest rates exceed 2% of 1-month LIBOR. The maturing dates of these caplets coincide with the timing of the Company's interest payments and each caplet is expected to be highly effective at offsetting changes in interest payment cash flows. The aggregate premium for these caplets was $3.9 million, which was the initial fair value of the caplets recorded in the Company's financial statements, and was financed as additional debt. The Company recognized an unrealized gain on the change in fair value of the interest rate caplets of $12.2 million, net of income taxes, for the year ended December 31, 2022. For more information on how the Company determines the fair value of the caplets, see Note 13. Further, as the 1-month LIBOR interest rate exceeded 2% in second half of 2022, the Company recognized interest income on the caplets of $1.5 million for the year ended December 31, 2022, which is reflected in interest expense, net in the consolidated statements of operations and other comprehensive income (loss).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maturities of long-term debt as of December 31, 2022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134620</wp:posOffset>
            </wp:positionV>
            <wp:extent cx="295719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2957195" cy="171450"/>
                    </a:xfrm>
                    <a:prstGeom prst="rect">
                      <a:avLst/>
                    </a:prstGeom>
                    <a:noFill/>
                  </pic:spPr>
                </pic:pic>
              </a:graphicData>
            </a:graphic>
          </wp:anchor>
        </w:drawing>
      </w:r>
    </w:p>
    <w:p>
      <w:pPr>
        <w:spacing w:after="0" w:line="20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Year ending December 31:</w:t>
      </w:r>
    </w:p>
    <w:p>
      <w:pPr>
        <w:spacing w:after="0" w:line="63" w:lineRule="exact"/>
        <w:rPr>
          <w:sz w:val="20"/>
          <w:szCs w:val="20"/>
          <w:color w:val="auto"/>
        </w:rPr>
      </w:pPr>
    </w:p>
    <w:tbl>
      <w:tblPr>
        <w:tblLayout w:type="fixed"/>
        <w:tblInd w:w="3460" w:type="dxa"/>
        <w:tblCellMar>
          <w:top w:w="0" w:type="dxa"/>
          <w:left w:w="0" w:type="dxa"/>
          <w:bottom w:w="0" w:type="dxa"/>
          <w:right w:w="0" w:type="dxa"/>
        </w:tblCellMar>
      </w:tblPr>
      <w:tr>
        <w:trPr>
          <w:trHeight w:val="230"/>
        </w:trPr>
        <w:tc>
          <w:tcPr>
            <w:tcW w:w="3300" w:type="dxa"/>
            <w:vAlign w:val="bottom"/>
          </w:tcPr>
          <w:p>
            <w:pPr>
              <w:jc w:val="right"/>
              <w:ind w:right="2390"/>
              <w:spacing w:after="0"/>
              <w:rPr>
                <w:sz w:val="20"/>
                <w:szCs w:val="20"/>
                <w:color w:val="auto"/>
              </w:rPr>
            </w:pPr>
            <w:r>
              <w:rPr>
                <w:rFonts w:ascii="Arial" w:cs="Arial" w:eastAsia="Arial" w:hAnsi="Arial"/>
                <w:sz w:val="18"/>
                <w:szCs w:val="18"/>
                <w:color w:val="auto"/>
              </w:rPr>
              <w:t>2023</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23,466</w:t>
            </w:r>
          </w:p>
        </w:tc>
      </w:tr>
      <w:tr>
        <w:trPr>
          <w:trHeight w:val="27"/>
        </w:trPr>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jc w:val="right"/>
              <w:ind w:right="2390"/>
              <w:spacing w:after="0"/>
              <w:rPr>
                <w:sz w:val="20"/>
                <w:szCs w:val="20"/>
                <w:color w:val="auto"/>
              </w:rPr>
            </w:pPr>
            <w:r>
              <w:rPr>
                <w:rFonts w:ascii="Arial" w:cs="Arial" w:eastAsia="Arial" w:hAnsi="Arial"/>
                <w:sz w:val="18"/>
                <w:szCs w:val="18"/>
                <w:color w:val="auto"/>
              </w:rPr>
              <w:t>2024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23,466</w:t>
            </w:r>
          </w:p>
        </w:tc>
      </w:tr>
      <w:tr>
        <w:trPr>
          <w:trHeight w:val="243"/>
        </w:trPr>
        <w:tc>
          <w:tcPr>
            <w:tcW w:w="3300" w:type="dxa"/>
            <w:vAlign w:val="bottom"/>
          </w:tcPr>
          <w:p>
            <w:pPr>
              <w:jc w:val="right"/>
              <w:ind w:right="239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23,466</w:t>
            </w:r>
          </w:p>
        </w:tc>
      </w:tr>
      <w:tr>
        <w:trPr>
          <w:trHeight w:val="27"/>
        </w:trPr>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300" w:type="dxa"/>
            <w:vAlign w:val="bottom"/>
            <w:tcBorders>
              <w:bottom w:val="single" w:sz="8" w:color="CCEEFF"/>
            </w:tcBorders>
            <w:shd w:val="clear" w:color="auto" w:fill="CCEEFF"/>
          </w:tcPr>
          <w:p>
            <w:pPr>
              <w:jc w:val="right"/>
              <w:ind w:right="2390"/>
              <w:spacing w:after="0"/>
              <w:rPr>
                <w:sz w:val="20"/>
                <w:szCs w:val="20"/>
                <w:color w:val="auto"/>
              </w:rPr>
            </w:pPr>
            <w:r>
              <w:rPr>
                <w:rFonts w:ascii="Arial" w:cs="Arial" w:eastAsia="Arial" w:hAnsi="Arial"/>
                <w:sz w:val="18"/>
                <w:szCs w:val="18"/>
                <w:color w:val="auto"/>
              </w:rPr>
              <w:t>2026</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474,977</w:t>
            </w:r>
          </w:p>
        </w:tc>
      </w:tr>
      <w:tr>
        <w:trPr>
          <w:trHeight w:val="237"/>
        </w:trPr>
        <w:tc>
          <w:tcPr>
            <w:tcW w:w="3300" w:type="dxa"/>
            <w:vAlign w:val="bottom"/>
          </w:tcPr>
          <w:p>
            <w:pPr>
              <w:jc w:val="right"/>
              <w:ind w:right="2470"/>
              <w:spacing w:after="0"/>
              <w:rPr>
                <w:sz w:val="20"/>
                <w:szCs w:val="20"/>
                <w:color w:val="auto"/>
              </w:rPr>
            </w:pPr>
            <w:r>
              <w:rPr>
                <w:rFonts w:ascii="Arial" w:cs="Arial" w:eastAsia="Arial" w:hAnsi="Arial"/>
                <w:sz w:val="18"/>
                <w:szCs w:val="18"/>
                <w:color w:val="auto"/>
                <w:w w:val="89"/>
              </w:rPr>
              <w:t>Total debt</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545,375</w:t>
            </w:r>
          </w:p>
        </w:tc>
      </w:tr>
      <w:tr>
        <w:trPr>
          <w:trHeight w:val="27"/>
        </w:trPr>
        <w:tc>
          <w:tcPr>
            <w:tcW w:w="33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The fair value of the Company’s debt at December 31, 2022 and 2021 was estimated using a discounted cash flow model, which forecasts future interest and principal payments. The forecasted cash flows were discounted back to present value using the term-matched risk-free rate plus an option adjusted spread to account for credit risk. The option adjusted spread was calculated as of the debt's issuance date and then adjusted to the valuation date. The inputs used to determine the fair value were classified as Level 2 in the fair value hierarchy as defined in Note 13.</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and estimated fair value the Company's debt at December 31, was as follows (in thousands):</w:t>
      </w:r>
    </w:p>
    <w:p>
      <w:pPr>
        <w:spacing w:after="0" w:line="167" w:lineRule="exact"/>
        <w:rPr>
          <w:sz w:val="20"/>
          <w:szCs w:val="20"/>
          <w:color w:val="auto"/>
        </w:rPr>
      </w:pPr>
    </w:p>
    <w:tbl>
      <w:tblPr>
        <w:tblLayout w:type="fixed"/>
        <w:tblInd w:w="262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value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545,375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Estimated fair value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522,693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331,122</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and Asset Acquisitions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Business 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Progressive</w:t>
      </w:r>
    </w:p>
    <w:p>
      <w:pPr>
        <w:spacing w:after="0" w:line="212" w:lineRule="exact"/>
        <w:rPr>
          <w:sz w:val="20"/>
          <w:szCs w:val="20"/>
          <w:color w:val="auto"/>
        </w:rPr>
      </w:pPr>
    </w:p>
    <w:p>
      <w:pPr>
        <w:jc w:val="both"/>
        <w:ind w:firstLine="324"/>
        <w:spacing w:after="0" w:line="307" w:lineRule="auto"/>
        <w:rPr>
          <w:sz w:val="20"/>
          <w:szCs w:val="20"/>
          <w:color w:val="auto"/>
        </w:rPr>
      </w:pPr>
      <w:r>
        <w:rPr>
          <w:rFonts w:ascii="Arial" w:cs="Arial" w:eastAsia="Arial" w:hAnsi="Arial"/>
          <w:sz w:val="18"/>
          <w:szCs w:val="18"/>
          <w:color w:val="auto"/>
        </w:rPr>
        <w:t xml:space="preserve">On December 15, 2022, Century, the Company’s wholly owned subsidiary, acquired from DEP, Inc. ("Progressive"), a gaming operator in Montana, certain gaming assets and locations. The acquisition of Progressive adds 26 Montana gaming locations and approximately 300 gaming terminals to the Century portfolio. The total purchase price was $6.4 million, which Century paid in cash at closing. The acquisition was accounted for as a business combination using the acquisition method of accounting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(“Topic 805”). The purchase price was allocated to the following assets: i) gaming terminals and amusement equipment totaling $0.9 million; ii) location contracts totaling $4.3 million; and iii) goodwill totaling $1.2 million. The results of operations for Progressive are included in the consolidated financial statements of the Company from the date of acquisition and were not material.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River City</w:t>
      </w:r>
    </w:p>
    <w:p>
      <w:pPr>
        <w:spacing w:after="0" w:line="212"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7"/>
          <w:szCs w:val="17"/>
          <w:color w:val="auto"/>
        </w:rPr>
        <w:t>On September 9, 2022, the Company acquired from River City Amusement Company (“River City”) all of its operating assets in Nebraska, Iowa and South Dakota. River City's operations in these states consist of the ownership and operation of MAD and amusement equipment, as well as ATMs in the approximately 120 locations it serves. The total purchase price was approximately $2.8 million, which the Company paid in cash at closing. The acquisition was accounted for as a business combination using the acquisition method of accounting in accordance with Topic 805. The purchase price was allocated to the following assets: i) gaming terminals and equipment totaling $0.1 million; ii) amusement and other equipment totaling $0.9 million; iii) location contracts totaling $1.7 million; and iv) cash totaling $0.1 million. The results of operations for River City are included in the consolidated financial statements of the Company from the date of acquisition and were not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VVS</w:t>
      </w:r>
    </w:p>
    <w:p>
      <w:pPr>
        <w:spacing w:after="0" w:line="212" w:lineRule="exact"/>
        <w:rPr>
          <w:sz w:val="20"/>
          <w:szCs w:val="20"/>
          <w:color w:val="auto"/>
        </w:rPr>
      </w:pPr>
    </w:p>
    <w:p>
      <w:pPr>
        <w:jc w:val="both"/>
        <w:spacing w:after="0" w:line="348" w:lineRule="auto"/>
        <w:rPr>
          <w:sz w:val="20"/>
          <w:szCs w:val="20"/>
          <w:color w:val="auto"/>
        </w:rPr>
      </w:pPr>
      <w:r>
        <w:rPr>
          <w:rFonts w:ascii="Arial" w:cs="Arial" w:eastAsia="Arial" w:hAnsi="Arial"/>
          <w:sz w:val="16"/>
          <w:szCs w:val="16"/>
          <w:color w:val="auto"/>
        </w:rPr>
        <w:t>On August 1, 2022, the Company acquired from VVS, Inc. (“VVS”), a licensed distributor of MADs in Nebraska, substantially all of its MAD and ATM assets. The acquisition of VVS adds approximately 250 locations in the greater Lincoln area. The total purchase price was approximately $12.0 million, of which the Company paid approximately $9.5 million in cash at closing. The remaining $2.5 million of contingent consideration is to be paid in cash if a net revenue target is achieved as of the first anniversary of the consummation of the transaction. The fair value of the contingent consideration was $2.4 million as of December 31, 2022 and is included within consideration payable on the consolidated balance sheet. The acquisition was accounted for as a business combination using the acquisition method of accounting in accordance with Topic 805. The purchase price was allocated to the following assets: i) gaming terminals and equipment totaling $0.9 million; ii) amusement and other equipment totaling $3.9 million; and iii) location contracts totaling $7.2 million. The results of operations for VVS are included in the consolidated financial statements of the Company from the date of acquisition and were not material.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w:t>
      </w:r>
    </w:p>
    <w:p>
      <w:pPr>
        <w:spacing w:after="0" w:line="212" w:lineRule="exact"/>
        <w:rPr>
          <w:sz w:val="20"/>
          <w:szCs w:val="20"/>
          <w:color w:val="auto"/>
        </w:rPr>
      </w:pPr>
    </w:p>
    <w:p>
      <w:pPr>
        <w:jc w:val="both"/>
        <w:ind w:firstLine="324"/>
        <w:spacing w:after="0" w:line="364" w:lineRule="auto"/>
        <w:rPr>
          <w:sz w:val="20"/>
          <w:szCs w:val="20"/>
          <w:color w:val="auto"/>
        </w:rPr>
      </w:pPr>
      <w:r>
        <w:rPr>
          <w:rFonts w:ascii="Arial" w:cs="Arial" w:eastAsia="Arial" w:hAnsi="Arial"/>
          <w:sz w:val="16"/>
          <w:szCs w:val="16"/>
          <w:color w:val="auto"/>
        </w:rPr>
        <w:t>On June 1, 2022, the Company completed its previously announced acquisition of all of the outstanding equity interests of Century pursuant to the terms of a Securities Purchase Agreement (the “Purchase Agreement”), dated March 2, 2021, by and among Century, the shareholders of Century, and the Company. Century is Montana’s largest gaming operator and a leader in the Nevada gaming market as well as a manufacturer of gaming terminals.</w:t>
      </w:r>
    </w:p>
    <w:p>
      <w:pPr>
        <w:spacing w:after="0" w:line="108"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The acquisition aggregate purchase consideration transferred totaled $164.3 million, which included: i) a cash payment made at closing of $45.5 million to the equity holders of Century; ii) repayment of $113.2 million of Century's indebtedness; and iii) 515,622 shares of the Company’s Class A-1 common stock issued to certain members of Century’s management with a fair value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of $5.6 million on the acquisition date. The cash payments were financed using cash from a draw of approximately $160 million from the Company’s revolving credit facility and delayed draw term loan facility under the Credit Agreement.</w:t>
      </w:r>
    </w:p>
    <w:p>
      <w:pPr>
        <w:spacing w:after="0" w:line="116" w:lineRule="exact"/>
        <w:rPr>
          <w:sz w:val="20"/>
          <w:szCs w:val="20"/>
          <w:color w:val="auto"/>
        </w:rPr>
      </w:pPr>
    </w:p>
    <w:p>
      <w:pPr>
        <w:jc w:val="both"/>
        <w:ind w:firstLine="324"/>
        <w:spacing w:after="0" w:line="307" w:lineRule="auto"/>
        <w:rPr>
          <w:sz w:val="20"/>
          <w:szCs w:val="20"/>
          <w:color w:val="auto"/>
        </w:rPr>
      </w:pPr>
      <w:r>
        <w:rPr>
          <w:rFonts w:ascii="Arial" w:cs="Arial" w:eastAsia="Arial" w:hAnsi="Arial"/>
          <w:sz w:val="18"/>
          <w:szCs w:val="18"/>
          <w:color w:val="auto"/>
        </w:rPr>
        <w:t>The acquisition was accounted for as a business combination using the acquisition method of accounting in accordance with ASC Topic 805. The purchase price has been preliminarily allocated to the tangible assets and identifiable intangible assets acquired and liabilities assumed based upon their estimated fair values. The areas of the purchase price allocation that are not yet finalized are primarily related to the valuation of location contracts, inventory, property and equipment, and final adjustments to working capital. The excess of the purchase price over the tangible and intangible assets acquired and liabilities assumed of $53.4 million has been recorded as goodwill. The Century acquisition resulted in recorded goodwill as a result of a higher consideration paid driven by the maturity and quality of Century's operations, industry and workforce. Management integrated Century into its existing business structure, which is comprised of a single reporting unit.</w:t>
      </w:r>
    </w:p>
    <w:p>
      <w:pPr>
        <w:spacing w:after="0" w:line="131"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The following table summarizes the fair value of consideration transferred and the fair values of the assets acquired and liabilities assumed at the date of acquisition (in thousands):</w:t>
      </w:r>
    </w:p>
    <w:p>
      <w:pPr>
        <w:spacing w:after="0" w:line="319" w:lineRule="exact"/>
        <w:rPr>
          <w:sz w:val="20"/>
          <w:szCs w:val="20"/>
          <w:color w:val="auto"/>
        </w:rPr>
      </w:pPr>
    </w:p>
    <w:tbl>
      <w:tblPr>
        <w:tblLayout w:type="fixed"/>
        <w:tblInd w:w="2520" w:type="dxa"/>
        <w:tblCellMar>
          <w:top w:w="0" w:type="dxa"/>
          <w:left w:w="0" w:type="dxa"/>
          <w:bottom w:w="0" w:type="dxa"/>
          <w:right w:w="0" w:type="dxa"/>
        </w:tblCellMar>
      </w:tblP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158,681</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Fair value of stock issued</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5,584</w:t>
            </w:r>
          </w:p>
        </w:tc>
      </w:tr>
      <w:tr>
        <w:trPr>
          <w:trHeight w:val="27"/>
        </w:trPr>
        <w:tc>
          <w:tcPr>
            <w:tcW w:w="4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consideration</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164,265</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48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33,229</w:t>
            </w: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4,394</w:t>
            </w: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Income taxes receivable</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29,302</w:t>
            </w: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Location contracts acquired</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40,400</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24,400</w:t>
            </w: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other accrued expenses</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(10,766)</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Accrued compensation and related expenses</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(1,626)</w:t>
            </w: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7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liability</w:t>
            </w: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(16,646)</w:t>
            </w:r>
          </w:p>
        </w:tc>
      </w:tr>
      <w:tr>
        <w:trPr>
          <w:trHeight w:val="26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110,909</w:t>
            </w:r>
          </w:p>
        </w:tc>
      </w:tr>
      <w:tr>
        <w:trPr>
          <w:trHeight w:val="263"/>
        </w:trPr>
        <w:tc>
          <w:tcPr>
            <w:tcW w:w="4840" w:type="dxa"/>
            <w:vAlign w:val="bottom"/>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53,356</w:t>
            </w:r>
          </w:p>
        </w:tc>
      </w:tr>
      <w:tr>
        <w:trPr>
          <w:trHeight w:val="20"/>
        </w:trPr>
        <w:tc>
          <w:tcPr>
            <w:tcW w:w="4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Upon adoption of Topic 842, the Company recognized ROU assets and lease liabilities of $3.6 million as of June 1, 2022 related to Century.</w:t>
      </w:r>
    </w:p>
    <w:p>
      <w:pPr>
        <w:spacing w:after="0" w:line="129" w:lineRule="exact"/>
        <w:rPr>
          <w:sz w:val="20"/>
          <w:szCs w:val="20"/>
          <w:color w:val="auto"/>
        </w:rPr>
      </w:pPr>
    </w:p>
    <w:p>
      <w:pPr>
        <w:ind w:firstLine="324"/>
        <w:spacing w:after="0" w:line="324" w:lineRule="auto"/>
        <w:rPr>
          <w:sz w:val="20"/>
          <w:szCs w:val="20"/>
          <w:color w:val="auto"/>
        </w:rPr>
      </w:pPr>
      <w:r>
        <w:rPr>
          <w:rFonts w:ascii="Arial" w:cs="Arial" w:eastAsia="Arial" w:hAnsi="Arial"/>
          <w:sz w:val="18"/>
          <w:szCs w:val="18"/>
          <w:color w:val="auto"/>
        </w:rPr>
        <w:t>The Company incurred $0.3 million and $1.3 million in acquisition related costs that are included in other operating expenses within the consolidated statements of operations and comprehensive income for the years ended December 31, 2022 and 2021, respectively.</w:t>
      </w:r>
    </w:p>
    <w:p>
      <w:pPr>
        <w:spacing w:after="0" w:line="130" w:lineRule="exact"/>
        <w:rPr>
          <w:sz w:val="20"/>
          <w:szCs w:val="20"/>
          <w:color w:val="auto"/>
        </w:rPr>
      </w:pPr>
    </w:p>
    <w:p>
      <w:pPr>
        <w:ind w:firstLine="324"/>
        <w:spacing w:after="0" w:line="324" w:lineRule="auto"/>
        <w:rPr>
          <w:sz w:val="20"/>
          <w:szCs w:val="20"/>
          <w:color w:val="auto"/>
        </w:rPr>
      </w:pPr>
      <w:r>
        <w:rPr>
          <w:rFonts w:ascii="Arial" w:cs="Arial" w:eastAsia="Arial" w:hAnsi="Arial"/>
          <w:sz w:val="18"/>
          <w:szCs w:val="18"/>
          <w:color w:val="auto"/>
        </w:rPr>
        <w:t>The results of operations for Century are included in the consolidated financial statements of the Company from the date of acquisition. Century's acquired assets generated revenues and net income of $146.6 million and $4.0 million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2021 Business 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Island</w:t>
      </w:r>
    </w:p>
    <w:p>
      <w:pPr>
        <w:spacing w:after="0" w:line="212" w:lineRule="exact"/>
        <w:rPr>
          <w:sz w:val="20"/>
          <w:szCs w:val="20"/>
          <w:color w:val="auto"/>
        </w:rPr>
      </w:pPr>
    </w:p>
    <w:p>
      <w:pPr>
        <w:jc w:val="both"/>
        <w:ind w:firstLine="324"/>
        <w:spacing w:after="0" w:line="325" w:lineRule="auto"/>
        <w:rPr>
          <w:sz w:val="20"/>
          <w:szCs w:val="20"/>
          <w:color w:val="auto"/>
        </w:rPr>
      </w:pPr>
      <w:r>
        <w:rPr>
          <w:rFonts w:ascii="Arial" w:cs="Arial" w:eastAsia="Arial" w:hAnsi="Arial"/>
          <w:sz w:val="17"/>
          <w:szCs w:val="17"/>
          <w:color w:val="auto"/>
        </w:rPr>
        <w:t>On May 20, 2021, the Company acquired Island Games, Inc. (“Island”), a southern Georgia amusement operator and Master Licensee in the state of Georgia. The acquisition of Island adds 30 Georgia Coin Operated Amusement Machine (“COAM”) Class B locations to the Accel portfolio, including a total of 89 Class B COAM terminals. The total purchase price was approximately $2.9 million, of which the Company paid $2.8 million in cash at closing. The remaining $0.1 million of contingent consideration is to be paid in cash if certain operating metrics are achieved. The acquisition was accounted for as a business combination using the acquisition method of accounting in accordance with Topic 805. The purchase price was allocated to the tangible assets and identifiable intangible assets acquired and liabilities assumed based upon their estimated fair values. The results of operations for Island are included in the consolidated financial statements of the Company from the date of acquisition. The results of operations for Island were not material to the consolidated financial statements of the Company for the year ended December 31, 2021.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Rich and Junnie's</w:t>
      </w:r>
    </w:p>
    <w:p>
      <w:pPr>
        <w:spacing w:after="0" w:line="212"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7"/>
          <w:szCs w:val="17"/>
          <w:color w:val="auto"/>
        </w:rPr>
        <w:t>On December 30, 2021, the Company entered into an agreement to acquire all of Rich and Junnie's operating assets in Iowa and Illinois. Rich and Junnie's operations in Iowa and Illinois consists of the ownership and operation of amusement devices and ATMs in certain establishments. Total consideration was $4.2 million of which $3.6 million which was paid in cash at closing and $0.6 million was recorded in short-term consideration payable on the consolidated balance sheets. The acquisition was accounted for as a business combination using the acquisition method of accounting in accordance with Topic 805. The purchase price was allocated to the following assets: i) video game terminals and equipment totaling $0.3 million; ii) amusement and other equipment totaling $1.3 million; iii) location contracts totaling $1.6 million; iv) cash totaling $0.6 million; and v) goodwill of $0.4 million. The results of operations for Rich and Junnie's are included in the consolidated financial statements of the Company from the date of acquisition. The results of operations for Rich and Junnie's were not material to the consolidated financial statements of the Company for the year ended December 31, 2021 as the acquisition date (December 30, 2021) was one day prior to year end.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Business 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Tom's Amusements</w:t>
      </w:r>
    </w:p>
    <w:p>
      <w:pPr>
        <w:spacing w:after="0" w:line="212"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color w:val="auto"/>
        </w:rPr>
        <w:t>On July 22, 2020 (the “Tom's Closing Date”), the Company acquired Tom’s Amusement Company, Inc., (“Tom's Amusements”) a southeastern U.S. gaming and amusement operator and Master Licensee in the state of Georgia. The total purchase price was $3.6 million, of which the Company paid $2.1 million in cash at closing. The Company paid a total of $1.4 million of the $1.5 million of contingent consideration payables on the 18-month and 24-month anniversaries of the Tom's Closing Date. The amount of each payment was $750,000 multiplied by a performance ratio. The fair value of the contingent consideration remaining to be paid was $0.1 million as of December 31, 2022 and is included within consideration payable on the consolidated balance sheets. In addition, the Georgia Lottery Corporation approved Accel's operating subsidiary, Bulldog Gaming, LLC, as a Master Licensee, which allows the Company to install and operate coin operated amusement machines for commercial use by the public for play throughout the State of Georgia.</w:t>
      </w:r>
    </w:p>
    <w:p>
      <w:pPr>
        <w:spacing w:after="0" w:line="109" w:lineRule="exact"/>
        <w:rPr>
          <w:sz w:val="20"/>
          <w:szCs w:val="20"/>
          <w:color w:val="auto"/>
        </w:rPr>
      </w:pPr>
    </w:p>
    <w:p>
      <w:pPr>
        <w:jc w:val="both"/>
        <w:ind w:right="20" w:firstLine="324"/>
        <w:spacing w:after="0" w:line="318" w:lineRule="auto"/>
        <w:rPr>
          <w:sz w:val="20"/>
          <w:szCs w:val="20"/>
          <w:color w:val="auto"/>
        </w:rPr>
      </w:pPr>
      <w:r>
        <w:rPr>
          <w:rFonts w:ascii="Arial" w:cs="Arial" w:eastAsia="Arial" w:hAnsi="Arial"/>
          <w:sz w:val="18"/>
          <w:szCs w:val="18"/>
          <w:color w:val="auto"/>
        </w:rPr>
        <w:t>The acquisition was accounted for as a business combination using the acquisition method of accounting in accordance with Topic 805. The purchase price of $3.6 million has been allocated to the following assets: i) video game terminals and equipment totaling $1.6 million; ii) location contracts totaling $0.8 million; iii) indefinite-lived gaming license intangible asset of $1.0 million and; iv) cash of $0.2 million.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results of operations for Tom's Amusements are included in the consolidated financial statements of the Company from the date of acquisition.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Tom's Amusements generated revenues of $1.4 million and a net loss of $0.8 million from the acquisition date through December 31,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American Video Gaming</w:t>
      </w:r>
    </w:p>
    <w:p>
      <w:pPr>
        <w:spacing w:after="0" w:line="212" w:lineRule="exact"/>
        <w:rPr>
          <w:sz w:val="20"/>
          <w:szCs w:val="20"/>
          <w:color w:val="auto"/>
        </w:rPr>
      </w:pPr>
    </w:p>
    <w:p>
      <w:pPr>
        <w:jc w:val="both"/>
        <w:ind w:right="20" w:firstLine="324"/>
        <w:spacing w:after="0" w:line="324" w:lineRule="auto"/>
        <w:rPr>
          <w:sz w:val="20"/>
          <w:szCs w:val="20"/>
          <w:color w:val="auto"/>
        </w:rPr>
      </w:pPr>
      <w:r>
        <w:rPr>
          <w:rFonts w:ascii="Arial" w:cs="Arial" w:eastAsia="Arial" w:hAnsi="Arial"/>
          <w:sz w:val="18"/>
          <w:szCs w:val="18"/>
          <w:color w:val="auto"/>
        </w:rPr>
        <w:t>On December 30, 2020, the Company acquired AVG, a terminal operator licensed by the Illinois Gaming Board. AVG had 267 gaming terminals in 49 locations. The Company completed this transaction in order to expand its presence within the State of Illinois.</w:t>
      </w:r>
    </w:p>
    <w:p>
      <w:pPr>
        <w:spacing w:after="0" w:line="130"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The acquisition aggregate purchase consideration transferred totaled $32.0 million, which included i) cash paid at closing of $30.5 million; and ii) contingent purchase consideration with an estimated fair value of $1.5 million. The contingent consideration represents potentially two installment payments i) $0.9 million if the acquired locations meet certain base performance criteria; and ii) an additional $1.4 million if the acquired locations meet additional performance criteria. The estimated fair value of the contingent consideration was determined based on the Company’s expected probability of future payment, discounted using AVG’s weighted average cost of capital. The Company paid $0.3 million and $2.3 million of the contingent consideration during the years ended December 31, 2022 and 2021, respectively. The fair value of the remaining contingent consideration payments is included within consideration payable on the consolidated balance sheets.</w:t>
      </w:r>
    </w:p>
    <w:p>
      <w:pPr>
        <w:spacing w:after="0" w:line="136" w:lineRule="exact"/>
        <w:rPr>
          <w:sz w:val="20"/>
          <w:szCs w:val="20"/>
          <w:color w:val="auto"/>
        </w:rPr>
      </w:pPr>
    </w:p>
    <w:p>
      <w:pPr>
        <w:jc w:val="both"/>
        <w:ind w:firstLine="324"/>
        <w:spacing w:after="0" w:line="364" w:lineRule="auto"/>
        <w:rPr>
          <w:sz w:val="20"/>
          <w:szCs w:val="20"/>
          <w:color w:val="auto"/>
        </w:rPr>
      </w:pPr>
      <w:r>
        <w:rPr>
          <w:rFonts w:ascii="Arial" w:cs="Arial" w:eastAsia="Arial" w:hAnsi="Arial"/>
          <w:sz w:val="16"/>
          <w:szCs w:val="16"/>
          <w:color w:val="auto"/>
        </w:rPr>
        <w:t>The acquisition was accounted for as a business combination using the acquisition method of accounting in accordance with Topic 805. The purchase price has been allocated to the tangible assets and identifiable intangible assets acquired and liabilities assumed based upon their estimated fair values. The excess of the purchase price over the tangible and intangible assets acquired and liabilities assumed has been recorded as goodwill.</w:t>
      </w:r>
    </w:p>
    <w:p>
      <w:pPr>
        <w:spacing w:after="0" w:line="94" w:lineRule="exact"/>
        <w:rPr>
          <w:sz w:val="20"/>
          <w:szCs w:val="20"/>
          <w:color w:val="auto"/>
        </w:rPr>
      </w:pPr>
    </w:p>
    <w:p>
      <w:pPr>
        <w:jc w:val="both"/>
        <w:ind w:firstLine="324"/>
        <w:spacing w:after="0" w:line="340" w:lineRule="auto"/>
        <w:rPr>
          <w:sz w:val="20"/>
          <w:szCs w:val="20"/>
          <w:color w:val="auto"/>
        </w:rPr>
      </w:pPr>
      <w:r>
        <w:rPr>
          <w:rFonts w:ascii="Arial" w:cs="Arial" w:eastAsia="Arial" w:hAnsi="Arial"/>
          <w:sz w:val="18"/>
          <w:szCs w:val="18"/>
          <w:color w:val="auto"/>
        </w:rPr>
        <w:t>The following table summarizes the fair value of consideration transferred and the estimated fair values of the assets acquired and liabilities assumed at the date of acquisition (in thousands):</w:t>
      </w:r>
    </w:p>
    <w:p>
      <w:pPr>
        <w:spacing w:after="0" w:line="373" w:lineRule="exact"/>
        <w:rPr>
          <w:sz w:val="20"/>
          <w:szCs w:val="20"/>
          <w:color w:val="auto"/>
        </w:rPr>
      </w:pPr>
    </w:p>
    <w:tbl>
      <w:tblPr>
        <w:tblLayout w:type="fixed"/>
        <w:tblInd w:w="2680" w:type="dxa"/>
        <w:tblCellMar>
          <w:top w:w="0" w:type="dxa"/>
          <w:left w:w="0" w:type="dxa"/>
          <w:bottom w:w="0" w:type="dxa"/>
          <w:right w:w="0" w:type="dxa"/>
        </w:tblCellMar>
      </w:tblP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30,522</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Fair value of contingent consideration</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1,506</w:t>
            </w:r>
          </w:p>
        </w:tc>
      </w:tr>
      <w:tr>
        <w:trPr>
          <w:trHeight w:val="27"/>
        </w:trPr>
        <w:tc>
          <w:tcPr>
            <w:tcW w:w="48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9"/>
        </w:trPr>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consideration</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32,028</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40" w:type="dxa"/>
            <w:vAlign w:val="bottom"/>
          </w:tcPr>
          <w:p>
            <w:pPr>
              <w:ind w:left="20"/>
              <w:spacing w:after="0"/>
              <w:rPr>
                <w:sz w:val="20"/>
                <w:szCs w:val="20"/>
                <w:color w:val="auto"/>
              </w:rPr>
            </w:pPr>
            <w:r>
              <w:rPr>
                <w:rFonts w:ascii="Arial" w:cs="Arial" w:eastAsia="Arial" w:hAnsi="Arial"/>
                <w:sz w:val="18"/>
                <w:szCs w:val="18"/>
                <w:color w:val="auto"/>
              </w:rPr>
              <w:t>Cash</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504</w:t>
            </w:r>
          </w:p>
        </w:tc>
      </w:tr>
      <w:tr>
        <w:trPr>
          <w:trHeight w:val="27"/>
        </w:trPr>
        <w:tc>
          <w:tcPr>
            <w:tcW w:w="4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Location contracts acquired</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17,500</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Video game terminals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w:t>
            </w:r>
          </w:p>
        </w:tc>
      </w:tr>
      <w:tr>
        <w:trPr>
          <w:trHeight w:val="243"/>
        </w:trPr>
        <w:tc>
          <w:tcPr>
            <w:tcW w:w="4840" w:type="dxa"/>
            <w:vAlign w:val="bottom"/>
          </w:tcPr>
          <w:p>
            <w:pPr>
              <w:ind w:left="140"/>
              <w:spacing w:after="0"/>
              <w:rPr>
                <w:sz w:val="20"/>
                <w:szCs w:val="20"/>
                <w:color w:val="auto"/>
              </w:rPr>
            </w:pPr>
            <w:r>
              <w:rPr>
                <w:rFonts w:ascii="Arial" w:cs="Arial" w:eastAsia="Arial" w:hAnsi="Arial"/>
                <w:sz w:val="18"/>
                <w:szCs w:val="18"/>
                <w:color w:val="auto"/>
              </w:rPr>
              <w:t>Amusement and other equipment</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4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Vehicles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Other assets, net</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4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11,243</w:t>
            </w:r>
          </w:p>
        </w:tc>
      </w:tr>
      <w:tr>
        <w:trPr>
          <w:trHeight w:val="237"/>
        </w:trPr>
        <w:tc>
          <w:tcPr>
            <w:tcW w:w="4840" w:type="dxa"/>
            <w:vAlign w:val="bottom"/>
          </w:tcPr>
          <w:p>
            <w:pPr>
              <w:ind w:left="140"/>
              <w:spacing w:after="0"/>
              <w:rPr>
                <w:sz w:val="20"/>
                <w:szCs w:val="20"/>
                <w:color w:val="auto"/>
              </w:rPr>
            </w:pPr>
            <w:r>
              <w:rPr>
                <w:rFonts w:ascii="Arial" w:cs="Arial" w:eastAsia="Arial" w:hAnsi="Arial"/>
                <w:sz w:val="18"/>
                <w:szCs w:val="18"/>
                <w:color w:val="auto"/>
              </w:rPr>
              <w:t>Total assets acquired</w:t>
            </w: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32,039</w:t>
            </w:r>
          </w:p>
        </w:tc>
      </w:tr>
      <w:tr>
        <w:trPr>
          <w:trHeight w:val="27"/>
        </w:trPr>
        <w:tc>
          <w:tcPr>
            <w:tcW w:w="4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assumed</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4840" w:type="dxa"/>
            <w:vAlign w:val="bottom"/>
          </w:tcPr>
          <w:p>
            <w:pPr>
              <w:ind w:left="140"/>
              <w:spacing w:after="0"/>
              <w:rPr>
                <w:sz w:val="20"/>
                <w:szCs w:val="20"/>
                <w:color w:val="auto"/>
              </w:rPr>
            </w:pPr>
            <w:r>
              <w:rPr>
                <w:rFonts w:ascii="Arial" w:cs="Arial" w:eastAsia="Arial" w:hAnsi="Arial"/>
                <w:sz w:val="18"/>
                <w:szCs w:val="18"/>
                <w:color w:val="auto"/>
              </w:rPr>
              <w:t>Net assets acquired</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32,028</w:t>
            </w:r>
          </w:p>
        </w:tc>
      </w:tr>
      <w:tr>
        <w:trPr>
          <w:trHeight w:val="20"/>
        </w:trPr>
        <w:tc>
          <w:tcPr>
            <w:tcW w:w="4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8"/>
          <w:szCs w:val="18"/>
          <w:color w:val="auto"/>
        </w:rPr>
        <w:t>The results of operations for AVG are included in the consolidated financial statements of the Company from the date of acquisition. The results of operations for AVG were not material to the consolidated financial statements of the Company for the year ended December 31, 2020 as the acquisition date (December 30, 2020) was one day prior to year end and gaming was suspended in Illinois for that one day.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Asset Acquisition</w:t>
      </w:r>
    </w:p>
    <w:p>
      <w:pPr>
        <w:spacing w:after="0" w:line="212"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On August 6, 2020, pursuant to the terms of an asset purchase agreement, the Company purchased from Illinois Operators, Inc. terminal use agreements and equipment representing the operations of 13 locations. The Company has accounted for this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transaction as an asset acquisition. The purchase consideration of $4.0 million consisted of: i) cash payment of $3.7 million paid at closing and; ii) deferred payment of $0.3 million which was paid 90-days from the closing date. The asset acquisition costs were allocated to the following assets: i) video game terminals and equipment totaling $0.6 million; and ii) location contracts totaling $3.4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 (Unaudited)</w:t>
      </w:r>
    </w:p>
    <w:p>
      <w:pPr>
        <w:spacing w:after="0" w:line="212"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The following unaudited pro forma consolidated financial information reflects the results of operations of the Company for the years ended December 31, 2022, 2021 and 2020 as if the acquisitions of Progressive, River City, VVS, Century, Rich and Junnie's, Island, AVG, and Tom's Amusements, had occurred as of the beginning of the fiscal year prior to the fiscal year of acquisition, after giving effect to certain purchase accounting adjustments. These amounts are based on available financial information of the acquirees prior to the acquisition dates and are not necessarily indicative of what the Company’s operating results would have been had the acquisitions actually taken place at the beginning of the fiscal year prior to the fiscal year of acquisition. This unaudited pro forma information for the years ended December 31, does not project revenues and income before income tax expense post acquisition (in thousands).</w:t>
      </w:r>
    </w:p>
    <w:p>
      <w:pPr>
        <w:spacing w:after="0" w:line="105"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0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4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1,094,940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1,020,956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327,090</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79,857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46,336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(626)</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Consideration Payable</w:t>
      </w:r>
    </w:p>
    <w:p>
      <w:pPr>
        <w:spacing w:after="0" w:line="198" w:lineRule="exact"/>
        <w:rPr>
          <w:sz w:val="20"/>
          <w:szCs w:val="20"/>
          <w:color w:val="auto"/>
        </w:rPr>
      </w:pPr>
    </w:p>
    <w:p>
      <w:pPr>
        <w:jc w:val="both"/>
        <w:ind w:firstLine="324"/>
        <w:spacing w:after="0" w:line="373" w:lineRule="auto"/>
        <w:rPr>
          <w:sz w:val="20"/>
          <w:szCs w:val="20"/>
          <w:color w:val="auto"/>
        </w:rPr>
      </w:pPr>
      <w:r>
        <w:rPr>
          <w:rFonts w:ascii="Arial" w:cs="Arial" w:eastAsia="Arial" w:hAnsi="Arial"/>
          <w:sz w:val="16"/>
          <w:szCs w:val="16"/>
          <w:color w:val="auto"/>
        </w:rPr>
        <w:t>The Company has a contingent consideration payable related to certain locations, as defined, in the respective acquisition agreement which are placed into operation during a specified period after the acquisition date. The fair value of contingent consideration is included in the consideration payable on the consolidated balance sheets as of December 31, 2022 and 2021. The contingent consideration accrued is measured at fair value on a recurring basis.</w:t>
      </w:r>
    </w:p>
    <w:p>
      <w:pPr>
        <w:spacing w:after="0" w:line="200" w:lineRule="exact"/>
        <w:rPr>
          <w:sz w:val="20"/>
          <w:szCs w:val="20"/>
          <w:color w:val="auto"/>
        </w:rPr>
      </w:pP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Current and long-term portions of consideration payable consist of the following at December 31 (in thousands):</w:t>
      </w:r>
    </w:p>
    <w:p>
      <w:pPr>
        <w:spacing w:after="0" w:line="140"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bottom w:val="single" w:sz="8" w:color="auto"/>
            </w:tcBorders>
          </w:tcPr>
          <w:p>
            <w:pPr>
              <w:spacing w:after="0"/>
              <w:rPr>
                <w:sz w:val="20"/>
                <w:szCs w:val="20"/>
                <w:color w:val="auto"/>
              </w:rPr>
            </w:pPr>
          </w:p>
        </w:tc>
      </w:tr>
      <w:tr>
        <w:trPr>
          <w:trHeight w:val="223"/>
        </w:trPr>
        <w:tc>
          <w:tcPr>
            <w:tcW w:w="3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Current</w:t>
            </w:r>
          </w:p>
        </w:tc>
        <w:tc>
          <w:tcPr>
            <w:tcW w:w="16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Long-Term</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Current</w:t>
            </w:r>
          </w:p>
        </w:tc>
        <w:tc>
          <w:tcPr>
            <w:tcW w:w="16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Long-Term</w:t>
            </w:r>
          </w:p>
        </w:tc>
      </w:tr>
      <w:tr>
        <w:trPr>
          <w:trHeight w:val="250"/>
        </w:trPr>
        <w:tc>
          <w:tcPr>
            <w:tcW w:w="3640" w:type="dxa"/>
            <w:vAlign w:val="bottom"/>
            <w:tcBorders>
              <w:top w:val="single" w:sz="8" w:color="CCEEFF"/>
            </w:tcBorders>
            <w:shd w:val="clear" w:color="auto" w:fill="CCEEFF"/>
          </w:tcPr>
          <w:p>
            <w:pPr>
              <w:ind w:left="140"/>
              <w:spacing w:after="0" w:line="250" w:lineRule="exact"/>
              <w:rPr>
                <w:sz w:val="20"/>
                <w:szCs w:val="20"/>
                <w:color w:val="auto"/>
              </w:rPr>
            </w:pPr>
            <w:r>
              <w:rPr>
                <w:rFonts w:ascii="Arial" w:cs="Arial" w:eastAsia="Arial" w:hAnsi="Arial"/>
                <w:sz w:val="18"/>
                <w:szCs w:val="18"/>
                <w:color w:val="auto"/>
              </w:rPr>
              <w:t>TAV</w:t>
            </w:r>
            <w:r>
              <w:rPr>
                <w:rFonts w:ascii="Arial" w:cs="Arial" w:eastAsia="Arial" w:hAnsi="Arial"/>
                <w:sz w:val="23"/>
                <w:szCs w:val="23"/>
                <w:color w:val="auto"/>
                <w:vertAlign w:val="superscript"/>
              </w:rPr>
              <w: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w:t>
            </w:r>
          </w:p>
        </w:tc>
      </w:tr>
      <w:tr>
        <w:trPr>
          <w:trHeight w:val="270"/>
        </w:trPr>
        <w:tc>
          <w:tcPr>
            <w:tcW w:w="3640" w:type="dxa"/>
            <w:vAlign w:val="bottom"/>
          </w:tcPr>
          <w:p>
            <w:pPr>
              <w:ind w:left="140"/>
              <w:spacing w:after="0"/>
              <w:rPr>
                <w:sz w:val="20"/>
                <w:szCs w:val="20"/>
                <w:color w:val="auto"/>
              </w:rPr>
            </w:pPr>
            <w:r>
              <w:rPr>
                <w:rFonts w:ascii="Arial" w:cs="Arial" w:eastAsia="Arial" w:hAnsi="Arial"/>
                <w:sz w:val="18"/>
                <w:szCs w:val="18"/>
                <w:color w:val="auto"/>
              </w:rPr>
              <w:t>Fair Share Gaming</w:t>
            </w:r>
            <w:r>
              <w:rPr>
                <w:rFonts w:ascii="Arial" w:cs="Arial" w:eastAsia="Arial" w:hAnsi="Arial"/>
                <w:sz w:val="23"/>
                <w:szCs w:val="23"/>
                <w:color w:val="auto"/>
                <w:vertAlign w:val="superscript"/>
              </w:rPr>
              <w:t>*</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951</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1,875</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70"/>
        </w:trPr>
        <w:tc>
          <w:tcPr>
            <w:tcW w:w="3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Family Amusement</w:t>
            </w:r>
            <w:r>
              <w:rPr>
                <w:rFonts w:ascii="Arial" w:cs="Arial" w:eastAsia="Arial" w:hAnsi="Arial"/>
                <w:sz w:val="23"/>
                <w:szCs w:val="23"/>
                <w:color w:val="auto"/>
                <w:vertAlign w:val="superscript"/>
              </w:rPr>
              <w:t>*</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r>
      <w:tr>
        <w:trPr>
          <w:trHeight w:val="270"/>
        </w:trPr>
        <w:tc>
          <w:tcPr>
            <w:tcW w:w="3640" w:type="dxa"/>
            <w:vAlign w:val="bottom"/>
          </w:tcPr>
          <w:p>
            <w:pPr>
              <w:ind w:left="140"/>
              <w:spacing w:after="0"/>
              <w:rPr>
                <w:sz w:val="20"/>
                <w:szCs w:val="20"/>
                <w:color w:val="auto"/>
              </w:rPr>
            </w:pPr>
            <w:r>
              <w:rPr>
                <w:rFonts w:ascii="Arial" w:cs="Arial" w:eastAsia="Arial" w:hAnsi="Arial"/>
                <w:sz w:val="18"/>
                <w:szCs w:val="18"/>
                <w:color w:val="auto"/>
              </w:rPr>
              <w:t>Skyhigh</w:t>
            </w:r>
            <w:r>
              <w:rPr>
                <w:rFonts w:ascii="Arial" w:cs="Arial" w:eastAsia="Arial" w:hAnsi="Arial"/>
                <w:sz w:val="23"/>
                <w:szCs w:val="23"/>
                <w:color w:val="auto"/>
                <w:vertAlign w:val="superscript"/>
              </w:rPr>
              <w:t>*</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606</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4,779</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801</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7,396</w:t>
            </w:r>
          </w:p>
        </w:tc>
      </w:tr>
      <w:tr>
        <w:trPr>
          <w:trHeight w:val="270"/>
        </w:trPr>
        <w:tc>
          <w:tcPr>
            <w:tcW w:w="3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G3</w:t>
            </w:r>
            <w:r>
              <w:rPr>
                <w:rFonts w:ascii="Arial" w:cs="Arial" w:eastAsia="Arial" w:hAnsi="Arial"/>
                <w:sz w:val="23"/>
                <w:szCs w:val="23"/>
                <w:color w:val="auto"/>
                <w:vertAlign w:val="superscript"/>
              </w:rPr>
              <w:t>*</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40" w:type="dxa"/>
            <w:vAlign w:val="bottom"/>
          </w:tcPr>
          <w:p>
            <w:pPr>
              <w:ind w:left="140"/>
              <w:spacing w:after="0"/>
              <w:rPr>
                <w:sz w:val="20"/>
                <w:szCs w:val="20"/>
                <w:color w:val="auto"/>
              </w:rPr>
            </w:pPr>
            <w:r>
              <w:rPr>
                <w:rFonts w:ascii="Arial" w:cs="Arial" w:eastAsia="Arial" w:hAnsi="Arial"/>
                <w:sz w:val="18"/>
                <w:szCs w:val="18"/>
                <w:color w:val="auto"/>
              </w:rPr>
              <w:t>Grand River Jackpot</w:t>
            </w:r>
            <w:r>
              <w:rPr>
                <w:rFonts w:ascii="Arial" w:cs="Arial" w:eastAsia="Arial" w:hAnsi="Arial"/>
                <w:sz w:val="23"/>
                <w:szCs w:val="23"/>
                <w:color w:val="auto"/>
                <w:vertAlign w:val="superscript"/>
              </w:rPr>
              <w:t>*</w:t>
            </w:r>
          </w:p>
        </w:tc>
        <w:tc>
          <w:tcPr>
            <w:tcW w:w="22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6,479</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VVS</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40" w:type="dxa"/>
            <w:vAlign w:val="bottom"/>
          </w:tcPr>
          <w:p>
            <w:pPr>
              <w:ind w:left="140"/>
              <w:spacing w:after="0"/>
              <w:rPr>
                <w:sz w:val="20"/>
                <w:szCs w:val="20"/>
                <w:color w:val="auto"/>
              </w:rPr>
            </w:pPr>
            <w:r>
              <w:rPr>
                <w:rFonts w:ascii="Arial" w:cs="Arial" w:eastAsia="Arial" w:hAnsi="Arial"/>
                <w:sz w:val="18"/>
                <w:szCs w:val="18"/>
                <w:color w:val="auto"/>
              </w:rPr>
              <w:t>Island</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Tom's Amusements</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40" w:type="dxa"/>
            <w:vAlign w:val="bottom"/>
          </w:tcPr>
          <w:p>
            <w:pPr>
              <w:ind w:left="140"/>
              <w:spacing w:after="0"/>
              <w:rPr>
                <w:sz w:val="20"/>
                <w:szCs w:val="20"/>
                <w:color w:val="auto"/>
              </w:rPr>
            </w:pPr>
            <w:r>
              <w:rPr>
                <w:rFonts w:ascii="Arial" w:cs="Arial" w:eastAsia="Arial" w:hAnsi="Arial"/>
                <w:sz w:val="18"/>
                <w:szCs w:val="18"/>
                <w:color w:val="auto"/>
              </w:rPr>
              <w:t>Rich and Junnie's</w:t>
            </w:r>
          </w:p>
        </w:tc>
        <w:tc>
          <w:tcPr>
            <w:tcW w:w="22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AVG</w:t>
            </w: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640" w:type="dxa"/>
            <w:vAlign w:val="bottom"/>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7,647</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6,872</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13,344</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12,706</w:t>
            </w:r>
          </w:p>
        </w:tc>
      </w:tr>
      <w:tr>
        <w:trPr>
          <w:trHeight w:val="21"/>
        </w:trPr>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Acquisitions that occurred prior to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Contingent Earnout Share Liability</w:t>
      </w:r>
    </w:p>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222222"/>
        </w:rPr>
        <w:t>P</w:t>
      </w:r>
      <w:r>
        <w:rPr>
          <w:rFonts w:ascii="Arial" w:cs="Arial" w:eastAsia="Arial" w:hAnsi="Arial"/>
          <w:sz w:val="18"/>
          <w:szCs w:val="18"/>
          <w:color w:val="000000"/>
        </w:rPr>
        <w:t>ursuant to the terms of the Company’s Amended and Restated Certificate of Incorporation, the Company authorized and has available for issuance</w:t>
      </w:r>
      <w:r>
        <w:rPr>
          <w:rFonts w:ascii="Arial" w:cs="Arial" w:eastAsia="Arial" w:hAnsi="Arial"/>
          <w:sz w:val="18"/>
          <w:szCs w:val="18"/>
          <w:color w:val="222222"/>
        </w:rPr>
        <w:t xml:space="preserve"> </w:t>
      </w:r>
      <w:r>
        <w:rPr>
          <w:rFonts w:ascii="Arial" w:cs="Arial" w:eastAsia="Arial" w:hAnsi="Arial"/>
          <w:sz w:val="18"/>
          <w:szCs w:val="18"/>
          <w:color w:val="000000"/>
        </w:rPr>
        <w:t>10,000,000 shares of Class A-2 Common Stock. The holders of the Class A-2 Common Stock do not have voting rights and are not entitled to receive or participate in any dividends or distributions when and if declared from time to time. The Company's Class A-2 common stock is classified as a contingent earnout shares liability due to the fact that the conversion of the Company's Class A-2 common stock would be accelerated on a change of control regardless of the transaction value.</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In November 2019, 5,000,000 shares of Class A-2 Common Stock were issued, subject to the conditions set forth in a restricted stock agreement (the “Restricted Stock Agreement”), which sets forth the terms upon which the Class A-2 Common Stock will be exchanged for an equal number of validly issued, fully paid and non-assessable Class A-1 Common Stock. The exchange of Class A-2 Common Stock for Class A-1 Common Stock will be subject to the terms and conditions set forth in the Restricted Stock Agreement, with such exchanges occurring in three separate tranches upon the satisfaction of the following triggers:</w:t>
      </w:r>
    </w:p>
    <w:p>
      <w:pPr>
        <w:spacing w:after="0" w:line="130" w:lineRule="exact"/>
        <w:rPr>
          <w:sz w:val="20"/>
          <w:szCs w:val="20"/>
          <w:color w:val="auto"/>
        </w:rPr>
      </w:pPr>
    </w:p>
    <w:p>
      <w:pPr>
        <w:jc w:val="both"/>
        <w:ind w:left="660" w:hanging="328"/>
        <w:spacing w:after="0" w:line="329"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Tranche I, equal to 1,666,666 shares of Class A-2 Common Stock, will be exchanged for Class A-1 Common Stock if either (i) the EBITDA for the last twelve months (“LTM EBITDA”) of the Company (as determined pursuant to the Restricted Stock Agreement) as of December 31, 2021, March 31, 2022 or June 30, 2022 equals or exceeds $132 million or (ii) the closing sale price of Class A-1 Common Stock on the New York Stock Exchange (“NYSE”) equals or exceeds $12.00 for at least twenty trading days in any consecutive thirty trading day period;</w:t>
      </w:r>
    </w:p>
    <w:p>
      <w:pPr>
        <w:spacing w:after="0" w:line="129" w:lineRule="exact"/>
        <w:rPr>
          <w:rFonts w:ascii="Arial" w:cs="Arial" w:eastAsia="Arial" w:hAnsi="Arial"/>
          <w:sz w:val="17"/>
          <w:szCs w:val="17"/>
          <w:color w:val="auto"/>
        </w:rPr>
      </w:pPr>
    </w:p>
    <w:p>
      <w:pPr>
        <w:jc w:val="both"/>
        <w:ind w:left="660" w:hanging="328"/>
        <w:spacing w:after="0" w:line="354" w:lineRule="auto"/>
        <w:tabs>
          <w:tab w:leader="none" w:pos="6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Tranche II, equal to 1,666,667 shares of Class A-2 Common Stock, will be exchanged for Class A-1 Common Stock if either (i) the LTM EBITDA of the Company (as determined pursuant to the Restricted Stock Agreement) as of December 31, 2022, March 31, 2023 or June 30, 2023 equals or exceeds $152 million (which LTM EBITDA threshold has since been increased as described below) or (ii) the closing sale price of Class A-1 Common Stock on the NYSE equals or exceeds $14.00 for at least twenty trading days in any consecutive thirty trading day period; and</w:t>
      </w:r>
    </w:p>
    <w:p>
      <w:pPr>
        <w:spacing w:after="0" w:line="102"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Tranche III, equal to 1,666,667 shares of Class A-2 Common Stock, will be exchanged for Class A-1 Common Stock if either (i) the LTM</w:t>
      </w:r>
    </w:p>
    <w:p>
      <w:pPr>
        <w:spacing w:after="0" w:line="74" w:lineRule="exact"/>
        <w:rPr>
          <w:rFonts w:ascii="Arial" w:cs="Arial" w:eastAsia="Arial" w:hAnsi="Arial"/>
          <w:sz w:val="17"/>
          <w:szCs w:val="17"/>
          <w:color w:val="auto"/>
        </w:rPr>
      </w:pPr>
    </w:p>
    <w:p>
      <w:pPr>
        <w:jc w:val="both"/>
        <w:ind w:left="660"/>
        <w:spacing w:after="0" w:line="364" w:lineRule="auto"/>
        <w:rPr>
          <w:rFonts w:ascii="Arial" w:cs="Arial" w:eastAsia="Arial" w:hAnsi="Arial"/>
          <w:sz w:val="17"/>
          <w:szCs w:val="17"/>
          <w:color w:val="auto"/>
        </w:rPr>
      </w:pPr>
      <w:r>
        <w:rPr>
          <w:rFonts w:ascii="Arial" w:cs="Arial" w:eastAsia="Arial" w:hAnsi="Arial"/>
          <w:sz w:val="16"/>
          <w:szCs w:val="16"/>
          <w:color w:val="auto"/>
        </w:rPr>
        <w:t>EBITDA of the Company (as determined pursuant to the Restricted Stock Agreement) as of December 31, 2023, March 31, 2024 or June 30, 2024 equals or exceeds $172 million (which LTM EBITDA threshold has since been increased as described below) or (ii) the closing sale price of Class A-1 Common Stock on the NYSE equals or exceeds $16.00 for at least twenty trading days in any consecutive thirty trading day period.</w:t>
      </w:r>
    </w:p>
    <w:p>
      <w:pPr>
        <w:spacing w:after="0" w:line="94" w:lineRule="exact"/>
        <w:rPr>
          <w:sz w:val="20"/>
          <w:szCs w:val="20"/>
          <w:color w:val="auto"/>
        </w:rPr>
      </w:pPr>
    </w:p>
    <w:p>
      <w:pPr>
        <w:jc w:val="both"/>
        <w:ind w:firstLine="324"/>
        <w:spacing w:after="0" w:line="346" w:lineRule="auto"/>
        <w:rPr>
          <w:sz w:val="20"/>
          <w:szCs w:val="20"/>
          <w:color w:val="auto"/>
        </w:rPr>
      </w:pPr>
      <w:r>
        <w:rPr>
          <w:rFonts w:ascii="Arial" w:cs="Arial" w:eastAsia="Arial" w:hAnsi="Arial"/>
          <w:sz w:val="16"/>
          <w:szCs w:val="16"/>
          <w:color w:val="auto"/>
        </w:rPr>
        <w:t>The Restricted Stock Agreement provides that LTM EBITDA and the LTM EBITDA thresholds described above will be reasonably adjusted upwards or downwards, as applicable, by the Company’s independent directors from time to time to take into account the anticipated effect of any acquisitions or dispositions that are, individually or in the aggregate, in excess of $40.0 million during any applicable measurement period and otherwise materially different from the original annual forecast presented to the Company’s investors at the closing of the reverse capitalization and consummated by the Company. On November 2, 2022, a disinterested committee of the Company's board of directors made up of independent directors who do not hold any Class A-2 Common Stock approved an increase to the LTM EBITDA and the LTM EBITDA thresholds under the terms of the Restricted Stock Agreement as follows: (i) in the case of Tranche II, the LTM EBITDA threshold (A) as of December 31, 2022 was increased to $166.0 million, (B) as of March 31, 2023 was increased to $172.1 million, and (C) as of June 30, 2023 was increased to $176.6 million; and (ii) in the case of Tranche III, the LTM EBITDA threshold as of each of December 31, 2023, March 31, 2024 and June 30, 2024 was increased to $197.1 million.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color w:val="auto"/>
        </w:rPr>
        <w:t>Further, on January 24, 2023, a disinterested committee of the Company's board of directors made up of independent directors who do not hold any Class A-2 Common Stock approved a further increase to the LTM EBITDA and the LTM EBITDA thresholds under the terms of the Restricted Stock Agreement as follows: (i) in the case of Tranche II, the LTM EBITDA threshold (A) as of December 31, 2022 was increased to $166.1 million, (B) as of March 31, 2023 was increased to $172.4 million, and (C) as of June 30, 2023 was increased to $177.3 million; and (ii) in the case of Tranche III, the LTM EBITDA threshold as of each of December 31, 2023, March 31, 2024 and June 30, 2024 was increased to $198.3 million. If the Company completes additional acquisitions following the filing of this Annual Report on Form 10-K and on or prior to March 31, 2023, the Company expects that the disinterested committee will consider additional adjustments to the LTM EBITDA and the LTM EBITDA thresholds in respect of any such acquisitions.</w:t>
      </w:r>
    </w:p>
    <w:p>
      <w:pPr>
        <w:spacing w:after="0" w:line="109" w:lineRule="exact"/>
        <w:rPr>
          <w:sz w:val="20"/>
          <w:szCs w:val="20"/>
          <w:color w:val="auto"/>
        </w:rPr>
      </w:pPr>
    </w:p>
    <w:p>
      <w:pPr>
        <w:jc w:val="both"/>
        <w:ind w:firstLine="324"/>
        <w:spacing w:after="0" w:line="350" w:lineRule="auto"/>
        <w:rPr>
          <w:sz w:val="20"/>
          <w:szCs w:val="20"/>
          <w:color w:val="auto"/>
        </w:rPr>
      </w:pPr>
      <w:r>
        <w:rPr>
          <w:rFonts w:ascii="Arial" w:cs="Arial" w:eastAsia="Arial" w:hAnsi="Arial"/>
          <w:sz w:val="16"/>
          <w:szCs w:val="16"/>
          <w:color w:val="auto"/>
        </w:rPr>
        <w:t>Notwithstanding the foregoing, Class A-2 Common Stock, if not previously exchanged for Class A-1 Common Stock pursuant to the triggers described above, will be exchanged for an equal number of Class A-1 common stock immediately prior to the consummation of a transaction or series of related transactions that would result in a third party or group (as defined in or under Section 13 of the Securities Exchange Act of 1934, as amended (the “Exchange Act”)) becoming the beneficial owner of, directly or indirectly, more than fifty percent of the total voting power of the equity securities of the Company, or more than fifty percent of the consolidated net revenues, net income or total assets (including equity securities of its subsidiaries) of the Company, provided that the satisfaction of the conditions set forth in the aforementioned triggers cannot be determined at such time.</w:t>
      </w:r>
    </w:p>
    <w:p>
      <w:pPr>
        <w:spacing w:after="0" w:line="105" w:lineRule="exact"/>
        <w:rPr>
          <w:sz w:val="20"/>
          <w:szCs w:val="20"/>
          <w:color w:val="auto"/>
        </w:rPr>
      </w:pPr>
    </w:p>
    <w:p>
      <w:pPr>
        <w:jc w:val="both"/>
        <w:ind w:firstLine="324"/>
        <w:spacing w:after="0" w:line="327" w:lineRule="auto"/>
        <w:rPr>
          <w:sz w:val="20"/>
          <w:szCs w:val="20"/>
          <w:color w:val="auto"/>
        </w:rPr>
      </w:pPr>
      <w:r>
        <w:rPr>
          <w:rFonts w:ascii="Arial" w:cs="Arial" w:eastAsia="Arial" w:hAnsi="Arial"/>
          <w:sz w:val="17"/>
          <w:szCs w:val="17"/>
          <w:color w:val="auto"/>
        </w:rPr>
        <w:t>The Restricted Stock Agreement further provides that holders of Class A-2 Common Stock are not required to exchange such shares for Class A-1 Common Stock if, (x) prior to giving effect to exchanges pursuant to the triggers described above, such holder beneficially owns less than 4.99% of the issued and outstanding Class A-1 Common Stock, and (y) after giving effect to the exchanges pursuant to the triggers described above, such holder would beneficially own in excess of 4.99% of the issued and outstanding Class A-1 Common Stock. However, notwithstanding the limitation described in the previous sentence, if and when a holder of Class A-2 Common Stock has obtained all required gaming approvals from the applicable gaming authorities permitting such holder to beneficially own Class A-1 Common Stock in excess of 4.99%, then the Class A-2 Common Stock held by such holder which are subject to exchange shall immediately be exchanged for Class A-1 Common Stock without regard to the limitation.</w:t>
      </w:r>
    </w:p>
    <w:p>
      <w:pPr>
        <w:spacing w:after="0" w:line="120" w:lineRule="exact"/>
        <w:rPr>
          <w:sz w:val="20"/>
          <w:szCs w:val="20"/>
          <w:color w:val="auto"/>
        </w:rPr>
      </w:pPr>
    </w:p>
    <w:p>
      <w:pPr>
        <w:jc w:val="both"/>
        <w:ind w:firstLine="324"/>
        <w:spacing w:after="0" w:line="354" w:lineRule="auto"/>
        <w:rPr>
          <w:sz w:val="20"/>
          <w:szCs w:val="20"/>
          <w:color w:val="auto"/>
        </w:rPr>
      </w:pPr>
      <w:r>
        <w:rPr>
          <w:rFonts w:ascii="Arial" w:cs="Arial" w:eastAsia="Arial" w:hAnsi="Arial"/>
          <w:sz w:val="16"/>
          <w:szCs w:val="16"/>
          <w:color w:val="auto"/>
        </w:rPr>
        <w:t>On January 14, 2020, the market condition for the settlement of Tranche I was satisfied. However, no stockholder is permitted to own more than 4.99% of the issued and outstanding Class A-1 Common Stock after the settlement unless obtaining required gaming approvals from the applicable gaming authorities. In connection with the settlement, no gaming approvals were obtained. In addition, no stockholder can receive a fractional share from a conversion. As a result, only 1,666,636 shares of the 1,666,666 shares of Class A-2 Common Stock were converted into Class A-1 Common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Warrant liability</w:t>
      </w:r>
    </w:p>
    <w:p>
      <w:pPr>
        <w:spacing w:after="0" w:line="202"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In November 2019, 7,333,326 private placement warrants to purchase shares of Class A-1 Common Stock were issued with other consideration prior to the reverse recapitalization (the “Private Placement Warrants”). As a part of the reverse recapitalization, 2,444,437 Private Placement Warrants were canceled and reissued under the same terms and conditions to Accel legacy stockholders. Each warrant expires five years from issuance and entitles the holder to purchase one share of Class A-1 Common Stock at an exercise price of $11.50 per share.</w:t>
      </w:r>
    </w:p>
    <w:p>
      <w:pPr>
        <w:spacing w:after="0" w:line="116"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8"/>
          <w:szCs w:val="18"/>
          <w:color w:val="auto"/>
        </w:rPr>
        <w:t>In 2017, 15,000,000 warrants to purchase shares of Class A-1 Common Stock were issued in connection with the formation of TPG Pace Holdings (“Public Warrants”). Each warrant expires five years from issuance and entitles the holder to purchase one share of Class A-1 Common Stock at an exercise price of $11.50 per share.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On July 14, 2020, the Company announced that it had commenced an exchange offer (the "Offer") to all holders of its outstanding warrants to receive 0.25 shares of Class A-1 Common Stock in exchange for each Warrant tendered pursuant to the Offer. The Offer was open until 11:59 p.m., Eastern Standard Time, on August 11, 2020.</w:t>
      </w:r>
    </w:p>
    <w:p>
      <w:pPr>
        <w:spacing w:after="0" w:line="143"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7"/>
          <w:szCs w:val="17"/>
          <w:color w:val="auto"/>
        </w:rPr>
        <w:t>On July 16, 2020, the Company consummated the redemption of its Public Warrants. The Company exchanged each Public Warrant for 0.25 shares of the Company’s Class A-1 Common Stock and issued 3,784,416 shares of its Class A-1 Common Stock in exchange for the Public Warrants at settlement of the redemption. The exchange was an equitable exchange at fair value and was accounted for as a capital transaction. On July 22, 2020, the Company received written notice from the NYSE that the NYSE suspended trading in, and has determined to commence proceedings to delist, the Company’s Public Warrants to purchase shares of the Company’s Class A-1 Common Stock (ticker symbol ACEL.WS) from the NYSE. The delisting is a result of the failure of the Public Warrants to comply with the continued listing standard set forth in Section 802.01D of the NYSE Listed Company Manual which requires the Company to maintain at least 100 public holders of a listed security.</w:t>
      </w:r>
    </w:p>
    <w:p>
      <w:pPr>
        <w:spacing w:after="0" w:line="124"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On August 14, 2020, 7,189,990 of the Private Placement Warrants were validly tendered representing approximately 99.93% of the total Private Placement Warrants outstanding. The Company accepted all such Private Placement Warrants and issued an aggregate of 1,797,474 shares of its Class A-1 Common Stock in exchange for the Private Placement Warrants tendered. As of December 31, 2022, 5,144 warrants remain outstanding and the liability for which is included in other long-term liabilities on the consolidated balance sheets.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175" w:lineRule="exact"/>
        <w:rPr>
          <w:sz w:val="20"/>
          <w:szCs w:val="20"/>
          <w:color w:val="auto"/>
        </w:rPr>
      </w:pPr>
    </w:p>
    <w:p>
      <w:pPr>
        <w:jc w:val="both"/>
        <w:ind w:right="20" w:firstLine="324"/>
        <w:spacing w:after="0" w:line="395" w:lineRule="auto"/>
        <w:rPr>
          <w:sz w:val="20"/>
          <w:szCs w:val="20"/>
          <w:color w:val="auto"/>
        </w:rPr>
      </w:pPr>
      <w:r>
        <w:rPr>
          <w:rFonts w:ascii="Arial" w:cs="Arial" w:eastAsia="Arial" w:hAnsi="Arial"/>
          <w:sz w:val="16"/>
          <w:szCs w:val="16"/>
          <w:color w:val="auto"/>
        </w:rPr>
        <w:t xml:space="preserve">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establishes a framework for measuring fair value and the corresponding disclosure requirements around fair value measurements. This topic applies to all financial instruments that are being measured and reported on a fair value basis.</w:t>
      </w:r>
    </w:p>
    <w:p>
      <w:pPr>
        <w:spacing w:after="0" w:line="56"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In determining fair value, various methods, including market, income and cost approaches, are used. Based on these approaches, certain assumptions are utilized that the market participants would use in pricing the asset or liability, including assumptions about risk and/or the risks inherent in the inputs to the valuation technique. These inputs can be readily observable, market corroborated, or generally unobservable inputs. Valuation techniques are utilized that maximize the use of observable inputs and minimize the use of unobservable inputs. Based on the observability of the inputs used in the valuation techniques, it is required to provide information according to the fair value hierarchy. The fair value hierarchy ranks the quality and reliability of the information used to determine fair values. Assets and liabilities carried at fair value will be classified and disclosed in one of the following three categories: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highlight w:val="white"/>
        </w:rPr>
        <w:t>: Valuations for assets and liabilities traded in active exchange markets, such as the New York Stock Exchange. Level 1 also includes U.S.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Treasury and federal agency securities and federal agency mortgage-backed securities, which are traded by dealers or brokers in active markets.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Valuations are obtained from readily available pricing sources for market transactions involving identical assets or liabilities.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highlight w:val="white"/>
        </w:rPr>
        <w:t>: Valuations for assets and liabilities traded in less active dealer or broker markets or for similar assets or liabilities in active markets.</w:t>
      </w:r>
    </w:p>
    <w:p>
      <w:pPr>
        <w:spacing w:after="0" w:line="210" w:lineRule="exact"/>
        <w:rPr>
          <w:sz w:val="20"/>
          <w:szCs w:val="20"/>
          <w:color w:val="auto"/>
        </w:rPr>
      </w:pPr>
    </w:p>
    <w:p>
      <w:pPr>
        <w:jc w:val="both"/>
        <w:ind w:left="340" w:right="20"/>
        <w:spacing w:after="0" w:line="310"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highlight w:val="white"/>
        </w:rPr>
        <w:t>: Valuations for assets and liabilities that are derived from other valuation methodologies, including option pricing models, discounted cash</w:t>
      </w:r>
      <w:r>
        <w:rPr>
          <w:rFonts w:ascii="Arial" w:cs="Arial" w:eastAsia="Arial" w:hAnsi="Arial"/>
          <w:sz w:val="18"/>
          <w:szCs w:val="18"/>
          <w:color w:val="auto"/>
        </w:rPr>
        <w:t xml:space="preserve"> flow models and similar techniques, and not based on market exchange, dealer, or broker traded transactions. Level 3 valuations incorporate certain assumptions and projections in determining the fair value assigned to such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the Company’s assets that are measured at fair value on a recurring basis (in thousands):</w:t>
      </w:r>
    </w:p>
    <w:p>
      <w:pPr>
        <w:spacing w:after="0" w:line="167" w:lineRule="exact"/>
        <w:rPr>
          <w:sz w:val="20"/>
          <w:szCs w:val="20"/>
          <w:color w:val="auto"/>
        </w:rPr>
      </w:pPr>
    </w:p>
    <w:tbl>
      <w:tblPr>
        <w:tblLayout w:type="fixed"/>
        <w:tblInd w:w="1000" w:type="dxa"/>
        <w:tblCellMar>
          <w:top w:w="0" w:type="dxa"/>
          <w:left w:w="0" w:type="dxa"/>
          <w:bottom w:w="0" w:type="dxa"/>
          <w:right w:w="0" w:type="dxa"/>
        </w:tblCellMar>
      </w:tblPr>
      <w:tr>
        <w:trPr>
          <w:trHeight w:val="182"/>
        </w:trPr>
        <w:tc>
          <w:tcPr>
            <w:tcW w:w="3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20" w:type="dxa"/>
            <w:vAlign w:val="bottom"/>
            <w:gridSpan w:val="7"/>
          </w:tcPr>
          <w:p>
            <w:pPr>
              <w:ind w:left="620"/>
              <w:spacing w:after="0"/>
              <w:rPr>
                <w:sz w:val="20"/>
                <w:szCs w:val="20"/>
                <w:color w:val="auto"/>
              </w:rPr>
            </w:pPr>
            <w:r>
              <w:rPr>
                <w:rFonts w:ascii="Arial" w:cs="Arial" w:eastAsia="Arial" w:hAnsi="Arial"/>
                <w:sz w:val="14"/>
                <w:szCs w:val="14"/>
                <w:color w:val="auto"/>
              </w:rPr>
              <w:t>Fair Value Measurement at Reporting Date Using</w:t>
            </w:r>
          </w:p>
        </w:tc>
      </w:tr>
      <w:tr>
        <w:trPr>
          <w:trHeight w:val="39"/>
        </w:trPr>
        <w:tc>
          <w:tcPr>
            <w:tcW w:w="3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77"/>
        </w:trPr>
        <w:tc>
          <w:tcPr>
            <w:tcW w:w="3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Quoted Prices in</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2"/>
        </w:trPr>
        <w:tc>
          <w:tcPr>
            <w:tcW w:w="3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Active Markets for</w:t>
            </w: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Significant Other</w:t>
            </w:r>
          </w:p>
        </w:tc>
        <w:tc>
          <w:tcPr>
            <w:tcW w:w="160" w:type="dxa"/>
            <w:vAlign w:val="bottom"/>
          </w:tcPr>
          <w:p>
            <w:pPr>
              <w:spacing w:after="0"/>
              <w:rPr>
                <w:sz w:val="14"/>
                <w:szCs w:val="14"/>
                <w:color w:val="auto"/>
              </w:rPr>
            </w:pPr>
          </w:p>
        </w:tc>
        <w:tc>
          <w:tcPr>
            <w:tcW w:w="1160" w:type="dxa"/>
            <w:vAlign w:val="bottom"/>
          </w:tcPr>
          <w:p>
            <w:pPr>
              <w:jc w:val="center"/>
              <w:ind w:right="81"/>
              <w:spacing w:after="0"/>
              <w:rPr>
                <w:sz w:val="20"/>
                <w:szCs w:val="20"/>
                <w:color w:val="auto"/>
              </w:rPr>
            </w:pPr>
            <w:r>
              <w:rPr>
                <w:rFonts w:ascii="Arial" w:cs="Arial" w:eastAsia="Arial" w:hAnsi="Arial"/>
                <w:sz w:val="14"/>
                <w:szCs w:val="14"/>
                <w:color w:val="auto"/>
                <w:w w:val="99"/>
              </w:rPr>
              <w:t>Significant</w:t>
            </w:r>
          </w:p>
        </w:tc>
      </w:tr>
      <w:tr>
        <w:trPr>
          <w:trHeight w:val="175"/>
        </w:trPr>
        <w:tc>
          <w:tcPr>
            <w:tcW w:w="3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Identical Assets</w:t>
            </w:r>
          </w:p>
        </w:tc>
        <w:tc>
          <w:tcPr>
            <w:tcW w:w="14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Observable Inputs</w:t>
            </w:r>
          </w:p>
        </w:tc>
        <w:tc>
          <w:tcPr>
            <w:tcW w:w="160" w:type="dxa"/>
            <w:vAlign w:val="bottom"/>
          </w:tcPr>
          <w:p>
            <w:pPr>
              <w:spacing w:after="0"/>
              <w:rPr>
                <w:sz w:val="15"/>
                <w:szCs w:val="15"/>
                <w:color w:val="auto"/>
              </w:rPr>
            </w:pPr>
          </w:p>
        </w:tc>
        <w:tc>
          <w:tcPr>
            <w:tcW w:w="1160" w:type="dxa"/>
            <w:vAlign w:val="bottom"/>
          </w:tcPr>
          <w:p>
            <w:pPr>
              <w:jc w:val="center"/>
              <w:ind w:right="81"/>
              <w:spacing w:after="0"/>
              <w:rPr>
                <w:sz w:val="20"/>
                <w:szCs w:val="20"/>
                <w:color w:val="auto"/>
              </w:rPr>
            </w:pPr>
            <w:r>
              <w:rPr>
                <w:rFonts w:ascii="Arial" w:cs="Arial" w:eastAsia="Arial" w:hAnsi="Arial"/>
                <w:sz w:val="14"/>
                <w:szCs w:val="14"/>
                <w:color w:val="auto"/>
                <w:w w:val="92"/>
              </w:rPr>
              <w:t>Unobservable</w:t>
            </w:r>
          </w:p>
        </w:tc>
      </w:tr>
      <w:tr>
        <w:trPr>
          <w:trHeight w:val="182"/>
        </w:trPr>
        <w:tc>
          <w:tcPr>
            <w:tcW w:w="3480" w:type="dxa"/>
            <w:vAlign w:val="bottom"/>
          </w:tcPr>
          <w:p>
            <w:pPr>
              <w:spacing w:after="0"/>
              <w:rPr>
                <w:sz w:val="15"/>
                <w:szCs w:val="15"/>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color w:val="auto"/>
              </w:rPr>
              <w:t>December 31, 2022</w:t>
            </w:r>
          </w:p>
        </w:tc>
        <w:tc>
          <w:tcPr>
            <w:tcW w:w="14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(Level 1)</w:t>
            </w:r>
          </w:p>
        </w:tc>
        <w:tc>
          <w:tcPr>
            <w:tcW w:w="14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(Level 2)</w:t>
            </w:r>
          </w:p>
        </w:tc>
        <w:tc>
          <w:tcPr>
            <w:tcW w:w="160" w:type="dxa"/>
            <w:vAlign w:val="bottom"/>
          </w:tcPr>
          <w:p>
            <w:pPr>
              <w:spacing w:after="0"/>
              <w:rPr>
                <w:sz w:val="15"/>
                <w:szCs w:val="15"/>
                <w:color w:val="auto"/>
              </w:rPr>
            </w:pPr>
          </w:p>
        </w:tc>
        <w:tc>
          <w:tcPr>
            <w:tcW w:w="1160" w:type="dxa"/>
            <w:vAlign w:val="bottom"/>
          </w:tcPr>
          <w:p>
            <w:pPr>
              <w:jc w:val="center"/>
              <w:ind w:right="81"/>
              <w:spacing w:after="0"/>
              <w:rPr>
                <w:sz w:val="20"/>
                <w:szCs w:val="20"/>
                <w:color w:val="auto"/>
              </w:rPr>
            </w:pPr>
            <w:r>
              <w:rPr>
                <w:rFonts w:ascii="Arial" w:cs="Arial" w:eastAsia="Arial" w:hAnsi="Arial"/>
                <w:sz w:val="14"/>
                <w:szCs w:val="14"/>
                <w:color w:val="auto"/>
                <w:w w:val="95"/>
              </w:rPr>
              <w:t>Inputs (Level 3)</w:t>
            </w:r>
          </w:p>
        </w:tc>
      </w:tr>
      <w:tr>
        <w:trPr>
          <w:trHeight w:val="39"/>
        </w:trPr>
        <w:tc>
          <w:tcPr>
            <w:tcW w:w="34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3480" w:type="dxa"/>
            <w:vAlign w:val="bottom"/>
          </w:tcPr>
          <w:p>
            <w:pPr>
              <w:ind w:left="140"/>
              <w:spacing w:after="0"/>
              <w:rPr>
                <w:sz w:val="20"/>
                <w:szCs w:val="20"/>
                <w:color w:val="auto"/>
              </w:rPr>
            </w:pPr>
            <w:r>
              <w:rPr>
                <w:rFonts w:ascii="Arial" w:cs="Arial" w:eastAsia="Arial" w:hAnsi="Arial"/>
                <w:sz w:val="18"/>
                <w:szCs w:val="18"/>
                <w:color w:val="auto"/>
              </w:rPr>
              <w:t>Investment in convertible notes</w:t>
            </w:r>
          </w:p>
        </w:tc>
        <w:tc>
          <w:tcPr>
            <w:tcW w:w="400" w:type="dxa"/>
            <w:vAlign w:val="bottom"/>
          </w:tcPr>
          <w:p>
            <w:pPr>
              <w:jc w:val="right"/>
              <w:ind w:right="217"/>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32,065</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32,065</w:t>
            </w:r>
          </w:p>
        </w:tc>
      </w:tr>
      <w:tr>
        <w:trPr>
          <w:trHeight w:val="27"/>
        </w:trPr>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rate caplets</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19,919</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19,919</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r>
      <w:tr>
        <w:trPr>
          <w:trHeight w:val="263"/>
        </w:trPr>
        <w:tc>
          <w:tcPr>
            <w:tcW w:w="3480" w:type="dxa"/>
            <w:vAlign w:val="bottom"/>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51,984</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rPr>
              <w:t>19,919</w:t>
            </w: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rPr>
              <w:t>32,065</w:t>
            </w:r>
          </w:p>
        </w:tc>
      </w:tr>
      <w:tr>
        <w:trPr>
          <w:trHeight w:val="21"/>
        </w:trPr>
        <w:tc>
          <w:tcPr>
            <w:tcW w:w="3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r>
      <w:tr>
        <w:trPr>
          <w:trHeight w:val="305"/>
        </w:trPr>
        <w:tc>
          <w:tcPr>
            <w:tcW w:w="3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20" w:type="dxa"/>
            <w:vAlign w:val="bottom"/>
            <w:gridSpan w:val="7"/>
          </w:tcPr>
          <w:p>
            <w:pPr>
              <w:ind w:left="620"/>
              <w:spacing w:after="0"/>
              <w:rPr>
                <w:sz w:val="20"/>
                <w:szCs w:val="20"/>
                <w:color w:val="auto"/>
              </w:rPr>
            </w:pPr>
            <w:r>
              <w:rPr>
                <w:rFonts w:ascii="Arial" w:cs="Arial" w:eastAsia="Arial" w:hAnsi="Arial"/>
                <w:sz w:val="14"/>
                <w:szCs w:val="14"/>
                <w:color w:val="auto"/>
              </w:rPr>
              <w:t>Fair Value Measurement at Reporting Date Using</w:t>
            </w:r>
          </w:p>
        </w:tc>
      </w:tr>
      <w:tr>
        <w:trPr>
          <w:trHeight w:val="39"/>
        </w:trPr>
        <w:tc>
          <w:tcPr>
            <w:tcW w:w="3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64"/>
        </w:trPr>
        <w:tc>
          <w:tcPr>
            <w:tcW w:w="3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Quoted Prices in</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3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Active Markets for</w:t>
            </w:r>
          </w:p>
        </w:tc>
        <w:tc>
          <w:tcPr>
            <w:tcW w:w="14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Significant Other</w:t>
            </w:r>
          </w:p>
        </w:tc>
        <w:tc>
          <w:tcPr>
            <w:tcW w:w="160" w:type="dxa"/>
            <w:vAlign w:val="bottom"/>
          </w:tcPr>
          <w:p>
            <w:pPr>
              <w:spacing w:after="0"/>
              <w:rPr>
                <w:sz w:val="15"/>
                <w:szCs w:val="15"/>
                <w:color w:val="auto"/>
              </w:rPr>
            </w:pPr>
          </w:p>
        </w:tc>
        <w:tc>
          <w:tcPr>
            <w:tcW w:w="1160" w:type="dxa"/>
            <w:vAlign w:val="bottom"/>
          </w:tcPr>
          <w:p>
            <w:pPr>
              <w:jc w:val="center"/>
              <w:ind w:right="81"/>
              <w:spacing w:after="0"/>
              <w:rPr>
                <w:sz w:val="20"/>
                <w:szCs w:val="20"/>
                <w:color w:val="auto"/>
              </w:rPr>
            </w:pPr>
            <w:r>
              <w:rPr>
                <w:rFonts w:ascii="Arial" w:cs="Arial" w:eastAsia="Arial" w:hAnsi="Arial"/>
                <w:sz w:val="14"/>
                <w:szCs w:val="14"/>
                <w:color w:val="auto"/>
                <w:w w:val="99"/>
              </w:rPr>
              <w:t>Significant</w:t>
            </w:r>
          </w:p>
        </w:tc>
      </w:tr>
      <w:tr>
        <w:trPr>
          <w:trHeight w:val="175"/>
        </w:trPr>
        <w:tc>
          <w:tcPr>
            <w:tcW w:w="3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Identical Assets</w:t>
            </w:r>
          </w:p>
        </w:tc>
        <w:tc>
          <w:tcPr>
            <w:tcW w:w="14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Observable Inputs</w:t>
            </w:r>
          </w:p>
        </w:tc>
        <w:tc>
          <w:tcPr>
            <w:tcW w:w="160" w:type="dxa"/>
            <w:vAlign w:val="bottom"/>
          </w:tcPr>
          <w:p>
            <w:pPr>
              <w:spacing w:after="0"/>
              <w:rPr>
                <w:sz w:val="15"/>
                <w:szCs w:val="15"/>
                <w:color w:val="auto"/>
              </w:rPr>
            </w:pPr>
          </w:p>
        </w:tc>
        <w:tc>
          <w:tcPr>
            <w:tcW w:w="1160" w:type="dxa"/>
            <w:vAlign w:val="bottom"/>
          </w:tcPr>
          <w:p>
            <w:pPr>
              <w:jc w:val="center"/>
              <w:ind w:right="81"/>
              <w:spacing w:after="0"/>
              <w:rPr>
                <w:sz w:val="20"/>
                <w:szCs w:val="20"/>
                <w:color w:val="auto"/>
              </w:rPr>
            </w:pPr>
            <w:r>
              <w:rPr>
                <w:rFonts w:ascii="Arial" w:cs="Arial" w:eastAsia="Arial" w:hAnsi="Arial"/>
                <w:sz w:val="14"/>
                <w:szCs w:val="14"/>
                <w:color w:val="auto"/>
                <w:w w:val="92"/>
              </w:rPr>
              <w:t>Unobservable</w:t>
            </w:r>
          </w:p>
        </w:tc>
      </w:tr>
      <w:tr>
        <w:trPr>
          <w:trHeight w:val="182"/>
        </w:trPr>
        <w:tc>
          <w:tcPr>
            <w:tcW w:w="3480" w:type="dxa"/>
            <w:vAlign w:val="bottom"/>
          </w:tcPr>
          <w:p>
            <w:pPr>
              <w:spacing w:after="0"/>
              <w:rPr>
                <w:sz w:val="15"/>
                <w:szCs w:val="15"/>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color w:val="auto"/>
              </w:rPr>
              <w:t>December 31, 2021</w:t>
            </w:r>
          </w:p>
        </w:tc>
        <w:tc>
          <w:tcPr>
            <w:tcW w:w="14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(Level 1)</w:t>
            </w:r>
          </w:p>
        </w:tc>
        <w:tc>
          <w:tcPr>
            <w:tcW w:w="14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(Level 2)</w:t>
            </w:r>
          </w:p>
        </w:tc>
        <w:tc>
          <w:tcPr>
            <w:tcW w:w="160" w:type="dxa"/>
            <w:vAlign w:val="bottom"/>
          </w:tcPr>
          <w:p>
            <w:pPr>
              <w:spacing w:after="0"/>
              <w:rPr>
                <w:sz w:val="15"/>
                <w:szCs w:val="15"/>
                <w:color w:val="auto"/>
              </w:rPr>
            </w:pPr>
          </w:p>
        </w:tc>
        <w:tc>
          <w:tcPr>
            <w:tcW w:w="1160" w:type="dxa"/>
            <w:vAlign w:val="bottom"/>
          </w:tcPr>
          <w:p>
            <w:pPr>
              <w:jc w:val="center"/>
              <w:ind w:right="81"/>
              <w:spacing w:after="0"/>
              <w:rPr>
                <w:sz w:val="20"/>
                <w:szCs w:val="20"/>
                <w:color w:val="auto"/>
              </w:rPr>
            </w:pPr>
            <w:r>
              <w:rPr>
                <w:rFonts w:ascii="Arial" w:cs="Arial" w:eastAsia="Arial" w:hAnsi="Arial"/>
                <w:sz w:val="14"/>
                <w:szCs w:val="14"/>
                <w:color w:val="auto"/>
                <w:w w:val="95"/>
              </w:rPr>
              <w:t>Inputs (Level 3)</w:t>
            </w:r>
          </w:p>
        </w:tc>
      </w:tr>
      <w:tr>
        <w:trPr>
          <w:trHeight w:val="39"/>
        </w:trPr>
        <w:tc>
          <w:tcPr>
            <w:tcW w:w="34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3480" w:type="dxa"/>
            <w:vAlign w:val="bottom"/>
          </w:tcPr>
          <w:p>
            <w:pPr>
              <w:ind w:left="140"/>
              <w:spacing w:after="0"/>
              <w:rPr>
                <w:sz w:val="20"/>
                <w:szCs w:val="20"/>
                <w:color w:val="auto"/>
              </w:rPr>
            </w:pPr>
            <w:r>
              <w:rPr>
                <w:rFonts w:ascii="Arial" w:cs="Arial" w:eastAsia="Arial" w:hAnsi="Arial"/>
                <w:sz w:val="18"/>
                <w:szCs w:val="18"/>
                <w:color w:val="auto"/>
              </w:rPr>
              <w:t>Investment in convertible notes</w:t>
            </w:r>
          </w:p>
        </w:tc>
        <w:tc>
          <w:tcPr>
            <w:tcW w:w="400" w:type="dxa"/>
            <w:vAlign w:val="bottom"/>
          </w:tcPr>
          <w:p>
            <w:pPr>
              <w:jc w:val="right"/>
              <w:ind w:right="217"/>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32,065</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32,065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convertible notes</w:t>
      </w:r>
    </w:p>
    <w:p>
      <w:pPr>
        <w:spacing w:after="0" w:line="131" w:lineRule="exact"/>
        <w:rPr>
          <w:sz w:val="20"/>
          <w:szCs w:val="20"/>
          <w:color w:val="auto"/>
        </w:rPr>
      </w:pPr>
    </w:p>
    <w:p>
      <w:pPr>
        <w:jc w:val="both"/>
        <w:ind w:firstLine="324"/>
        <w:spacing w:after="0" w:line="320" w:lineRule="auto"/>
        <w:rPr>
          <w:sz w:val="20"/>
          <w:szCs w:val="20"/>
          <w:color w:val="auto"/>
        </w:rPr>
      </w:pPr>
      <w:r>
        <w:rPr>
          <w:rFonts w:ascii="Arial" w:cs="Arial" w:eastAsia="Arial" w:hAnsi="Arial"/>
          <w:sz w:val="17"/>
          <w:szCs w:val="17"/>
          <w:color w:val="auto"/>
        </w:rPr>
        <w:t xml:space="preserve">As described in Note 4, on July 30, 2021, the Company provided notice to Gold Rush that it was exercising its rights to convert the convertible notes into common stock of Gold Rush, subject to approval from the IGB to transfer the common stock to the Company. Accordingly, beginning in the third quarter of 2021, given the pending request for regulatory approval on the transfer of equity interest, the fair value of the convertible notes was estimated using a probability-weighted approach. Assuming regulatory approval was received, the fair value of the convertible notes was estimated on an as-converted basis by multiplying the equity value of Gold Rush by the ownership percentage as calculated pursuant to the terms of the convertible note agreements. In the scenario where regulatory approval was not received, the fair value of the convertible notes was estimated using a discounted cash flow approach assuming the Company would request immediate redemption of the principal and accrued interest and the discount rate was estimated based on comparable public debt rates. This assumption did not consider legal claims the Company may have under the convertible notes to receive the economic value of the conversion shares, even if transfer of the actual ownership interest in Gold Rush to Accel was not approved by the IGB. After the IGB Administrator’s denial of the transfer of the equity interest on December 2, 2021, the Company concluded that the fair value of the convertible notes should be calculated as principal plus interest accrued as of December 31, 2021. The Company has considered interest as an input to the accounting fair value for all periods and periodically revaluates its impact, if any, based on developments including the pending lawsuit against Gold Rush. For the avoidance of doubt, this fair value is less than what Accel maintains Gold Rush owes Accel under the convertible notes, but is consistent with ASC Topic 820, </w:t>
      </w:r>
      <w:r>
        <w:rPr>
          <w:rFonts w:ascii="Arial" w:cs="Arial" w:eastAsia="Arial" w:hAnsi="Arial"/>
          <w:sz w:val="17"/>
          <w:szCs w:val="17"/>
          <w:i w:val="1"/>
          <w:iCs w:val="1"/>
          <w:color w:val="auto"/>
        </w:rPr>
        <w:t>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w:t>
      </w:r>
      <w:r>
        <w:rPr>
          <w:rFonts w:ascii="Arial" w:cs="Arial" w:eastAsia="Arial" w:hAnsi="Arial"/>
          <w:sz w:val="17"/>
          <w:szCs w:val="17"/>
          <w:color w:val="auto"/>
        </w:rPr>
        <w:t>. This valuation of the Company's investment in convertible notes is considered to be a Level 3 fair value measurement as the</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inputs are unobservable and the Company is pursuing its legal remedies with respect to the amounts owed by Gold Rush. Changes in the fair value of the investment in convertible notes is included within comprehensive income (loss) on the accompanying consolidated statements of operations and comprehensive income (loss).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caplets</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The Company determines the fair value of the interest rate caplets using quotes that are based on models whose inputs are observable LIBOR forward interest rate curves. The valuation of the interest rate caplets is considered to be a Level 2 fair value measurement as the significant inputs are observable. Unrealized changes in the fair value of interest rate caplets are classified within other comprehensive income on the accompanying consolidated statements of operations and comprehensive income (loss). Realized gains on the interest rate caplets are recorded to interest expense, net on the accompanying consolidated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statements of operations and comprehensive income (loss) and included within cash payments for interest, net on the consolidated statements of cash flow.</w:t>
      </w:r>
    </w:p>
    <w:p>
      <w:pPr>
        <w:spacing w:after="0" w:line="248" w:lineRule="exact"/>
        <w:rPr>
          <w:sz w:val="20"/>
          <w:szCs w:val="20"/>
          <w:color w:val="auto"/>
        </w:rPr>
      </w:pPr>
    </w:p>
    <w:p>
      <w:pPr>
        <w:ind w:right="220" w:firstLine="324"/>
        <w:spacing w:after="0" w:line="324" w:lineRule="auto"/>
        <w:rPr>
          <w:sz w:val="20"/>
          <w:szCs w:val="20"/>
          <w:color w:val="auto"/>
        </w:rPr>
      </w:pPr>
      <w:r>
        <w:rPr>
          <w:rFonts w:ascii="Arial" w:cs="Arial" w:eastAsia="Arial" w:hAnsi="Arial"/>
          <w:sz w:val="18"/>
          <w:szCs w:val="18"/>
          <w:color w:val="auto"/>
        </w:rPr>
        <w:t>The following table provides a roll-forward of the fair value of recurring Level 3 fair value measurements for assets for the year ended December 31 (in thousands):</w:t>
      </w:r>
    </w:p>
    <w:p>
      <w:pPr>
        <w:spacing w:after="0" w:line="72" w:lineRule="exact"/>
        <w:rPr>
          <w:sz w:val="20"/>
          <w:szCs w:val="20"/>
          <w:color w:val="auto"/>
        </w:rPr>
      </w:pPr>
    </w:p>
    <w:tbl>
      <w:tblPr>
        <w:tblLayout w:type="fixed"/>
        <w:tblInd w:w="236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7"/>
        </w:trPr>
        <w:tc>
          <w:tcPr>
            <w:tcW w:w="3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3740" w:type="dxa"/>
            <w:vAlign w:val="bottom"/>
          </w:tcPr>
          <w:p>
            <w:pPr>
              <w:ind w:left="220"/>
              <w:spacing w:after="0"/>
              <w:rPr>
                <w:sz w:val="20"/>
                <w:szCs w:val="20"/>
                <w:color w:val="auto"/>
              </w:rPr>
            </w:pPr>
            <w:r>
              <w:rPr>
                <w:rFonts w:ascii="Arial" w:cs="Arial" w:eastAsia="Arial" w:hAnsi="Arial"/>
                <w:sz w:val="18"/>
                <w:szCs w:val="18"/>
                <w:color w:val="auto"/>
              </w:rPr>
              <w:t>Beginning of year balance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32,065</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31,266</w:t>
            </w:r>
          </w:p>
        </w:tc>
      </w:tr>
      <w:tr>
        <w:trPr>
          <w:trHeight w:val="27"/>
        </w:trPr>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w:t>
            </w:r>
          </w:p>
        </w:tc>
      </w:tr>
      <w:tr>
        <w:trPr>
          <w:trHeight w:val="243"/>
        </w:trPr>
        <w:tc>
          <w:tcPr>
            <w:tcW w:w="3740" w:type="dxa"/>
            <w:vAlign w:val="bottom"/>
          </w:tcPr>
          <w:p>
            <w:pPr>
              <w:ind w:left="340"/>
              <w:spacing w:after="0"/>
              <w:rPr>
                <w:sz w:val="20"/>
                <w:szCs w:val="20"/>
                <w:color w:val="auto"/>
              </w:rPr>
            </w:pPr>
            <w:r>
              <w:rPr>
                <w:rFonts w:ascii="Arial" w:cs="Arial" w:eastAsia="Arial" w:hAnsi="Arial"/>
                <w:sz w:val="18"/>
                <w:szCs w:val="18"/>
                <w:color w:val="auto"/>
              </w:rPr>
              <w:t>Fair value adjustments</w:t>
            </w: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3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3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32,065</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32,065</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Liabilities measured at fair value</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summarizes the Company’s liabilities that are measured at fair value on a recurring basis (in thousands):</w:t>
      </w:r>
    </w:p>
    <w:p>
      <w:pPr>
        <w:spacing w:after="0" w:line="167" w:lineRule="exact"/>
        <w:rPr>
          <w:sz w:val="20"/>
          <w:szCs w:val="20"/>
          <w:color w:val="auto"/>
        </w:rPr>
      </w:pPr>
    </w:p>
    <w:tbl>
      <w:tblPr>
        <w:tblLayout w:type="fixed"/>
        <w:tblInd w:w="1000" w:type="dxa"/>
        <w:tblCellMar>
          <w:top w:w="0" w:type="dxa"/>
          <w:left w:w="0" w:type="dxa"/>
          <w:bottom w:w="0" w:type="dxa"/>
          <w:right w:w="0" w:type="dxa"/>
        </w:tblCellMar>
      </w:tblPr>
      <w:tr>
        <w:trPr>
          <w:trHeight w:val="182"/>
        </w:trPr>
        <w:tc>
          <w:tcPr>
            <w:tcW w:w="3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20" w:type="dxa"/>
            <w:vAlign w:val="bottom"/>
            <w:gridSpan w:val="7"/>
          </w:tcPr>
          <w:p>
            <w:pPr>
              <w:ind w:left="620"/>
              <w:spacing w:after="0"/>
              <w:rPr>
                <w:sz w:val="20"/>
                <w:szCs w:val="20"/>
                <w:color w:val="auto"/>
              </w:rPr>
            </w:pPr>
            <w:r>
              <w:rPr>
                <w:rFonts w:ascii="Arial" w:cs="Arial" w:eastAsia="Arial" w:hAnsi="Arial"/>
                <w:sz w:val="14"/>
                <w:szCs w:val="14"/>
                <w:color w:val="auto"/>
              </w:rPr>
              <w:t>Fair Value Measurement at Reporting Date Using</w:t>
            </w:r>
          </w:p>
        </w:tc>
      </w:tr>
      <w:tr>
        <w:trPr>
          <w:trHeight w:val="39"/>
        </w:trPr>
        <w:tc>
          <w:tcPr>
            <w:tcW w:w="3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64"/>
        </w:trPr>
        <w:tc>
          <w:tcPr>
            <w:tcW w:w="3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Quoted Prices in</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5"/>
        </w:trPr>
        <w:tc>
          <w:tcPr>
            <w:tcW w:w="3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Active Markets for</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Significant Other</w:t>
            </w:r>
          </w:p>
        </w:tc>
        <w:tc>
          <w:tcPr>
            <w:tcW w:w="160" w:type="dxa"/>
            <w:vAlign w:val="bottom"/>
          </w:tcPr>
          <w:p>
            <w:pPr>
              <w:spacing w:after="0"/>
              <w:rPr>
                <w:sz w:val="15"/>
                <w:szCs w:val="15"/>
                <w:color w:val="auto"/>
              </w:rPr>
            </w:pPr>
          </w:p>
        </w:tc>
        <w:tc>
          <w:tcPr>
            <w:tcW w:w="1160" w:type="dxa"/>
            <w:vAlign w:val="bottom"/>
          </w:tcPr>
          <w:p>
            <w:pPr>
              <w:jc w:val="center"/>
              <w:ind w:right="78"/>
              <w:spacing w:after="0"/>
              <w:rPr>
                <w:sz w:val="20"/>
                <w:szCs w:val="20"/>
                <w:color w:val="auto"/>
              </w:rPr>
            </w:pPr>
            <w:r>
              <w:rPr>
                <w:rFonts w:ascii="Arial" w:cs="Arial" w:eastAsia="Arial" w:hAnsi="Arial"/>
                <w:sz w:val="14"/>
                <w:szCs w:val="14"/>
                <w:color w:val="auto"/>
                <w:w w:val="99"/>
              </w:rPr>
              <w:t>Significant</w:t>
            </w:r>
          </w:p>
        </w:tc>
      </w:tr>
      <w:tr>
        <w:trPr>
          <w:trHeight w:val="176"/>
        </w:trPr>
        <w:tc>
          <w:tcPr>
            <w:tcW w:w="3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Identical Assets</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Observable Inputs</w:t>
            </w:r>
          </w:p>
        </w:tc>
        <w:tc>
          <w:tcPr>
            <w:tcW w:w="160" w:type="dxa"/>
            <w:vAlign w:val="bottom"/>
          </w:tcPr>
          <w:p>
            <w:pPr>
              <w:spacing w:after="0"/>
              <w:rPr>
                <w:sz w:val="15"/>
                <w:szCs w:val="15"/>
                <w:color w:val="auto"/>
              </w:rPr>
            </w:pPr>
          </w:p>
        </w:tc>
        <w:tc>
          <w:tcPr>
            <w:tcW w:w="1160" w:type="dxa"/>
            <w:vAlign w:val="bottom"/>
          </w:tcPr>
          <w:p>
            <w:pPr>
              <w:jc w:val="center"/>
              <w:ind w:right="78"/>
              <w:spacing w:after="0"/>
              <w:rPr>
                <w:sz w:val="20"/>
                <w:szCs w:val="20"/>
                <w:color w:val="auto"/>
              </w:rPr>
            </w:pPr>
            <w:r>
              <w:rPr>
                <w:rFonts w:ascii="Arial" w:cs="Arial" w:eastAsia="Arial" w:hAnsi="Arial"/>
                <w:sz w:val="14"/>
                <w:szCs w:val="14"/>
                <w:color w:val="auto"/>
                <w:w w:val="92"/>
              </w:rPr>
              <w:t>Unobservable</w:t>
            </w:r>
          </w:p>
        </w:tc>
      </w:tr>
      <w:tr>
        <w:trPr>
          <w:trHeight w:val="182"/>
        </w:trPr>
        <w:tc>
          <w:tcPr>
            <w:tcW w:w="3480" w:type="dxa"/>
            <w:vAlign w:val="bottom"/>
          </w:tcPr>
          <w:p>
            <w:pPr>
              <w:spacing w:after="0"/>
              <w:rPr>
                <w:sz w:val="15"/>
                <w:szCs w:val="15"/>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color w:val="auto"/>
              </w:rPr>
              <w:t>December 31, 2022</w:t>
            </w: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(Level 1)</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(Level 2)</w:t>
            </w:r>
          </w:p>
        </w:tc>
        <w:tc>
          <w:tcPr>
            <w:tcW w:w="160" w:type="dxa"/>
            <w:vAlign w:val="bottom"/>
          </w:tcPr>
          <w:p>
            <w:pPr>
              <w:spacing w:after="0"/>
              <w:rPr>
                <w:sz w:val="15"/>
                <w:szCs w:val="15"/>
                <w:color w:val="auto"/>
              </w:rPr>
            </w:pPr>
          </w:p>
        </w:tc>
        <w:tc>
          <w:tcPr>
            <w:tcW w:w="1160" w:type="dxa"/>
            <w:vAlign w:val="bottom"/>
          </w:tcPr>
          <w:p>
            <w:pPr>
              <w:jc w:val="center"/>
              <w:ind w:right="78"/>
              <w:spacing w:after="0"/>
              <w:rPr>
                <w:sz w:val="20"/>
                <w:szCs w:val="20"/>
                <w:color w:val="auto"/>
              </w:rPr>
            </w:pPr>
            <w:r>
              <w:rPr>
                <w:rFonts w:ascii="Arial" w:cs="Arial" w:eastAsia="Arial" w:hAnsi="Arial"/>
                <w:sz w:val="14"/>
                <w:szCs w:val="14"/>
                <w:color w:val="auto"/>
                <w:w w:val="95"/>
              </w:rPr>
              <w:t>Inputs (Level 3)</w:t>
            </w:r>
          </w:p>
        </w:tc>
      </w:tr>
      <w:tr>
        <w:trPr>
          <w:trHeight w:val="39"/>
        </w:trPr>
        <w:tc>
          <w:tcPr>
            <w:tcW w:w="34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348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9,543</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9,543</w:t>
            </w:r>
          </w:p>
        </w:tc>
      </w:tr>
      <w:tr>
        <w:trPr>
          <w:trHeight w:val="27"/>
        </w:trPr>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earnout shares</w:t>
            </w:r>
          </w:p>
        </w:tc>
        <w:tc>
          <w:tcPr>
            <w:tcW w:w="4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23,288</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23,288</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480" w:type="dxa"/>
            <w:vAlign w:val="bottom"/>
          </w:tcPr>
          <w:p>
            <w:pPr>
              <w:ind w:left="140"/>
              <w:spacing w:after="0"/>
              <w:rPr>
                <w:sz w:val="20"/>
                <w:szCs w:val="20"/>
                <w:color w:val="auto"/>
              </w:rPr>
            </w:pPr>
            <w:r>
              <w:rPr>
                <w:rFonts w:ascii="Arial" w:cs="Arial" w:eastAsia="Arial" w:hAnsi="Arial"/>
                <w:sz w:val="18"/>
                <w:szCs w:val="18"/>
                <w:color w:val="auto"/>
              </w:rPr>
              <w:t>Warrants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3"/>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32,844</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23,301</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9,543</w:t>
            </w:r>
          </w:p>
        </w:tc>
      </w:tr>
      <w:tr>
        <w:trPr>
          <w:trHeight w:val="20"/>
        </w:trPr>
        <w:tc>
          <w:tcPr>
            <w:tcW w:w="3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r>
      <w:tr>
        <w:trPr>
          <w:trHeight w:val="354"/>
        </w:trPr>
        <w:tc>
          <w:tcPr>
            <w:tcW w:w="3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7"/>
          </w:tcPr>
          <w:p>
            <w:pPr>
              <w:ind w:left="620"/>
              <w:spacing w:after="0"/>
              <w:rPr>
                <w:sz w:val="20"/>
                <w:szCs w:val="20"/>
                <w:color w:val="auto"/>
              </w:rPr>
            </w:pPr>
            <w:r>
              <w:rPr>
                <w:rFonts w:ascii="Arial" w:cs="Arial" w:eastAsia="Arial" w:hAnsi="Arial"/>
                <w:sz w:val="14"/>
                <w:szCs w:val="14"/>
                <w:color w:val="auto"/>
              </w:rPr>
              <w:t>Fair Value Measurement at Reporting Date Using</w:t>
            </w:r>
          </w:p>
        </w:tc>
      </w:tr>
      <w:tr>
        <w:trPr>
          <w:trHeight w:val="39"/>
        </w:trPr>
        <w:tc>
          <w:tcPr>
            <w:tcW w:w="3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64"/>
        </w:trPr>
        <w:tc>
          <w:tcPr>
            <w:tcW w:w="3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Quoted Prices in</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5"/>
        </w:trPr>
        <w:tc>
          <w:tcPr>
            <w:tcW w:w="3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Active Markets for</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Significant Other</w:t>
            </w:r>
          </w:p>
        </w:tc>
        <w:tc>
          <w:tcPr>
            <w:tcW w:w="160" w:type="dxa"/>
            <w:vAlign w:val="bottom"/>
          </w:tcPr>
          <w:p>
            <w:pPr>
              <w:spacing w:after="0"/>
              <w:rPr>
                <w:sz w:val="15"/>
                <w:szCs w:val="15"/>
                <w:color w:val="auto"/>
              </w:rPr>
            </w:pPr>
          </w:p>
        </w:tc>
        <w:tc>
          <w:tcPr>
            <w:tcW w:w="1160" w:type="dxa"/>
            <w:vAlign w:val="bottom"/>
          </w:tcPr>
          <w:p>
            <w:pPr>
              <w:jc w:val="center"/>
              <w:ind w:right="78"/>
              <w:spacing w:after="0"/>
              <w:rPr>
                <w:sz w:val="20"/>
                <w:szCs w:val="20"/>
                <w:color w:val="auto"/>
              </w:rPr>
            </w:pPr>
            <w:r>
              <w:rPr>
                <w:rFonts w:ascii="Arial" w:cs="Arial" w:eastAsia="Arial" w:hAnsi="Arial"/>
                <w:sz w:val="14"/>
                <w:szCs w:val="14"/>
                <w:color w:val="auto"/>
                <w:w w:val="99"/>
              </w:rPr>
              <w:t>Significant</w:t>
            </w:r>
          </w:p>
        </w:tc>
      </w:tr>
      <w:tr>
        <w:trPr>
          <w:trHeight w:val="175"/>
        </w:trPr>
        <w:tc>
          <w:tcPr>
            <w:tcW w:w="3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Identical Assets</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Observable Inputs</w:t>
            </w:r>
          </w:p>
        </w:tc>
        <w:tc>
          <w:tcPr>
            <w:tcW w:w="160" w:type="dxa"/>
            <w:vAlign w:val="bottom"/>
          </w:tcPr>
          <w:p>
            <w:pPr>
              <w:spacing w:after="0"/>
              <w:rPr>
                <w:sz w:val="15"/>
                <w:szCs w:val="15"/>
                <w:color w:val="auto"/>
              </w:rPr>
            </w:pPr>
          </w:p>
        </w:tc>
        <w:tc>
          <w:tcPr>
            <w:tcW w:w="1160" w:type="dxa"/>
            <w:vAlign w:val="bottom"/>
          </w:tcPr>
          <w:p>
            <w:pPr>
              <w:jc w:val="center"/>
              <w:ind w:right="78"/>
              <w:spacing w:after="0"/>
              <w:rPr>
                <w:sz w:val="20"/>
                <w:szCs w:val="20"/>
                <w:color w:val="auto"/>
              </w:rPr>
            </w:pPr>
            <w:r>
              <w:rPr>
                <w:rFonts w:ascii="Arial" w:cs="Arial" w:eastAsia="Arial" w:hAnsi="Arial"/>
                <w:sz w:val="14"/>
                <w:szCs w:val="14"/>
                <w:color w:val="auto"/>
                <w:w w:val="92"/>
              </w:rPr>
              <w:t>Unobservable</w:t>
            </w:r>
          </w:p>
        </w:tc>
      </w:tr>
      <w:tr>
        <w:trPr>
          <w:trHeight w:val="182"/>
        </w:trPr>
        <w:tc>
          <w:tcPr>
            <w:tcW w:w="3480" w:type="dxa"/>
            <w:vAlign w:val="bottom"/>
          </w:tcPr>
          <w:p>
            <w:pPr>
              <w:spacing w:after="0"/>
              <w:rPr>
                <w:sz w:val="15"/>
                <w:szCs w:val="15"/>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color w:val="auto"/>
              </w:rPr>
              <w:t>December 31, 2021</w:t>
            </w: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(Level 1)</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(Level 2)</w:t>
            </w:r>
          </w:p>
        </w:tc>
        <w:tc>
          <w:tcPr>
            <w:tcW w:w="160" w:type="dxa"/>
            <w:vAlign w:val="bottom"/>
          </w:tcPr>
          <w:p>
            <w:pPr>
              <w:spacing w:after="0"/>
              <w:rPr>
                <w:sz w:val="15"/>
                <w:szCs w:val="15"/>
                <w:color w:val="auto"/>
              </w:rPr>
            </w:pPr>
          </w:p>
        </w:tc>
        <w:tc>
          <w:tcPr>
            <w:tcW w:w="1160" w:type="dxa"/>
            <w:vAlign w:val="bottom"/>
          </w:tcPr>
          <w:p>
            <w:pPr>
              <w:jc w:val="center"/>
              <w:ind w:right="78"/>
              <w:spacing w:after="0"/>
              <w:rPr>
                <w:sz w:val="20"/>
                <w:szCs w:val="20"/>
                <w:color w:val="auto"/>
              </w:rPr>
            </w:pPr>
            <w:r>
              <w:rPr>
                <w:rFonts w:ascii="Arial" w:cs="Arial" w:eastAsia="Arial" w:hAnsi="Arial"/>
                <w:sz w:val="14"/>
                <w:szCs w:val="14"/>
                <w:color w:val="auto"/>
                <w:w w:val="95"/>
              </w:rPr>
              <w:t>Inputs (Level 3)</w:t>
            </w:r>
          </w:p>
        </w:tc>
      </w:tr>
      <w:tr>
        <w:trPr>
          <w:trHeight w:val="39"/>
        </w:trPr>
        <w:tc>
          <w:tcPr>
            <w:tcW w:w="34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348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19,434</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19,434</w:t>
            </w:r>
          </w:p>
        </w:tc>
      </w:tr>
      <w:tr>
        <w:trPr>
          <w:trHeight w:val="27"/>
        </w:trPr>
        <w:tc>
          <w:tcPr>
            <w:tcW w:w="3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Contingent earnout shares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42,831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42,831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480" w:type="dxa"/>
            <w:vAlign w:val="bottom"/>
          </w:tcPr>
          <w:p>
            <w:pPr>
              <w:ind w:left="140"/>
              <w:spacing w:after="0"/>
              <w:rPr>
                <w:sz w:val="20"/>
                <w:szCs w:val="20"/>
                <w:color w:val="auto"/>
              </w:rPr>
            </w:pPr>
            <w:r>
              <w:rPr>
                <w:rFonts w:ascii="Arial" w:cs="Arial" w:eastAsia="Arial" w:hAnsi="Arial"/>
                <w:sz w:val="18"/>
                <w:szCs w:val="18"/>
                <w:color w:val="auto"/>
              </w:rPr>
              <w:t>Warrants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3"/>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62,278</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42,844</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19,434</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12" w:lineRule="exact"/>
        <w:rPr>
          <w:sz w:val="20"/>
          <w:szCs w:val="20"/>
          <w:color w:val="auto"/>
        </w:rPr>
      </w:pPr>
    </w:p>
    <w:p>
      <w:pPr>
        <w:jc w:val="both"/>
        <w:ind w:firstLine="324"/>
        <w:spacing w:after="0" w:line="326" w:lineRule="auto"/>
        <w:rPr>
          <w:sz w:val="20"/>
          <w:szCs w:val="20"/>
          <w:color w:val="auto"/>
        </w:rPr>
      </w:pPr>
      <w:r>
        <w:rPr>
          <w:rFonts w:ascii="Arial" w:cs="Arial" w:eastAsia="Arial" w:hAnsi="Arial"/>
          <w:sz w:val="17"/>
          <w:szCs w:val="17"/>
          <w:color w:val="auto"/>
        </w:rPr>
        <w:t>The Company uses a discounted cash flow analysis to determine the value of contingent consideration upon acquisition and updates this estimate on a recurring basis. The significant assumptions in the Company's cash flow analysis includes the probability adjusted projected revenues after state taxes, a discount rate as applicable to each acquisition, and the estimated number of locations that “go live” with the Company during the contingent consideration period. The valuation of the Company's contingent consideration is considered to be a Level 3 fair value measurement as the significant inputs are unobservable and require significant judgment or estimation. Changes in the fair value of contingent consideration liabilities are classified within other expenses, net on the accompanying consolidated statements of operations and comprehensive income (loss).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earnout shares</w:t>
      </w:r>
    </w:p>
    <w:p>
      <w:pPr>
        <w:spacing w:after="0" w:line="212" w:lineRule="exact"/>
        <w:rPr>
          <w:sz w:val="20"/>
          <w:szCs w:val="20"/>
          <w:color w:val="auto"/>
        </w:rPr>
      </w:pPr>
    </w:p>
    <w:p>
      <w:pPr>
        <w:jc w:val="both"/>
        <w:ind w:firstLine="324"/>
        <w:spacing w:after="0" w:line="354" w:lineRule="auto"/>
        <w:rPr>
          <w:sz w:val="20"/>
          <w:szCs w:val="20"/>
          <w:color w:val="auto"/>
        </w:rPr>
      </w:pPr>
      <w:r>
        <w:rPr>
          <w:rFonts w:ascii="Arial" w:cs="Arial" w:eastAsia="Arial" w:hAnsi="Arial"/>
          <w:sz w:val="16"/>
          <w:szCs w:val="16"/>
          <w:color w:val="auto"/>
        </w:rPr>
        <w:t>The Company determined the fair value of the contingent earnout shares based on the market price of the Company's A-1 Common Stock. The liability, by tranche, is then stated at present value based on i) an interest rate derived from the Company's borrowing rate and the applicable risk-free rate and ii) an estimate on when it expects the contingent earnout shares to convert to A-1 Common Stock. The valuation of the Company's contingent consideration is considered to be a Level 2 fair value measurement. Changes in the fair value of contingent earnout shares are included within (gain) loss on change in fair value of contingent earnout shares on the accompanying consolidated statements of operations and comprehensive income (loss).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12"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7"/>
          <w:szCs w:val="17"/>
          <w:color w:val="auto"/>
        </w:rPr>
        <w:t>The Company determined the fair value of its Public Warrants based on their trading price (ticker symbol ACEL.WS) on the NYSE and is considered to be a Level 1 fair value measurement. The Company initially determined the fair value of its Private Placement Warrants by using the fair value of its Public Warrants and a Black-Scholes option-pricing model. The Black-Scholes option-pricing model requires inputs such as the fair value of the Company's A-1 Common Stock, the risk-free interest rate, expected term, expected dividend yield and expected volatility. Beginning in the second quarter of 2020, the valuation of the Private Placement Warrants was based on the trading price of the Company's A-1 Common Stock divided by four as the holders of its outstanding Warrants were to receive 0.25 shares of Class A-1 Common Stock in exchange for each Warrant tendered in an exchange offer the Company consummated in August 2020. The Company's valuation of its Private Placement Warrants is considered to be a Level 2 fair value measurement. Changes in the fair value of the Warrants are included within gain on change in fair value of warrants on the accompanying consolidated statements of operations and comprehensive income (loss).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roll-forward of the fair value of recurring Level 3 fair value measurements for liabilities for the years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thousands):</w:t>
      </w:r>
    </w:p>
    <w:p>
      <w:pPr>
        <w:spacing w:after="0" w:line="167"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7"/>
        </w:trPr>
        <w:tc>
          <w:tcPr>
            <w:tcW w:w="4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4940" w:type="dxa"/>
            <w:vAlign w:val="bottom"/>
          </w:tcPr>
          <w:p>
            <w:pPr>
              <w:ind w:left="200"/>
              <w:spacing w:after="0"/>
              <w:rPr>
                <w:sz w:val="20"/>
                <w:szCs w:val="20"/>
                <w:color w:val="auto"/>
              </w:rPr>
            </w:pPr>
            <w:r>
              <w:rPr>
                <w:rFonts w:ascii="Arial" w:cs="Arial" w:eastAsia="Arial" w:hAnsi="Arial"/>
                <w:sz w:val="18"/>
                <w:szCs w:val="18"/>
                <w:color w:val="auto"/>
              </w:rPr>
              <w:t>Beginning of year balance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19,434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17,260</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17,327</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Issuance of contingent consideration in connection with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4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acquisitions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r>
      <w:tr>
        <w:trPr>
          <w:trHeight w:val="243"/>
        </w:trPr>
        <w:tc>
          <w:tcPr>
            <w:tcW w:w="4940" w:type="dxa"/>
            <w:vAlign w:val="bottom"/>
          </w:tcPr>
          <w:p>
            <w:pPr>
              <w:ind w:left="320"/>
              <w:spacing w:after="0"/>
              <w:rPr>
                <w:sz w:val="20"/>
                <w:szCs w:val="20"/>
                <w:color w:val="auto"/>
              </w:rPr>
            </w:pPr>
            <w:r>
              <w:rPr>
                <w:rFonts w:ascii="Arial" w:cs="Arial" w:eastAsia="Arial" w:hAnsi="Arial"/>
                <w:sz w:val="18"/>
                <w:szCs w:val="18"/>
                <w:color w:val="auto"/>
              </w:rPr>
              <w:t>Payment of contingent consideration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(4,358)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(4,420)</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Fair value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r>
      <w:tr>
        <w:trPr>
          <w:trHeight w:val="237"/>
        </w:trPr>
        <w:tc>
          <w:tcPr>
            <w:tcW w:w="4940" w:type="dxa"/>
            <w:vAlign w:val="bottom"/>
          </w:tcPr>
          <w:p>
            <w:pPr>
              <w:ind w:left="20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9,543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19,434</w:t>
            </w:r>
          </w:p>
        </w:tc>
        <w:tc>
          <w:tcPr>
            <w:tcW w:w="14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17,260</w:t>
            </w:r>
          </w:p>
        </w:tc>
      </w:tr>
      <w:tr>
        <w:trPr>
          <w:trHeight w:val="27"/>
        </w:trPr>
        <w:tc>
          <w:tcPr>
            <w:tcW w:w="4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Leases</w:t>
      </w:r>
    </w:p>
    <w:p>
      <w:pPr>
        <w:spacing w:after="0" w:line="20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The Company's lease portfolio is primarily comprised of operating leases for buildings and vehicles. The Company's leases have remaining lease terms that range from less than one year to 5.25 years, some of which also include options to extend or terminate the lease. Most leases contain both fixed and variable payments. Variable costs consist primarily of rent escalations based on an established index or rate and taxes, insurance, and common area or other maintenance costs, which are paid based on actual costs incurred by the lessor.</w:t>
      </w:r>
    </w:p>
    <w:p>
      <w:pPr>
        <w:spacing w:after="0" w:line="129"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Lease expense included within general and administrative expenses in our consolidated statements of operations and comprehensive income (loss) for the year ended December 31, 2022, were as follows (in thousands):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394"/>
        <w:spacing w:after="0"/>
        <w:rPr>
          <w:sz w:val="20"/>
          <w:szCs w:val="20"/>
          <w:color w:val="auto"/>
        </w:rPr>
      </w:pPr>
      <w:r>
        <w:rPr>
          <w:rFonts w:ascii="Arial" w:cs="Arial" w:eastAsia="Arial" w:hAnsi="Arial"/>
          <w:sz w:val="18"/>
          <w:szCs w:val="18"/>
          <w:color w:val="auto"/>
        </w:rPr>
        <w:t>Short-term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31750</wp:posOffset>
            </wp:positionV>
            <wp:extent cx="279463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2794635" cy="171450"/>
                    </a:xfrm>
                    <a:prstGeom prst="rect">
                      <a:avLst/>
                    </a:prstGeom>
                    <a:noFill/>
                  </pic:spPr>
                </pic:pic>
              </a:graphicData>
            </a:graphic>
          </wp:anchor>
        </w:drawing>
      </w:r>
    </w:p>
    <w:p>
      <w:pPr>
        <w:spacing w:after="0" w:line="43"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Operating lease expense</w:t>
      </w:r>
    </w:p>
    <w:p>
      <w:pPr>
        <w:spacing w:after="0" w:line="86"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Variable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39370</wp:posOffset>
            </wp:positionV>
            <wp:extent cx="2794635" cy="196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2794635" cy="196850"/>
                    </a:xfrm>
                    <a:prstGeom prst="rect">
                      <a:avLst/>
                    </a:prstGeom>
                    <a:noFill/>
                  </pic:spPr>
                </pic:pic>
              </a:graphicData>
            </a:graphic>
          </wp:anchor>
        </w:drawing>
      </w:r>
    </w:p>
    <w:p>
      <w:pPr>
        <w:spacing w:after="0" w:line="95"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Total lease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986" w:hanging="986"/>
        <w:spacing w:after="0"/>
        <w:tabs>
          <w:tab w:leader="none" w:pos="986" w:val="left"/>
        </w:tabs>
        <w:numPr>
          <w:ilvl w:val="0"/>
          <w:numId w:val="37"/>
        </w:numPr>
        <w:rPr>
          <w:rFonts w:ascii="Arial" w:cs="Arial" w:eastAsia="Arial" w:hAnsi="Arial"/>
          <w:sz w:val="15"/>
          <w:szCs w:val="15"/>
          <w:color w:val="auto"/>
        </w:rPr>
      </w:pPr>
      <w:r>
        <w:rPr>
          <w:rFonts w:ascii="Arial" w:cs="Arial" w:eastAsia="Arial" w:hAnsi="Arial"/>
          <w:sz w:val="15"/>
          <w:szCs w:val="15"/>
          <w:color w:val="auto"/>
        </w:rPr>
        <w:t>600</w:t>
      </w:r>
    </w:p>
    <w:p>
      <w:pPr>
        <w:spacing w:after="0" w:line="97" w:lineRule="exact"/>
        <w:rPr>
          <w:rFonts w:ascii="Arial" w:cs="Arial" w:eastAsia="Arial" w:hAnsi="Arial"/>
          <w:sz w:val="15"/>
          <w:szCs w:val="15"/>
          <w:color w:val="auto"/>
        </w:rPr>
      </w:pPr>
    </w:p>
    <w:p>
      <w:pPr>
        <w:ind w:left="846"/>
        <w:spacing w:after="0"/>
        <w:rPr>
          <w:rFonts w:ascii="Arial" w:cs="Arial" w:eastAsia="Arial" w:hAnsi="Arial"/>
          <w:sz w:val="15"/>
          <w:szCs w:val="15"/>
          <w:color w:val="auto"/>
        </w:rPr>
      </w:pPr>
      <w:r>
        <w:rPr>
          <w:rFonts w:ascii="Arial" w:cs="Arial" w:eastAsia="Arial" w:hAnsi="Arial"/>
          <w:sz w:val="15"/>
          <w:szCs w:val="15"/>
          <w:color w:val="auto"/>
        </w:rPr>
        <w:t>1,586</w:t>
      </w:r>
    </w:p>
    <w:p>
      <w:pPr>
        <w:spacing w:after="0" w:line="97" w:lineRule="exact"/>
        <w:rPr>
          <w:rFonts w:ascii="Arial" w:cs="Arial" w:eastAsia="Arial" w:hAnsi="Arial"/>
          <w:sz w:val="15"/>
          <w:szCs w:val="15"/>
          <w:color w:val="auto"/>
        </w:rPr>
      </w:pPr>
    </w:p>
    <w:p>
      <w:pPr>
        <w:ind w:left="986"/>
        <w:spacing w:after="0"/>
        <w:rPr>
          <w:rFonts w:ascii="Arial" w:cs="Arial" w:eastAsia="Arial" w:hAnsi="Arial"/>
          <w:sz w:val="15"/>
          <w:szCs w:val="15"/>
          <w:color w:val="auto"/>
        </w:rPr>
      </w:pPr>
      <w:r>
        <w:rPr>
          <w:rFonts w:ascii="Arial" w:cs="Arial" w:eastAsia="Arial" w:hAnsi="Arial"/>
          <w:sz w:val="15"/>
          <w:szCs w:val="15"/>
          <w:color w:val="auto"/>
        </w:rPr>
        <w:t>368</w:t>
      </w:r>
    </w:p>
    <w:p>
      <w:pPr>
        <w:spacing w:after="0" w:line="111" w:lineRule="exact"/>
        <w:rPr>
          <w:sz w:val="20"/>
          <w:szCs w:val="20"/>
          <w:color w:val="auto"/>
        </w:rPr>
      </w:pPr>
    </w:p>
    <w:p>
      <w:pPr>
        <w:ind w:left="846" w:hanging="846"/>
        <w:spacing w:after="0"/>
        <w:tabs>
          <w:tab w:leader="none" w:pos="846" w:val="left"/>
        </w:tabs>
        <w:numPr>
          <w:ilvl w:val="0"/>
          <w:numId w:val="38"/>
        </w:numPr>
        <w:rPr>
          <w:rFonts w:ascii="Arial" w:cs="Arial" w:eastAsia="Arial" w:hAnsi="Arial"/>
          <w:sz w:val="15"/>
          <w:szCs w:val="15"/>
          <w:color w:val="auto"/>
        </w:rPr>
      </w:pPr>
      <w:r>
        <w:rPr>
          <w:rFonts w:ascii="Arial" w:cs="Arial" w:eastAsia="Arial" w:hAnsi="Arial"/>
          <w:sz w:val="15"/>
          <w:szCs w:val="15"/>
          <w:color w:val="auto"/>
        </w:rPr>
        <w:t>2,554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79375</wp:posOffset>
            </wp:positionV>
            <wp:extent cx="8572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5934" w:space="720"/>
            <w:col w:w="4586"/>
          </w:cols>
          <w:pgMar w:left="320" w:top="121" w:right="339" w:bottom="1440" w:gutter="0" w:footer="0" w:header="0"/>
        </w:sectPr>
      </w:pP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incurred lease expense of $0.6 million and $0.5 million for the years ended December 31, 2021 and 2020.</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Amounts recognized in the consolidated balance sheets as of December 31, 2022 related to the Company's lease portfolio are as follows (in thousands):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2860" w:type="dxa"/>
            <w:vAlign w:val="bottom"/>
            <w:gridSpan w:val="3"/>
          </w:tcPr>
          <w:p>
            <w:pPr>
              <w:ind w:left="120"/>
              <w:spacing w:after="0"/>
              <w:rPr>
                <w:sz w:val="20"/>
                <w:szCs w:val="20"/>
                <w:color w:val="auto"/>
              </w:rPr>
            </w:pPr>
            <w:r>
              <w:rPr>
                <w:rFonts w:ascii="Arial" w:cs="Arial" w:eastAsia="Arial" w:hAnsi="Arial"/>
                <w:sz w:val="18"/>
                <w:szCs w:val="18"/>
                <w:b w:val="1"/>
                <w:bCs w:val="1"/>
                <w:color w:val="auto"/>
              </w:rPr>
              <w:t>Lease component</w:t>
            </w:r>
          </w:p>
        </w:tc>
        <w:tc>
          <w:tcPr>
            <w:tcW w:w="3580" w:type="dxa"/>
            <w:vAlign w:val="bottom"/>
            <w:gridSpan w:val="3"/>
          </w:tcPr>
          <w:p>
            <w:pPr>
              <w:ind w:left="240"/>
              <w:spacing w:after="0"/>
              <w:rPr>
                <w:sz w:val="20"/>
                <w:szCs w:val="20"/>
                <w:color w:val="auto"/>
              </w:rPr>
            </w:pPr>
            <w:r>
              <w:rPr>
                <w:rFonts w:ascii="Arial" w:cs="Arial" w:eastAsia="Arial" w:hAnsi="Arial"/>
                <w:sz w:val="18"/>
                <w:szCs w:val="18"/>
                <w:b w:val="1"/>
                <w:bCs w:val="1"/>
                <w:color w:val="auto"/>
              </w:rPr>
              <w:t>Classification</w:t>
            </w: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8"/>
        </w:trPr>
        <w:tc>
          <w:tcPr>
            <w:tcW w:w="120" w:type="dxa"/>
            <w:vAlign w:val="bottom"/>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1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2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28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Operating lease right-of-use asset</w:t>
            </w:r>
          </w:p>
        </w:tc>
        <w:tc>
          <w:tcPr>
            <w:tcW w:w="3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5,245</w:t>
            </w:r>
          </w:p>
        </w:tc>
      </w:tr>
      <w:tr>
        <w:trPr>
          <w:trHeight w:val="243"/>
        </w:trPr>
        <w:tc>
          <w:tcPr>
            <w:tcW w:w="2860" w:type="dxa"/>
            <w:vAlign w:val="bottom"/>
            <w:gridSpan w:val="3"/>
          </w:tcPr>
          <w:p>
            <w:pPr>
              <w:ind w:left="120"/>
              <w:spacing w:after="0"/>
              <w:rPr>
                <w:sz w:val="20"/>
                <w:szCs w:val="20"/>
                <w:color w:val="auto"/>
              </w:rPr>
            </w:pPr>
            <w:r>
              <w:rPr>
                <w:rFonts w:ascii="Arial" w:cs="Arial" w:eastAsia="Arial" w:hAnsi="Arial"/>
                <w:sz w:val="18"/>
                <w:szCs w:val="18"/>
                <w:color w:val="auto"/>
              </w:rPr>
              <w:t>Current operating lease liability</w:t>
            </w:r>
          </w:p>
        </w:tc>
        <w:tc>
          <w:tcPr>
            <w:tcW w:w="3580" w:type="dxa"/>
            <w:vAlign w:val="bottom"/>
            <w:gridSpan w:val="3"/>
          </w:tcPr>
          <w:p>
            <w:pPr>
              <w:ind w:left="240"/>
              <w:spacing w:after="0"/>
              <w:rPr>
                <w:sz w:val="20"/>
                <w:szCs w:val="20"/>
                <w:color w:val="auto"/>
              </w:rPr>
            </w:pPr>
            <w:r>
              <w:rPr>
                <w:rFonts w:ascii="Arial" w:cs="Arial" w:eastAsia="Arial" w:hAnsi="Arial"/>
                <w:sz w:val="18"/>
                <w:szCs w:val="18"/>
                <w:color w:val="auto"/>
                <w:w w:val="88"/>
              </w:rPr>
              <w:t>Accounts payable and other accrued expenses</w:t>
            </w:r>
          </w:p>
        </w:tc>
        <w:tc>
          <w:tcPr>
            <w:tcW w:w="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1,929</w:t>
            </w:r>
          </w:p>
        </w:tc>
      </w:tr>
      <w:tr>
        <w:trPr>
          <w:trHeight w:val="27"/>
        </w:trPr>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2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Long-term operating lease liability</w:t>
            </w:r>
          </w:p>
        </w:tc>
        <w:tc>
          <w:tcPr>
            <w:tcW w:w="35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Other long-term liabilities</w:t>
            </w:r>
          </w:p>
        </w:tc>
        <w:tc>
          <w:tcPr>
            <w:tcW w:w="5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3,376</w:t>
            </w:r>
          </w:p>
        </w:tc>
      </w:tr>
      <w:tr>
        <w:trPr>
          <w:trHeight w:val="27"/>
        </w:trPr>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2022, the future undiscounted cash flows associated with the Company's lease liabilities were as follows (in thousands):</w:t>
      </w:r>
    </w:p>
    <w:p>
      <w:pPr>
        <w:spacing w:after="0" w:line="345" w:lineRule="exact"/>
        <w:rPr>
          <w:sz w:val="20"/>
          <w:szCs w:val="20"/>
          <w:color w:val="auto"/>
        </w:rPr>
      </w:pPr>
    </w:p>
    <w:tbl>
      <w:tblPr>
        <w:tblLayout w:type="fixed"/>
        <w:tblInd w:w="3280" w:type="dxa"/>
        <w:tblCellMar>
          <w:top w:w="0" w:type="dxa"/>
          <w:left w:w="0" w:type="dxa"/>
          <w:bottom w:w="0" w:type="dxa"/>
          <w:right w:w="0" w:type="dxa"/>
        </w:tblCellMar>
      </w:tblPr>
      <w:tr>
        <w:trPr>
          <w:trHeight w:val="230"/>
        </w:trPr>
        <w:tc>
          <w:tcPr>
            <w:tcW w:w="3320" w:type="dxa"/>
            <w:vAlign w:val="bottom"/>
          </w:tcPr>
          <w:p>
            <w:pPr>
              <w:jc w:val="right"/>
              <w:ind w:right="2730"/>
              <w:spacing w:after="0"/>
              <w:rPr>
                <w:sz w:val="20"/>
                <w:szCs w:val="20"/>
                <w:color w:val="auto"/>
              </w:rPr>
            </w:pPr>
            <w:r>
              <w:rPr>
                <w:rFonts w:ascii="Arial" w:cs="Arial" w:eastAsia="Arial" w:hAnsi="Arial"/>
                <w:sz w:val="18"/>
                <w:szCs w:val="18"/>
                <w:color w:val="auto"/>
              </w:rPr>
              <w:t>2023</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2,066</w:t>
            </w:r>
          </w:p>
        </w:tc>
      </w:tr>
      <w:tr>
        <w:trPr>
          <w:trHeight w:val="27"/>
        </w:trPr>
        <w:tc>
          <w:tcPr>
            <w:tcW w:w="3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jc w:val="right"/>
              <w:ind w:right="2730"/>
              <w:spacing w:after="0"/>
              <w:rPr>
                <w:sz w:val="20"/>
                <w:szCs w:val="20"/>
                <w:color w:val="auto"/>
              </w:rPr>
            </w:pPr>
            <w:r>
              <w:rPr>
                <w:rFonts w:ascii="Arial" w:cs="Arial" w:eastAsia="Arial" w:hAnsi="Arial"/>
                <w:sz w:val="18"/>
                <w:szCs w:val="18"/>
                <w:color w:val="auto"/>
              </w:rPr>
              <w:t>2024</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r>
      <w:tr>
        <w:trPr>
          <w:trHeight w:val="243"/>
        </w:trPr>
        <w:tc>
          <w:tcPr>
            <w:tcW w:w="3320" w:type="dxa"/>
            <w:vAlign w:val="bottom"/>
          </w:tcPr>
          <w:p>
            <w:pPr>
              <w:jc w:val="right"/>
              <w:ind w:right="2730"/>
              <w:spacing w:after="0"/>
              <w:rPr>
                <w:sz w:val="20"/>
                <w:szCs w:val="20"/>
                <w:color w:val="auto"/>
              </w:rPr>
            </w:pPr>
            <w:r>
              <w:rPr>
                <w:rFonts w:ascii="Arial" w:cs="Arial" w:eastAsia="Arial" w:hAnsi="Arial"/>
                <w:sz w:val="18"/>
                <w:szCs w:val="18"/>
                <w:color w:val="auto"/>
              </w:rPr>
              <w:t>2025</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1,062</w:t>
            </w:r>
          </w:p>
        </w:tc>
      </w:tr>
      <w:tr>
        <w:trPr>
          <w:trHeight w:val="27"/>
        </w:trPr>
        <w:tc>
          <w:tcPr>
            <w:tcW w:w="3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jc w:val="right"/>
              <w:ind w:right="2730"/>
              <w:spacing w:after="0"/>
              <w:rPr>
                <w:sz w:val="20"/>
                <w:szCs w:val="20"/>
                <w:color w:val="auto"/>
              </w:rPr>
            </w:pPr>
            <w:r>
              <w:rPr>
                <w:rFonts w:ascii="Arial" w:cs="Arial" w:eastAsia="Arial" w:hAnsi="Arial"/>
                <w:sz w:val="18"/>
                <w:szCs w:val="18"/>
                <w:color w:val="auto"/>
              </w:rPr>
              <w:t>2026</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43"/>
        </w:trPr>
        <w:tc>
          <w:tcPr>
            <w:tcW w:w="3320" w:type="dxa"/>
            <w:vAlign w:val="bottom"/>
          </w:tcPr>
          <w:p>
            <w:pPr>
              <w:jc w:val="right"/>
              <w:ind w:right="2730"/>
              <w:spacing w:after="0"/>
              <w:rPr>
                <w:sz w:val="20"/>
                <w:szCs w:val="20"/>
                <w:color w:val="auto"/>
              </w:rPr>
            </w:pPr>
            <w:r>
              <w:rPr>
                <w:rFonts w:ascii="Arial" w:cs="Arial" w:eastAsia="Arial" w:hAnsi="Arial"/>
                <w:sz w:val="18"/>
                <w:szCs w:val="18"/>
                <w:color w:val="auto"/>
              </w:rPr>
              <w:t>2027</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7"/>
        </w:trPr>
        <w:tc>
          <w:tcPr>
            <w:tcW w:w="3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jc w:val="right"/>
              <w:ind w:right="235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3320" w:type="dxa"/>
            <w:vAlign w:val="bottom"/>
          </w:tcPr>
          <w:p>
            <w:pPr>
              <w:ind w:left="22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5,597</w:t>
            </w:r>
          </w:p>
        </w:tc>
      </w:tr>
      <w:tr>
        <w:trPr>
          <w:trHeight w:val="27"/>
        </w:trPr>
        <w:tc>
          <w:tcPr>
            <w:tcW w:w="33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present value discount</w:t>
            </w: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23"/>
        </w:trPr>
        <w:tc>
          <w:tcPr>
            <w:tcW w:w="3320" w:type="dxa"/>
            <w:vAlign w:val="bottom"/>
          </w:tcPr>
          <w:p>
            <w:pPr>
              <w:ind w:left="220"/>
              <w:spacing w:after="0"/>
              <w:rPr>
                <w:sz w:val="20"/>
                <w:szCs w:val="20"/>
                <w:color w:val="auto"/>
              </w:rPr>
            </w:pPr>
            <w:r>
              <w:rPr>
                <w:rFonts w:ascii="Arial" w:cs="Arial" w:eastAsia="Arial" w:hAnsi="Arial"/>
                <w:sz w:val="18"/>
                <w:szCs w:val="18"/>
                <w:color w:val="auto"/>
              </w:rPr>
              <w:t>Total operating lease liability</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5,305</w:t>
            </w:r>
          </w:p>
        </w:tc>
      </w:tr>
      <w:tr>
        <w:trPr>
          <w:trHeight w:val="21"/>
        </w:trPr>
        <w:tc>
          <w:tcPr>
            <w:tcW w:w="3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 average remaining lease term and discount rate used in computing the lease liabilities as of December 31, 2022 were as follows:</w:t>
      </w:r>
    </w:p>
    <w:p>
      <w:pPr>
        <w:spacing w:after="0" w:line="250" w:lineRule="exact"/>
        <w:rPr>
          <w:sz w:val="20"/>
          <w:szCs w:val="20"/>
          <w:color w:val="auto"/>
        </w:rPr>
      </w:pPr>
    </w:p>
    <w:tbl>
      <w:tblPr>
        <w:tblLayout w:type="fixed"/>
        <w:tblInd w:w="3020" w:type="dxa"/>
        <w:tblCellMar>
          <w:top w:w="0" w:type="dxa"/>
          <w:left w:w="0" w:type="dxa"/>
          <w:bottom w:w="0" w:type="dxa"/>
          <w:right w:w="0" w:type="dxa"/>
        </w:tblCellMar>
      </w:tblPr>
      <w:tr>
        <w:trPr>
          <w:trHeight w:val="257"/>
        </w:trPr>
        <w:tc>
          <w:tcPr>
            <w:tcW w:w="4200" w:type="dxa"/>
            <w:vAlign w:val="bottom"/>
          </w:tcPr>
          <w:p>
            <w:pPr>
              <w:ind w:left="140"/>
              <w:spacing w:after="0"/>
              <w:rPr>
                <w:sz w:val="20"/>
                <w:szCs w:val="20"/>
                <w:color w:val="auto"/>
              </w:rPr>
            </w:pPr>
            <w:r>
              <w:rPr>
                <w:rFonts w:ascii="Arial" w:cs="Arial" w:eastAsia="Arial" w:hAnsi="Arial"/>
                <w:sz w:val="18"/>
                <w:szCs w:val="18"/>
                <w:color w:val="auto"/>
              </w:rPr>
              <w:t>Weighted average remaining lease term (in years)</w:t>
            </w:r>
          </w:p>
        </w:tc>
        <w:tc>
          <w:tcPr>
            <w:tcW w:w="100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7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discount rate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3.28 %</w:t>
            </w: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cash flow information related to leases for the year ended December 31, 2022 is as follows (in thousands):</w:t>
      </w:r>
    </w:p>
    <w:p>
      <w:pPr>
        <w:spacing w:after="0" w:line="333" w:lineRule="exact"/>
        <w:rPr>
          <w:sz w:val="20"/>
          <w:szCs w:val="20"/>
          <w:color w:val="auto"/>
        </w:rPr>
      </w:pPr>
    </w:p>
    <w:tbl>
      <w:tblPr>
        <w:tblLayout w:type="fixed"/>
        <w:tblInd w:w="2320" w:type="dxa"/>
        <w:tblCellMar>
          <w:top w:w="0" w:type="dxa"/>
          <w:left w:w="0" w:type="dxa"/>
          <w:bottom w:w="0" w:type="dxa"/>
          <w:right w:w="0" w:type="dxa"/>
        </w:tblCellMar>
      </w:tblPr>
      <w:tr>
        <w:trPr>
          <w:trHeight w:val="230"/>
        </w:trPr>
        <w:tc>
          <w:tcPr>
            <w:tcW w:w="5420" w:type="dxa"/>
            <w:vAlign w:val="bottom"/>
          </w:tcPr>
          <w:p>
            <w:pPr>
              <w:ind w:left="140"/>
              <w:spacing w:after="0"/>
              <w:rPr>
                <w:sz w:val="20"/>
                <w:szCs w:val="20"/>
                <w:color w:val="auto"/>
              </w:rPr>
            </w:pPr>
            <w:r>
              <w:rPr>
                <w:rFonts w:ascii="Arial" w:cs="Arial" w:eastAsia="Arial" w:hAnsi="Arial"/>
                <w:sz w:val="18"/>
                <w:szCs w:val="18"/>
                <w:color w:val="auto"/>
                <w:w w:val="93"/>
              </w:rPr>
              <w:t>Cash paid for amounts included in the measurement of lease liabilities:</w:t>
            </w: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Operating cash flows from operating leases</w:t>
            </w:r>
          </w:p>
        </w:tc>
        <w:tc>
          <w:tcPr>
            <w:tcW w:w="6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r>
      <w:tr>
        <w:trPr>
          <w:trHeight w:val="243"/>
        </w:trPr>
        <w:tc>
          <w:tcPr>
            <w:tcW w:w="5420" w:type="dxa"/>
            <w:vAlign w:val="bottom"/>
          </w:tcPr>
          <w:p>
            <w:pPr>
              <w:ind w:left="140"/>
              <w:spacing w:after="0"/>
              <w:rPr>
                <w:sz w:val="20"/>
                <w:szCs w:val="20"/>
                <w:color w:val="auto"/>
              </w:rPr>
            </w:pPr>
            <w:r>
              <w:rPr>
                <w:rFonts w:ascii="Arial" w:cs="Arial" w:eastAsia="Arial" w:hAnsi="Arial"/>
                <w:sz w:val="18"/>
                <w:szCs w:val="18"/>
                <w:color w:val="auto"/>
              </w:rPr>
              <w:t>Right-of-use assets obtained in exchange for lease obligations:</w:t>
            </w: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leases</w:t>
            </w: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w:t>
            </w:r>
          </w:p>
        </w:tc>
      </w:tr>
      <w:tr>
        <w:trPr>
          <w:trHeight w:val="27"/>
        </w:trPr>
        <w:tc>
          <w:tcPr>
            <w:tcW w:w="54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Stockholders’ Equity</w:t>
      </w:r>
    </w:p>
    <w:p>
      <w:pPr>
        <w:spacing w:after="0" w:line="202"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Pursuant to the terms of the Company’s Amended and Restated Certificate of Incorporation, the Company authorized and has available for issuance the following shares and classes of capital stock, each with a par value of $0.0001 per share: i) 1,000,000 shares of preferred stock; and ii) 250,000,000 shares of Class A-1 Common Stock.</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A-1 Common Stock</w:t>
      </w:r>
    </w:p>
    <w:p>
      <w:pPr>
        <w:spacing w:after="0" w:line="212"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8"/>
          <w:szCs w:val="18"/>
          <w:color w:val="auto"/>
        </w:rPr>
        <w:t>The holders of the Class A-1 Common Stock are entitled to one vote for each share. The holders of Class A-1 Common Stock are entitled to receive dividends or other distributions when and if declared from time to time and share equally on a per share basis in such dividends and distributions subject to such rights of the holders of preferred stock.</w:t>
      </w:r>
    </w:p>
    <w:p>
      <w:pPr>
        <w:spacing w:after="0" w:line="122"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8"/>
          <w:szCs w:val="18"/>
          <w:color w:val="auto"/>
        </w:rPr>
        <w:t>On September 28, 2020, the Company completed an underwritten public offering (the “Offering”) of 8,000,000 shares of its Class A-1 common stock (par value $0.0001 per share) at a price of $10.50 per share for a total offering size of $84.0 million. The Company received net proceeds from the sale of shares of Class A-1 Common Stock sold by it in the Offering of approximately $79.2 million (net of underwriting discounts and commissions). The Company incurred offering costs totaling $5.3 million which have been capitalized to additional paid-in capital. The Offering also granted the underwriters an option to purchase up to 1,200,000 additional shares of Class A-1 common stock at the public offering price of $10.50 less the underwriting discount, exercisable at any time within 30 days of September 23, 2020. In October 2020, the underwriters of the Offering partially exercised their option and purchased an additional 1,133,015 shares at a price of $10.50 per share, resulting in additional net proceeds to the Company of approximately $11.2 million (net of underwriting discounts and commissions).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12"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8"/>
          <w:szCs w:val="18"/>
          <w:color w:val="auto"/>
        </w:rPr>
        <w:t>On November 22, 2021, the Company’s Board of Directors approved a share repurchase program of up to $200 million of shares of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United States Securities and Exchange Commission and other applicable legal requirements. The repurchase program does not obligate the Company to acquire any particular amount of shares, and the repurchase program may be suspended or discontinued at any time at the Company’s discretion. As of December 31, 2022, the Company has purchased a total of 8,345,283 shares under the plan at a cost of $88.0 million, of which 7,643,978 shares at a cost of $79.0 million were purchased during the year ended December 31, 2022.</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2022 and 2021, the Company has reserved Class A-1 Common Stock for future issuance in relation to the following:</w:t>
      </w:r>
    </w:p>
    <w:p>
      <w:pPr>
        <w:spacing w:after="0" w:line="275" w:lineRule="exact"/>
        <w:rPr>
          <w:sz w:val="20"/>
          <w:szCs w:val="20"/>
          <w:color w:val="auto"/>
        </w:rPr>
      </w:pPr>
    </w:p>
    <w:tbl>
      <w:tblPr>
        <w:tblLayout w:type="fixed"/>
        <w:tblInd w:w="18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r>
      <w:tr>
        <w:trPr>
          <w:trHeight w:val="27"/>
        </w:trPr>
        <w:tc>
          <w:tcPr>
            <w:tcW w:w="7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92"/>
              </w:rPr>
              <w:t>Class A-1</w:t>
            </w: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 issued and outstanding</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w:t>
            </w:r>
          </w:p>
        </w:tc>
      </w:tr>
      <w:tr>
        <w:trPr>
          <w:trHeight w:val="257"/>
        </w:trPr>
        <w:tc>
          <w:tcPr>
            <w:tcW w:w="740" w:type="dxa"/>
            <w:vAlign w:val="bottom"/>
          </w:tcPr>
          <w:p>
            <w:pPr>
              <w:spacing w:after="0"/>
              <w:rPr>
                <w:sz w:val="20"/>
                <w:szCs w:val="20"/>
                <w:color w:val="auto"/>
              </w:rPr>
            </w:pPr>
            <w:r>
              <w:rPr>
                <w:rFonts w:ascii="Arial" w:cs="Arial" w:eastAsia="Arial" w:hAnsi="Arial"/>
                <w:sz w:val="18"/>
                <w:szCs w:val="18"/>
                <w:color w:val="auto"/>
                <w:w w:val="92"/>
              </w:rPr>
              <w:t>Class A-1</w:t>
            </w:r>
          </w:p>
        </w:tc>
        <w:tc>
          <w:tcPr>
            <w:tcW w:w="4380" w:type="dxa"/>
            <w:vAlign w:val="bottom"/>
          </w:tcPr>
          <w:p>
            <w:pPr>
              <w:ind w:left="20"/>
              <w:spacing w:after="0"/>
              <w:rPr>
                <w:sz w:val="20"/>
                <w:szCs w:val="20"/>
                <w:color w:val="auto"/>
              </w:rPr>
            </w:pPr>
            <w:r>
              <w:rPr>
                <w:rFonts w:ascii="Arial" w:cs="Arial" w:eastAsia="Arial" w:hAnsi="Arial"/>
                <w:sz w:val="18"/>
                <w:szCs w:val="18"/>
                <w:color w:val="auto"/>
                <w:w w:val="93"/>
              </w:rPr>
              <w:t>Common Stock options and RSUs issued and outstanding</w:t>
            </w:r>
          </w:p>
        </w:tc>
        <w:tc>
          <w:tcPr>
            <w:tcW w:w="1120" w:type="dxa"/>
            <w:vAlign w:val="bottom"/>
          </w:tcPr>
          <w:p>
            <w:pPr>
              <w:jc w:val="right"/>
              <w:spacing w:after="0"/>
              <w:rPr>
                <w:sz w:val="20"/>
                <w:szCs w:val="20"/>
                <w:color w:val="auto"/>
              </w:rPr>
            </w:pPr>
            <w:r>
              <w:rPr>
                <w:rFonts w:ascii="Arial" w:cs="Arial" w:eastAsia="Arial" w:hAnsi="Arial"/>
                <w:sz w:val="18"/>
                <w:szCs w:val="18"/>
                <w:color w:val="auto"/>
              </w:rPr>
              <w:t>2,990,476</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3,150,215</w:t>
            </w:r>
          </w:p>
        </w:tc>
      </w:tr>
      <w:tr>
        <w:trPr>
          <w:trHeight w:val="25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Class A-2 Common Stock</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3,333,363</w:t>
            </w:r>
          </w:p>
        </w:tc>
        <w:tc>
          <w:tcPr>
            <w:tcW w:w="14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3,333,363</w:t>
            </w:r>
          </w:p>
        </w:tc>
      </w:tr>
      <w:tr>
        <w:trPr>
          <w:trHeight w:val="223"/>
        </w:trPr>
        <w:tc>
          <w:tcPr>
            <w:tcW w:w="5120" w:type="dxa"/>
            <w:vAlign w:val="bottom"/>
            <w:gridSpan w:val="2"/>
          </w:tcPr>
          <w:p>
            <w:pPr>
              <w:ind w:left="140"/>
              <w:spacing w:after="0"/>
              <w:rPr>
                <w:sz w:val="20"/>
                <w:szCs w:val="20"/>
                <w:color w:val="auto"/>
              </w:rPr>
            </w:pPr>
            <w:r>
              <w:rPr>
                <w:rFonts w:ascii="Arial" w:cs="Arial" w:eastAsia="Arial" w:hAnsi="Arial"/>
                <w:sz w:val="18"/>
                <w:szCs w:val="18"/>
                <w:color w:val="auto"/>
              </w:rPr>
              <w:t>Class A-1 Common Stock reserved for issuance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6,328,983</w:t>
            </w: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6,488,989</w:t>
            </w:r>
          </w:p>
        </w:tc>
      </w:tr>
      <w:tr>
        <w:trPr>
          <w:trHeight w:val="20"/>
        </w:trPr>
        <w:tc>
          <w:tcPr>
            <w:tcW w:w="7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Cost Associated with Gaming Terminals</w:t>
      </w:r>
    </w:p>
    <w:p>
      <w:pPr>
        <w:spacing w:after="0" w:line="202" w:lineRule="exact"/>
        <w:rPr>
          <w:sz w:val="20"/>
          <w:szCs w:val="20"/>
          <w:color w:val="auto"/>
        </w:rPr>
      </w:pPr>
    </w:p>
    <w:p>
      <w:pPr>
        <w:jc w:val="both"/>
        <w:ind w:firstLine="324"/>
        <w:spacing w:after="0" w:line="354" w:lineRule="auto"/>
        <w:rPr>
          <w:sz w:val="20"/>
          <w:szCs w:val="20"/>
          <w:color w:val="auto"/>
        </w:rPr>
      </w:pPr>
      <w:r>
        <w:rPr>
          <w:rFonts w:ascii="Arial" w:cs="Arial" w:eastAsia="Arial" w:hAnsi="Arial"/>
          <w:sz w:val="16"/>
          <w:szCs w:val="16"/>
          <w:color w:val="auto"/>
        </w:rPr>
        <w:t>Included in cost of revenue are costs associated with the operation of gaming terminals. In each jurisdiction that the Company operates, it is subject to state, municipal and/or administrative fees associated with the operation of its gaming terminals. The taxes and administrative fees are included in cost of revenue in the accompanying consolidated statements of operations and comprehensive income (loss). These costs associated with the operation of gaming terminals totaled $281.6 million, $245.7 million and $103.6 million for the years ended December 31, 2022, 2021 and 2020, respectively.</w:t>
      </w:r>
    </w:p>
    <w:p>
      <w:pPr>
        <w:spacing w:after="0" w:line="116"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The remaining net terminal income after deducting the taxes and administrative fees described above is split between the Company and the gaming location according to local gaming laws or are prenegotiated. The gaming location's share of net terminal income totaled $359.4 million, $230.4 million and $98.3 million for the years ended December 31, 2022, 2021 and 2020, respectively.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98" w:lineRule="exact"/>
        <w:rPr>
          <w:sz w:val="20"/>
          <w:szCs w:val="20"/>
          <w:color w:val="auto"/>
        </w:rPr>
      </w:pPr>
    </w:p>
    <w:p>
      <w:pPr>
        <w:jc w:val="both"/>
        <w:ind w:firstLine="324"/>
        <w:spacing w:after="0" w:line="326" w:lineRule="auto"/>
        <w:rPr>
          <w:sz w:val="20"/>
          <w:szCs w:val="20"/>
          <w:color w:val="auto"/>
        </w:rPr>
      </w:pPr>
      <w:r>
        <w:rPr>
          <w:rFonts w:ascii="Arial" w:cs="Arial" w:eastAsia="Arial" w:hAnsi="Arial"/>
          <w:sz w:val="17"/>
          <w:szCs w:val="17"/>
          <w:color w:val="auto"/>
        </w:rPr>
        <w:t>The Company maintains a 401(k)-benefit plan for all employees with at least three months of service and have reached 21 years of age. Participants are 100% vested in their contributions. The Company provides an employer match contribution of 50% of the participants’ contribution up to 5% of their eligible compensation. Participants are fully vested in the employer match contribution after one year of employment. The Company may also make profit sharing contributions to the plan which vest 20% a year after the first 2 years of employment and are fully vested after 6 years of employment. The Company may also elect to make other discretionary contributions to the Plan. The Company incurred 401(k)-benefit plan expense of approximately $1.3 million, $0.9 million and $0.6 million for the years ended December 31, 2022, 2021 and 2020,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Compensation Plan</w:t>
      </w:r>
    </w:p>
    <w:p>
      <w:pPr>
        <w:spacing w:after="0" w:line="198" w:lineRule="exact"/>
        <w:rPr>
          <w:sz w:val="20"/>
          <w:szCs w:val="20"/>
          <w:color w:val="auto"/>
        </w:rPr>
      </w:pPr>
    </w:p>
    <w:p>
      <w:pPr>
        <w:jc w:val="both"/>
        <w:ind w:firstLine="324"/>
        <w:spacing w:after="0" w:line="344" w:lineRule="auto"/>
        <w:rPr>
          <w:sz w:val="20"/>
          <w:szCs w:val="20"/>
          <w:color w:val="auto"/>
        </w:rPr>
      </w:pPr>
      <w:r>
        <w:rPr>
          <w:rFonts w:ascii="Arial" w:cs="Arial" w:eastAsia="Arial" w:hAnsi="Arial"/>
          <w:sz w:val="17"/>
          <w:szCs w:val="17"/>
          <w:color w:val="auto"/>
        </w:rPr>
        <w:t>Included in certain employee agreements are provisions for commissions and bonuses, which are determined at the discretion of management. Incentive compensation expense amounted to $12.5 million, $11.2 million and $1.9 million for the years ended December 31, 2022, 2021 and 2020, respectively. Accrued incentive compensation totaled $3.8 million and $5.1 million at December 31, 2022 and 2021,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Stock-based Compensation</w:t>
      </w:r>
    </w:p>
    <w:p>
      <w:pPr>
        <w:spacing w:after="0" w:line="202"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The Company grants various types of stock-based awards including stock options and restricted stock units (“RSUs”). Stock-based awards are valued on the date of grant and are expensed over the required service period. Total stock-based compensation expense recognized during the years ended December 31, 2022, 2021 and 2020, was $6.8 million, $6.4 million and $5.5 million, respectively. As of December 31, 2022, and 2021, there was approximately $14.6 million and $17.8 million, respectively, of unrecognized compensation expense related to stock-based awards, which is expected to be recognized through 2027.</w:t>
      </w:r>
    </w:p>
    <w:p>
      <w:pPr>
        <w:spacing w:after="0" w:line="147" w:lineRule="exact"/>
        <w:rPr>
          <w:sz w:val="20"/>
          <w:szCs w:val="20"/>
          <w:color w:val="auto"/>
        </w:rPr>
      </w:pPr>
    </w:p>
    <w:p>
      <w:pPr>
        <w:jc w:val="both"/>
        <w:ind w:firstLine="324"/>
        <w:spacing w:after="0" w:line="382" w:lineRule="auto"/>
        <w:rPr>
          <w:sz w:val="20"/>
          <w:szCs w:val="20"/>
          <w:color w:val="auto"/>
        </w:rPr>
      </w:pPr>
      <w:r>
        <w:rPr>
          <w:rFonts w:ascii="Arial" w:cs="Arial" w:eastAsia="Arial" w:hAnsi="Arial"/>
          <w:sz w:val="16"/>
          <w:szCs w:val="16"/>
          <w:color w:val="auto"/>
        </w:rPr>
        <w:t>During the years ended December 31, 2022, 2021 and 2020, the Company recognized gross excess tax benefits from stock-based compensation of less than $0.1 million, $2.3 million, and $5.2 million, respectively. Excess tax benefits reflect the total realized value of the Company’s tax deductions from individual stock option exercise transactions and the vesting of restricted stock awards in excess of the deferred tax assets that were previously recorded.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of Stock Options</w:t>
      </w:r>
    </w:p>
    <w:p>
      <w:pPr>
        <w:spacing w:after="0" w:line="19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The Company previously adopted the 2011 Equity Incentive Plan of Accel Entertainment, Inc., and 2016 Equity Incentive Plan of Accel Entertainment, Inc., (collectively, “Plans”). Under the Plans, the aggregate number of shares of common stock that may be issued or transferred pursuant to options or restricted stock awards under the Plans will not exceed ten percent of the outstanding shares of the Company. Options generally vest over a three to five-year period. The exercise price of stock options shall not be less than 100% of the fair market value per share of common stock on the grant date. The term of the options are a maximum of 10 years from the grant date.</w:t>
      </w:r>
    </w:p>
    <w:p>
      <w:pPr>
        <w:spacing w:after="0" w:line="130" w:lineRule="exact"/>
        <w:rPr>
          <w:sz w:val="20"/>
          <w:szCs w:val="20"/>
          <w:color w:val="auto"/>
        </w:rPr>
      </w:pPr>
    </w:p>
    <w:p>
      <w:pPr>
        <w:jc w:val="both"/>
        <w:ind w:firstLine="486"/>
        <w:spacing w:after="0" w:line="324" w:lineRule="auto"/>
        <w:rPr>
          <w:sz w:val="20"/>
          <w:szCs w:val="20"/>
          <w:color w:val="auto"/>
        </w:rPr>
      </w:pPr>
      <w:r>
        <w:rPr>
          <w:rFonts w:ascii="Arial" w:cs="Arial" w:eastAsia="Arial" w:hAnsi="Arial"/>
          <w:sz w:val="17"/>
          <w:szCs w:val="17"/>
          <w:color w:val="auto"/>
        </w:rPr>
        <w:t>In conjunction with the closing of the reverse recapitalization, the Accel Entertainment, Inc. Long Term Incentive Plan (the “LTIP”) was adopted. The LTIP provides for grants of a variety of awards to employees and non-employees for providing services to the Company, including, but not limited to incentive stock options qualified as such under U.S. federal income tax laws, stock options that do not qualify as incentive stock options, stock appreciation rights, restricted stock awards, restricted stock units, cash incentive awards, and other stock-based awards. The Company has reserved, and in January 2020 registered, a total of 6,000,000 shares of Class A-1 common stock for issuance pursuant to the LTIP, subject to certain adjustments set forth therein. The term of any options to be granted are for a maximum of 10 years from the grant date. The exercise price of stock options shall not be less than 100% of the fair market value per share of common stock on the grant date.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86"/>
        <w:spacing w:after="0" w:line="324" w:lineRule="auto"/>
        <w:rPr>
          <w:sz w:val="20"/>
          <w:szCs w:val="20"/>
          <w:color w:val="auto"/>
        </w:rPr>
      </w:pPr>
      <w:r>
        <w:rPr>
          <w:rFonts w:ascii="Arial" w:cs="Arial" w:eastAsia="Arial" w:hAnsi="Arial"/>
          <w:sz w:val="18"/>
          <w:szCs w:val="18"/>
          <w:color w:val="auto"/>
        </w:rPr>
        <w:t>Under the LTIP, the Company granted 315,881 stock options to eligible officers and employees of the Company during the year ended December 31, 2022, which will vest over a period of 4 years. The estimated grant date fair value of these options totaled $2.3 million.</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The Company uses the Black-Scholes formula to estimate the fair value of its stock-based payments. The volatility assumption used in the Black-Scholes formula is based on the volatility of comparable public companies. The Company determined the share price at grant date used in the Black-Scholes formula based on an internal valuation model for options granted prior to the Company going public. Upon going public, the Company used the closing market stock price on the date of grant.</w:t>
      </w:r>
    </w:p>
    <w:p>
      <w:pPr>
        <w:spacing w:after="0" w:line="129"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8"/>
          <w:szCs w:val="18"/>
          <w:color w:val="auto"/>
        </w:rPr>
        <w:t>The fair value assigned to each option is estimated on the date of grant using a Black-Scholes-based option valuation model. The expected term of each option granted represents the period of time that each option granted is expected to be outstanding. The risk-free rate for periods within the contractual life of the unit is based on U.S. Treasury yields in effect at the time of grant.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assumptions were used in the option valuation model for options granted during the years ended December 31, as follows:</w:t>
      </w:r>
    </w:p>
    <w:p>
      <w:pPr>
        <w:spacing w:after="0" w:line="163" w:lineRule="exact"/>
        <w:rPr>
          <w:sz w:val="20"/>
          <w:szCs w:val="20"/>
          <w:color w:val="auto"/>
        </w:rPr>
      </w:pPr>
    </w:p>
    <w:p>
      <w:pPr>
        <w:ind w:left="5960"/>
        <w:spacing w:after="0"/>
        <w:tabs>
          <w:tab w:leader="none" w:pos="7360" w:val="left"/>
          <w:tab w:leader="none" w:pos="87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2"/>
          <w:szCs w:val="12"/>
          <w:b w:val="1"/>
          <w:bCs w:val="1"/>
          <w:color w:val="auto"/>
        </w:rPr>
        <w:t>2020</w:t>
      </w:r>
    </w:p>
    <w:p>
      <w:pPr>
        <w:sectPr>
          <w:pgSz w:w="11900" w:h="16838" w:orient="portrait"/>
          <w:cols w:equalWidth="0" w:num="1">
            <w:col w:w="11240"/>
          </w:cols>
          <w:pgMar w:left="320" w:top="121" w:right="339" w:bottom="1440" w:gutter="0" w:footer="0" w:header="0"/>
        </w:sectPr>
      </w:pPr>
    </w:p>
    <w:p>
      <w:pPr>
        <w:spacing w:after="0" w:line="50"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Expected approximate volatility</w:t>
      </w:r>
    </w:p>
    <w:p>
      <w:pPr>
        <w:spacing w:after="0" w:line="8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Expected dividends</w:t>
      </w:r>
    </w:p>
    <w:p>
      <w:pPr>
        <w:spacing w:after="0" w:line="6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Expected term (in years)</w:t>
      </w:r>
    </w:p>
    <w:p>
      <w:pPr>
        <w:spacing w:after="0" w:line="6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Risk-free rate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jc w:val="right"/>
              <w:ind w:right="450"/>
              <w:spacing w:after="0"/>
              <w:rPr>
                <w:sz w:val="20"/>
                <w:szCs w:val="20"/>
                <w:color w:val="auto"/>
              </w:rPr>
            </w:pPr>
            <w:r>
              <w:rPr>
                <w:rFonts w:ascii="Arial" w:cs="Arial" w:eastAsia="Arial" w:hAnsi="Arial"/>
                <w:sz w:val="18"/>
                <w:szCs w:val="18"/>
                <w:color w:val="auto"/>
              </w:rPr>
              <w:t>60%</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1240" w:type="dxa"/>
            <w:vAlign w:val="bottom"/>
          </w:tcPr>
          <w:p>
            <w:pPr>
              <w:jc w:val="center"/>
              <w:ind w:left="70"/>
              <w:spacing w:after="0"/>
              <w:rPr>
                <w:sz w:val="20"/>
                <w:szCs w:val="20"/>
                <w:color w:val="auto"/>
              </w:rPr>
            </w:pPr>
            <w:r>
              <w:rPr>
                <w:rFonts w:ascii="Arial" w:cs="Arial" w:eastAsia="Arial" w:hAnsi="Arial"/>
                <w:sz w:val="18"/>
                <w:szCs w:val="18"/>
                <w:color w:val="auto"/>
                <w:w w:val="88"/>
              </w:rPr>
              <w:t>38%</w:t>
            </w:r>
          </w:p>
        </w:tc>
      </w:tr>
      <w:tr>
        <w:trPr>
          <w:trHeight w:val="270"/>
        </w:trPr>
        <w:tc>
          <w:tcPr>
            <w:tcW w:w="1240" w:type="dxa"/>
            <w:vAlign w:val="bottom"/>
          </w:tcPr>
          <w:p>
            <w:pPr>
              <w:ind w:left="340"/>
              <w:spacing w:after="0"/>
              <w:rPr>
                <w:sz w:val="20"/>
                <w:szCs w:val="20"/>
                <w:color w:val="auto"/>
              </w:rPr>
            </w:pPr>
            <w:r>
              <w:rPr>
                <w:rFonts w:ascii="Arial" w:cs="Arial" w:eastAsia="Arial" w:hAnsi="Arial"/>
                <w:sz w:val="18"/>
                <w:szCs w:val="18"/>
                <w:color w:val="auto"/>
              </w:rPr>
              <w:t>None</w:t>
            </w:r>
          </w:p>
        </w:tc>
        <w:tc>
          <w:tcPr>
            <w:tcW w:w="1400" w:type="dxa"/>
            <w:vAlign w:val="bottom"/>
          </w:tcPr>
          <w:p>
            <w:pPr>
              <w:ind w:left="500"/>
              <w:spacing w:after="0"/>
              <w:rPr>
                <w:sz w:val="20"/>
                <w:szCs w:val="20"/>
                <w:color w:val="auto"/>
              </w:rPr>
            </w:pPr>
            <w:r>
              <w:rPr>
                <w:rFonts w:ascii="Arial" w:cs="Arial" w:eastAsia="Arial" w:hAnsi="Arial"/>
                <w:sz w:val="18"/>
                <w:szCs w:val="18"/>
                <w:color w:val="auto"/>
              </w:rPr>
              <w:t>None</w:t>
            </w:r>
          </w:p>
        </w:tc>
        <w:tc>
          <w:tcPr>
            <w:tcW w:w="1240" w:type="dxa"/>
            <w:vAlign w:val="bottom"/>
          </w:tcPr>
          <w:p>
            <w:pPr>
              <w:ind w:left="500"/>
              <w:spacing w:after="0"/>
              <w:rPr>
                <w:sz w:val="20"/>
                <w:szCs w:val="20"/>
                <w:color w:val="auto"/>
              </w:rPr>
            </w:pPr>
            <w:r>
              <w:rPr>
                <w:rFonts w:ascii="Arial" w:cs="Arial" w:eastAsia="Arial" w:hAnsi="Arial"/>
                <w:sz w:val="18"/>
                <w:szCs w:val="18"/>
                <w:color w:val="auto"/>
              </w:rPr>
              <w:t>None</w:t>
            </w:r>
          </w:p>
        </w:tc>
      </w:tr>
      <w:tr>
        <w:trPr>
          <w:trHeight w:val="270"/>
        </w:trPr>
        <w:tc>
          <w:tcPr>
            <w:tcW w:w="1240" w:type="dxa"/>
            <w:vAlign w:val="bottom"/>
          </w:tcPr>
          <w:p>
            <w:pPr>
              <w:jc w:val="right"/>
              <w:ind w:right="570"/>
              <w:spacing w:after="0"/>
              <w:rPr>
                <w:sz w:val="20"/>
                <w:szCs w:val="20"/>
                <w:color w:val="auto"/>
              </w:rPr>
            </w:pPr>
            <w:r>
              <w:rPr>
                <w:rFonts w:ascii="Arial" w:cs="Arial" w:eastAsia="Arial" w:hAnsi="Arial"/>
                <w:sz w:val="18"/>
                <w:szCs w:val="18"/>
                <w:color w:val="auto"/>
              </w:rPr>
              <w:t>7</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40" w:type="dxa"/>
            <w:vAlign w:val="bottom"/>
          </w:tcPr>
          <w:p>
            <w:pPr>
              <w:jc w:val="center"/>
              <w:ind w:left="70"/>
              <w:spacing w:after="0"/>
              <w:rPr>
                <w:sz w:val="20"/>
                <w:szCs w:val="20"/>
                <w:color w:val="auto"/>
              </w:rPr>
            </w:pPr>
            <w:r>
              <w:rPr>
                <w:rFonts w:ascii="Arial" w:cs="Arial" w:eastAsia="Arial" w:hAnsi="Arial"/>
                <w:sz w:val="18"/>
                <w:szCs w:val="18"/>
                <w:color w:val="auto"/>
                <w:w w:val="79"/>
              </w:rPr>
              <w:t>7</w:t>
            </w:r>
          </w:p>
        </w:tc>
      </w:tr>
      <w:tr>
        <w:trPr>
          <w:trHeight w:val="270"/>
        </w:trPr>
        <w:tc>
          <w:tcPr>
            <w:tcW w:w="1240" w:type="dxa"/>
            <w:vAlign w:val="bottom"/>
          </w:tcPr>
          <w:p>
            <w:pPr>
              <w:jc w:val="right"/>
              <w:ind w:right="90"/>
              <w:spacing w:after="0"/>
              <w:rPr>
                <w:sz w:val="20"/>
                <w:szCs w:val="20"/>
                <w:color w:val="auto"/>
              </w:rPr>
            </w:pPr>
            <w:r>
              <w:rPr>
                <w:rFonts w:ascii="Arial" w:cs="Arial" w:eastAsia="Arial" w:hAnsi="Arial"/>
                <w:sz w:val="18"/>
                <w:szCs w:val="18"/>
                <w:color w:val="auto"/>
                <w:w w:val="88"/>
              </w:rPr>
              <w:t>2.12% - 4.04%</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0.72% - 1.17%</w:t>
            </w:r>
          </w:p>
        </w:tc>
        <w:tc>
          <w:tcPr>
            <w:tcW w:w="1240" w:type="dxa"/>
            <w:vAlign w:val="bottom"/>
          </w:tcPr>
          <w:p>
            <w:pPr>
              <w:jc w:val="center"/>
              <w:ind w:left="70"/>
              <w:spacing w:after="0"/>
              <w:rPr>
                <w:sz w:val="20"/>
                <w:szCs w:val="20"/>
                <w:color w:val="auto"/>
              </w:rPr>
            </w:pPr>
            <w:r>
              <w:rPr>
                <w:rFonts w:ascii="Arial" w:cs="Arial" w:eastAsia="Arial" w:hAnsi="Arial"/>
                <w:sz w:val="18"/>
                <w:szCs w:val="18"/>
                <w:color w:val="auto"/>
                <w:w w:val="91"/>
              </w:rPr>
              <w:t>0.44% - 1.19%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-342265</wp:posOffset>
            </wp:positionV>
            <wp:extent cx="498919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4989195" cy="171450"/>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-685165</wp:posOffset>
            </wp:positionV>
            <wp:extent cx="498919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498919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720"/>
            <w:col w:w="5660"/>
          </w:cols>
          <w:pgMar w:left="320" w:top="121" w:right="339" w:bottom="1440" w:gutter="0" w:footer="0" w:header="0"/>
          <w:type w:val="continuous"/>
        </w:sectPr>
      </w:pPr>
    </w:p>
    <w:p>
      <w:pPr>
        <w:spacing w:after="0" w:line="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options granted and the range in vesting periods based on specific provisions within the option agreements during the years ended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December 31, are as follows: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r>
      <w:tr>
        <w:trPr>
          <w:trHeight w:val="25"/>
        </w:trPr>
        <w:tc>
          <w:tcPr>
            <w:tcW w:w="37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Options granted</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315,881</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262,097</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1,449,779</w:t>
            </w:r>
          </w:p>
        </w:tc>
      </w:tr>
      <w:tr>
        <w:trPr>
          <w:trHeight w:val="270"/>
        </w:trPr>
        <w:tc>
          <w:tcPr>
            <w:tcW w:w="3740" w:type="dxa"/>
            <w:vAlign w:val="bottom"/>
          </w:tcPr>
          <w:p>
            <w:pPr>
              <w:ind w:left="60"/>
              <w:spacing w:after="0"/>
              <w:rPr>
                <w:sz w:val="20"/>
                <w:szCs w:val="20"/>
                <w:color w:val="auto"/>
              </w:rPr>
            </w:pPr>
            <w:r>
              <w:rPr>
                <w:rFonts w:ascii="Arial" w:cs="Arial" w:eastAsia="Arial" w:hAnsi="Arial"/>
                <w:sz w:val="18"/>
                <w:szCs w:val="18"/>
                <w:color w:val="auto"/>
              </w:rPr>
              <w:t>Vesting period (in years)</w:t>
            </w:r>
          </w:p>
        </w:tc>
        <w:tc>
          <w:tcPr>
            <w:tcW w:w="12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4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4 - 5</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activities of the Company’s outstanding stock options for the years ended December 31, 2022, 2021 and 2020.</w:t>
      </w:r>
    </w:p>
    <w:p>
      <w:pPr>
        <w:spacing w:after="0" w:line="192" w:lineRule="exact"/>
        <w:rPr>
          <w:sz w:val="20"/>
          <w:szCs w:val="20"/>
          <w:color w:val="auto"/>
        </w:rPr>
      </w:pPr>
    </w:p>
    <w:tbl>
      <w:tblPr>
        <w:tblLayout w:type="fixed"/>
        <w:tblInd w:w="192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w w:val="92"/>
              </w:rPr>
              <w:t>Weighted Average</w:t>
            </w: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color w:val="auto"/>
                <w:w w:val="93"/>
              </w:rPr>
              <w:t>Weighted Average</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right="92"/>
              <w:spacing w:after="0"/>
              <w:rPr>
                <w:sz w:val="20"/>
                <w:szCs w:val="20"/>
                <w:color w:val="auto"/>
              </w:rPr>
            </w:pPr>
            <w:r>
              <w:rPr>
                <w:rFonts w:ascii="Arial" w:cs="Arial" w:eastAsia="Arial" w:hAnsi="Arial"/>
                <w:sz w:val="14"/>
                <w:szCs w:val="14"/>
                <w:color w:val="auto"/>
                <w:w w:val="93"/>
              </w:rPr>
              <w:t>Grant Date Fair</w:t>
            </w: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Outstanding options</w:t>
            </w:r>
          </w:p>
        </w:tc>
        <w:tc>
          <w:tcPr>
            <w:tcW w:w="1100" w:type="dxa"/>
            <w:vAlign w:val="bottom"/>
          </w:tcPr>
          <w:p>
            <w:pPr>
              <w:jc w:val="right"/>
              <w:ind w:right="271"/>
              <w:spacing w:after="0"/>
              <w:rPr>
                <w:sz w:val="20"/>
                <w:szCs w:val="20"/>
                <w:color w:val="auto"/>
              </w:rPr>
            </w:pPr>
            <w:r>
              <w:rPr>
                <w:rFonts w:ascii="Arial" w:cs="Arial" w:eastAsia="Arial" w:hAnsi="Arial"/>
                <w:sz w:val="14"/>
                <w:szCs w:val="14"/>
                <w:color w:val="auto"/>
              </w:rPr>
              <w:t>Shares</w:t>
            </w:r>
          </w:p>
        </w:tc>
        <w:tc>
          <w:tcPr>
            <w:tcW w:w="260" w:type="dxa"/>
            <w:vAlign w:val="bottom"/>
          </w:tcPr>
          <w:p>
            <w:pPr>
              <w:spacing w:after="0"/>
              <w:rPr>
                <w:sz w:val="17"/>
                <w:szCs w:val="17"/>
                <w:color w:val="auto"/>
              </w:rPr>
            </w:pPr>
          </w:p>
        </w:tc>
        <w:tc>
          <w:tcPr>
            <w:tcW w:w="1080" w:type="dxa"/>
            <w:vAlign w:val="bottom"/>
          </w:tcPr>
          <w:p>
            <w:pPr>
              <w:jc w:val="center"/>
              <w:ind w:right="92"/>
              <w:spacing w:after="0"/>
              <w:rPr>
                <w:sz w:val="20"/>
                <w:szCs w:val="20"/>
                <w:color w:val="auto"/>
              </w:rPr>
            </w:pPr>
            <w:r>
              <w:rPr>
                <w:rFonts w:ascii="Arial" w:cs="Arial" w:eastAsia="Arial" w:hAnsi="Arial"/>
                <w:sz w:val="14"/>
                <w:szCs w:val="14"/>
                <w:color w:val="auto"/>
                <w:w w:val="94"/>
              </w:rPr>
              <w:t>Value</w:t>
            </w:r>
          </w:p>
        </w:tc>
        <w:tc>
          <w:tcPr>
            <w:tcW w:w="200" w:type="dxa"/>
            <w:vAlign w:val="bottom"/>
          </w:tcPr>
          <w:p>
            <w:pPr>
              <w:spacing w:after="0"/>
              <w:rPr>
                <w:sz w:val="17"/>
                <w:szCs w:val="17"/>
                <w:color w:val="auto"/>
              </w:rPr>
            </w:pPr>
          </w:p>
        </w:tc>
        <w:tc>
          <w:tcPr>
            <w:tcW w:w="1000" w:type="dxa"/>
            <w:vAlign w:val="bottom"/>
          </w:tcPr>
          <w:p>
            <w:pPr>
              <w:jc w:val="right"/>
              <w:ind w:right="71"/>
              <w:spacing w:after="0"/>
              <w:rPr>
                <w:sz w:val="20"/>
                <w:szCs w:val="20"/>
                <w:color w:val="auto"/>
              </w:rPr>
            </w:pPr>
            <w:r>
              <w:rPr>
                <w:rFonts w:ascii="Arial" w:cs="Arial" w:eastAsia="Arial" w:hAnsi="Arial"/>
                <w:sz w:val="14"/>
                <w:szCs w:val="14"/>
                <w:color w:val="auto"/>
                <w:w w:val="91"/>
              </w:rPr>
              <w:t>Exercise Price</w:t>
            </w:r>
          </w:p>
        </w:tc>
        <w:tc>
          <w:tcPr>
            <w:tcW w:w="0" w:type="dxa"/>
            <w:vAlign w:val="bottom"/>
          </w:tcPr>
          <w:p>
            <w:pPr>
              <w:spacing w:after="0"/>
              <w:rPr>
                <w:sz w:val="1"/>
                <w:szCs w:val="1"/>
                <w:color w:val="auto"/>
              </w:rPr>
            </w:pPr>
          </w:p>
        </w:tc>
      </w:tr>
      <w:tr>
        <w:trPr>
          <w:trHeight w:val="25"/>
        </w:trPr>
        <w:tc>
          <w:tcPr>
            <w:tcW w:w="3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1,228,399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0.96</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376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1,449,779</w:t>
            </w:r>
          </w:p>
        </w:tc>
        <w:tc>
          <w:tcPr>
            <w:tcW w:w="26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(359,987)</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0.69</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3760" w:type="dxa"/>
            <w:vAlign w:val="bottom"/>
            <w:gridSpan w:val="2"/>
          </w:tcPr>
          <w:p>
            <w:pPr>
              <w:ind w:left="340"/>
              <w:spacing w:after="0"/>
              <w:rPr>
                <w:sz w:val="20"/>
                <w:szCs w:val="20"/>
                <w:color w:val="auto"/>
              </w:rPr>
            </w:pPr>
            <w:r>
              <w:rPr>
                <w:rFonts w:ascii="Arial" w:cs="Arial" w:eastAsia="Arial" w:hAnsi="Arial"/>
                <w:sz w:val="18"/>
                <w:szCs w:val="18"/>
                <w:color w:val="auto"/>
              </w:rPr>
              <w:t>Forfeited/expired</w:t>
            </w:r>
          </w:p>
        </w:tc>
        <w:tc>
          <w:tcPr>
            <w:tcW w:w="1100" w:type="dxa"/>
            <w:vAlign w:val="bottom"/>
          </w:tcPr>
          <w:p>
            <w:pPr>
              <w:jc w:val="right"/>
              <w:spacing w:after="0"/>
              <w:rPr>
                <w:sz w:val="20"/>
                <w:szCs w:val="20"/>
                <w:color w:val="auto"/>
              </w:rPr>
            </w:pPr>
            <w:r>
              <w:rPr>
                <w:rFonts w:ascii="Arial" w:cs="Arial" w:eastAsia="Arial" w:hAnsi="Arial"/>
                <w:sz w:val="18"/>
                <w:szCs w:val="18"/>
                <w:color w:val="auto"/>
              </w:rPr>
              <w:t>(68,580)</w:t>
            </w:r>
          </w:p>
        </w:tc>
        <w:tc>
          <w:tcPr>
            <w:tcW w:w="26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2,249,611</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3.25</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0"/>
        </w:trPr>
        <w:tc>
          <w:tcPr>
            <w:tcW w:w="376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262,097</w:t>
            </w:r>
          </w:p>
        </w:tc>
        <w:tc>
          <w:tcPr>
            <w:tcW w:w="26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6.90</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(577,719)</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0.96</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3760" w:type="dxa"/>
            <w:vAlign w:val="bottom"/>
            <w:gridSpan w:val="2"/>
          </w:tcPr>
          <w:p>
            <w:pPr>
              <w:ind w:left="340"/>
              <w:spacing w:after="0"/>
              <w:rPr>
                <w:sz w:val="20"/>
                <w:szCs w:val="20"/>
                <w:color w:val="auto"/>
              </w:rPr>
            </w:pPr>
            <w:r>
              <w:rPr>
                <w:rFonts w:ascii="Arial" w:cs="Arial" w:eastAsia="Arial" w:hAnsi="Arial"/>
                <w:sz w:val="18"/>
                <w:szCs w:val="18"/>
                <w:color w:val="auto"/>
              </w:rPr>
              <w:t>Forfeited/expired</w:t>
            </w:r>
          </w:p>
        </w:tc>
        <w:tc>
          <w:tcPr>
            <w:tcW w:w="1100" w:type="dxa"/>
            <w:vAlign w:val="bottom"/>
          </w:tcPr>
          <w:p>
            <w:pPr>
              <w:jc w:val="right"/>
              <w:spacing w:after="0"/>
              <w:rPr>
                <w:sz w:val="20"/>
                <w:szCs w:val="20"/>
                <w:color w:val="auto"/>
              </w:rPr>
            </w:pPr>
            <w:r>
              <w:rPr>
                <w:rFonts w:ascii="Arial" w:cs="Arial" w:eastAsia="Arial" w:hAnsi="Arial"/>
                <w:sz w:val="18"/>
                <w:szCs w:val="18"/>
                <w:color w:val="auto"/>
              </w:rPr>
              <w:t>(377,503)</w:t>
            </w:r>
          </w:p>
        </w:tc>
        <w:tc>
          <w:tcPr>
            <w:tcW w:w="26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4.08</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1,556,486</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4.51</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70"/>
        </w:trPr>
        <w:tc>
          <w:tcPr>
            <w:tcW w:w="376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315,881</w:t>
            </w:r>
          </w:p>
        </w:tc>
        <w:tc>
          <w:tcPr>
            <w:tcW w:w="26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7.30</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(136,998)</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2.20</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43"/>
        </w:trPr>
        <w:tc>
          <w:tcPr>
            <w:tcW w:w="3760" w:type="dxa"/>
            <w:vAlign w:val="bottom"/>
            <w:gridSpan w:val="2"/>
          </w:tcPr>
          <w:p>
            <w:pPr>
              <w:ind w:left="340"/>
              <w:spacing w:after="0"/>
              <w:rPr>
                <w:sz w:val="20"/>
                <w:szCs w:val="20"/>
                <w:color w:val="auto"/>
              </w:rPr>
            </w:pPr>
            <w:r>
              <w:rPr>
                <w:rFonts w:ascii="Arial" w:cs="Arial" w:eastAsia="Arial" w:hAnsi="Arial"/>
                <w:sz w:val="18"/>
                <w:szCs w:val="18"/>
                <w:color w:val="auto"/>
              </w:rPr>
              <w:t>Forfeited/expired</w:t>
            </w:r>
          </w:p>
        </w:tc>
        <w:tc>
          <w:tcPr>
            <w:tcW w:w="1100" w:type="dxa"/>
            <w:vAlign w:val="bottom"/>
          </w:tcPr>
          <w:p>
            <w:pPr>
              <w:jc w:val="right"/>
              <w:spacing w:after="0"/>
              <w:rPr>
                <w:sz w:val="20"/>
                <w:szCs w:val="20"/>
                <w:color w:val="auto"/>
              </w:rPr>
            </w:pPr>
            <w:r>
              <w:rPr>
                <w:rFonts w:ascii="Arial" w:cs="Arial" w:eastAsia="Arial" w:hAnsi="Arial"/>
                <w:sz w:val="18"/>
                <w:szCs w:val="18"/>
                <w:color w:val="auto"/>
              </w:rPr>
              <w:t>(436,960)</w:t>
            </w:r>
          </w:p>
        </w:tc>
        <w:tc>
          <w:tcPr>
            <w:tcW w:w="26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1,298,409</w:t>
            </w: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7.25</w:t>
            </w: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363" w:lineRule="exact"/>
        <w:rPr>
          <w:sz w:val="20"/>
          <w:szCs w:val="20"/>
          <w:color w:val="auto"/>
        </w:rPr>
      </w:pPr>
    </w:p>
    <w:p>
      <w:pPr>
        <w:jc w:val="both"/>
        <w:ind w:right="20" w:firstLine="324"/>
        <w:spacing w:after="0" w:line="340" w:lineRule="auto"/>
        <w:rPr>
          <w:sz w:val="20"/>
          <w:szCs w:val="20"/>
          <w:color w:val="auto"/>
        </w:rPr>
      </w:pPr>
      <w:r>
        <w:rPr>
          <w:rFonts w:ascii="Arial" w:cs="Arial" w:eastAsia="Arial" w:hAnsi="Arial"/>
          <w:sz w:val="18"/>
          <w:szCs w:val="18"/>
          <w:color w:val="auto"/>
        </w:rPr>
        <w:t>A summary of the status of the activities of the Company’s nonvested stock options for the years ended December 31, 2022, 2021 and 2020 is as follows.</w:t>
      </w:r>
    </w:p>
    <w:p>
      <w:pPr>
        <w:spacing w:after="0" w:line="57" w:lineRule="exact"/>
        <w:rPr>
          <w:sz w:val="20"/>
          <w:szCs w:val="20"/>
          <w:color w:val="auto"/>
        </w:rPr>
      </w:pPr>
    </w:p>
    <w:tbl>
      <w:tblPr>
        <w:tblLayout w:type="fixed"/>
        <w:tblInd w:w="2500" w:type="dxa"/>
        <w:tblCellMar>
          <w:top w:w="0" w:type="dxa"/>
          <w:left w:w="0" w:type="dxa"/>
          <w:bottom w:w="0" w:type="dxa"/>
          <w:right w:w="0" w:type="dxa"/>
        </w:tblCellMar>
      </w:tblPr>
      <w:tr>
        <w:trPr>
          <w:trHeight w:val="175"/>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Weighted Average</w:t>
            </w:r>
          </w:p>
        </w:tc>
        <w:tc>
          <w:tcPr>
            <w:tcW w:w="0" w:type="dxa"/>
            <w:vAlign w:val="bottom"/>
          </w:tcPr>
          <w:p>
            <w:pPr>
              <w:spacing w:after="0"/>
              <w:rPr>
                <w:sz w:val="1"/>
                <w:szCs w:val="1"/>
                <w:color w:val="auto"/>
              </w:rPr>
            </w:pPr>
          </w:p>
        </w:tc>
      </w:tr>
      <w:tr>
        <w:trPr>
          <w:trHeight w:val="176"/>
        </w:trPr>
        <w:tc>
          <w:tcPr>
            <w:tcW w:w="3840" w:type="dxa"/>
            <w:vAlign w:val="bottom"/>
            <w:gridSpan w:val="2"/>
            <w:vMerge w:val="restart"/>
          </w:tcPr>
          <w:p>
            <w:pPr>
              <w:ind w:left="20"/>
              <w:spacing w:after="0"/>
              <w:rPr>
                <w:sz w:val="20"/>
                <w:szCs w:val="20"/>
                <w:color w:val="auto"/>
              </w:rPr>
            </w:pPr>
            <w:r>
              <w:rPr>
                <w:rFonts w:ascii="Arial" w:cs="Arial" w:eastAsia="Arial" w:hAnsi="Arial"/>
                <w:sz w:val="14"/>
                <w:szCs w:val="14"/>
                <w:color w:val="auto"/>
              </w:rPr>
              <w:t>Nonvested options</w:t>
            </w:r>
          </w:p>
        </w:tc>
        <w:tc>
          <w:tcPr>
            <w:tcW w:w="1120" w:type="dxa"/>
            <w:vAlign w:val="bottom"/>
            <w:vMerge w:val="restart"/>
          </w:tcPr>
          <w:p>
            <w:pPr>
              <w:jc w:val="right"/>
              <w:ind w:right="291"/>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32"/>
              <w:spacing w:after="0"/>
              <w:rPr>
                <w:sz w:val="20"/>
                <w:szCs w:val="20"/>
                <w:color w:val="auto"/>
              </w:rPr>
            </w:pPr>
            <w:r>
              <w:rPr>
                <w:rFonts w:ascii="Arial" w:cs="Arial" w:eastAsia="Arial" w:hAnsi="Arial"/>
                <w:sz w:val="14"/>
                <w:szCs w:val="14"/>
                <w:color w:val="auto"/>
                <w:w w:val="93"/>
              </w:rPr>
              <w:t>Grant Date Fair</w:t>
            </w:r>
          </w:p>
        </w:tc>
        <w:tc>
          <w:tcPr>
            <w:tcW w:w="0" w:type="dxa"/>
            <w:vAlign w:val="bottom"/>
          </w:tcPr>
          <w:p>
            <w:pPr>
              <w:spacing w:after="0"/>
              <w:rPr>
                <w:sz w:val="1"/>
                <w:szCs w:val="1"/>
                <w:color w:val="auto"/>
              </w:rPr>
            </w:pPr>
          </w:p>
        </w:tc>
      </w:tr>
      <w:tr>
        <w:trPr>
          <w:trHeight w:val="182"/>
        </w:trPr>
        <w:tc>
          <w:tcPr>
            <w:tcW w:w="384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32"/>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6"/>
        </w:trPr>
        <w:tc>
          <w:tcPr>
            <w:tcW w:w="3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at January 1, 2020</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1,148,301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43"/>
        </w:trPr>
        <w:tc>
          <w:tcPr>
            <w:tcW w:w="384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1,449,779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(496,464)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43"/>
        </w:trPr>
        <w:tc>
          <w:tcPr>
            <w:tcW w:w="3840" w:type="dxa"/>
            <w:vAlign w:val="bottom"/>
            <w:gridSpan w:val="2"/>
          </w:tcPr>
          <w:p>
            <w:pPr>
              <w:ind w:left="340"/>
              <w:spacing w:after="0"/>
              <w:rPr>
                <w:sz w:val="20"/>
                <w:szCs w:val="20"/>
                <w:color w:val="auto"/>
              </w:rPr>
            </w:pPr>
            <w:r>
              <w:rPr>
                <w:rFonts w:ascii="Arial" w:cs="Arial" w:eastAsia="Arial" w:hAnsi="Arial"/>
                <w:sz w:val="18"/>
                <w:szCs w:val="18"/>
                <w:color w:val="auto"/>
              </w:rPr>
              <w:t>Forfeited</w:t>
            </w:r>
          </w:p>
        </w:tc>
        <w:tc>
          <w:tcPr>
            <w:tcW w:w="1120" w:type="dxa"/>
            <w:vAlign w:val="bottom"/>
          </w:tcPr>
          <w:p>
            <w:pPr>
              <w:jc w:val="right"/>
              <w:spacing w:after="0"/>
              <w:rPr>
                <w:sz w:val="20"/>
                <w:szCs w:val="20"/>
                <w:color w:val="auto"/>
              </w:rPr>
            </w:pPr>
            <w:r>
              <w:rPr>
                <w:rFonts w:ascii="Arial" w:cs="Arial" w:eastAsia="Arial" w:hAnsi="Arial"/>
                <w:sz w:val="18"/>
                <w:szCs w:val="18"/>
                <w:color w:val="auto"/>
              </w:rPr>
              <w:t>(68,580)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2,033,036</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43"/>
        </w:trPr>
        <w:tc>
          <w:tcPr>
            <w:tcW w:w="384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262,097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(506,299)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3840" w:type="dxa"/>
            <w:vAlign w:val="bottom"/>
            <w:gridSpan w:val="2"/>
          </w:tcPr>
          <w:p>
            <w:pPr>
              <w:ind w:left="340"/>
              <w:spacing w:after="0"/>
              <w:rPr>
                <w:sz w:val="20"/>
                <w:szCs w:val="20"/>
                <w:color w:val="auto"/>
              </w:rPr>
            </w:pPr>
            <w:r>
              <w:rPr>
                <w:rFonts w:ascii="Arial" w:cs="Arial" w:eastAsia="Arial" w:hAnsi="Arial"/>
                <w:sz w:val="18"/>
                <w:szCs w:val="18"/>
                <w:color w:val="auto"/>
              </w:rPr>
              <w:t>Forfeited</w:t>
            </w:r>
          </w:p>
        </w:tc>
        <w:tc>
          <w:tcPr>
            <w:tcW w:w="1120" w:type="dxa"/>
            <w:vAlign w:val="bottom"/>
          </w:tcPr>
          <w:p>
            <w:pPr>
              <w:jc w:val="right"/>
              <w:spacing w:after="0"/>
              <w:rPr>
                <w:sz w:val="20"/>
                <w:szCs w:val="20"/>
                <w:color w:val="auto"/>
              </w:rPr>
            </w:pPr>
            <w:r>
              <w:rPr>
                <w:rFonts w:ascii="Arial" w:cs="Arial" w:eastAsia="Arial" w:hAnsi="Arial"/>
                <w:sz w:val="18"/>
                <w:szCs w:val="18"/>
                <w:color w:val="auto"/>
              </w:rPr>
              <w:t>(377,503)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1,411,331</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0"/>
        </w:trPr>
        <w:tc>
          <w:tcPr>
            <w:tcW w:w="384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315,881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(314,462)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0"/>
        </w:trPr>
        <w:tc>
          <w:tcPr>
            <w:tcW w:w="38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(321,682)</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at December 31, 2022</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1,091,068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350" w:lineRule="auto"/>
        <w:rPr>
          <w:sz w:val="20"/>
          <w:szCs w:val="20"/>
          <w:color w:val="auto"/>
        </w:rPr>
      </w:pPr>
      <w:r>
        <w:rPr>
          <w:rFonts w:ascii="Arial" w:cs="Arial" w:eastAsia="Arial" w:hAnsi="Arial"/>
          <w:sz w:val="16"/>
          <w:szCs w:val="16"/>
          <w:color w:val="auto"/>
        </w:rPr>
        <w:t>As of December 31, 2022, and 2021, a total of 207,341 and 145,555 options with a weighted-average remaining contractual term of 4.5 and 3.5 years, respectively, granted to employees were vested. The fair value of options that vested during 2022, 2021 and 2020 was $1.3 million, $0.3 million, and $0.4 million, respectively. As of December 31, 2022, and 2021, the weighted-average exercise price of the non-vested awards was $11.85 and $10.98, respectively. As of December 31, 2022, and 2021, the weighted-average remaining contractual term of the outstanding awards was 7.3 years and 7.5 years, respectively. The total intrinsic value of options that were exercised during the years ended December 31, 2022, 2021 and 2020 was approximately $0.6 million, $5.2 million and $2.2 million, respectively. The aggregate intrinsic value of options outstanding as of December 31, 2022 is $0.4 million.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of RSUs</w:t>
      </w:r>
    </w:p>
    <w:p>
      <w:pPr>
        <w:spacing w:after="0" w:line="225"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The Company issued 569,600 RSUs to eligible employees and Directors of the Company during the year ended December 31, 2022, which will vest over a period of 2 to 5 years for employees and a period of 1 year for Directors. The RSUs are valued using the stock price on the grant date and had an estimated grant date fair value of $6.9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activities of the Company’s RSUs for the years ended December 31, 2022, 2021 and 2020.</w:t>
      </w:r>
    </w:p>
    <w:p>
      <w:pPr>
        <w:spacing w:after="0" w:line="248" w:lineRule="exact"/>
        <w:rPr>
          <w:sz w:val="20"/>
          <w:szCs w:val="20"/>
          <w:color w:val="auto"/>
        </w:rPr>
      </w:pPr>
    </w:p>
    <w:tbl>
      <w:tblPr>
        <w:tblLayout w:type="fixed"/>
        <w:tblInd w:w="2660" w:type="dxa"/>
        <w:tblCellMar>
          <w:top w:w="0" w:type="dxa"/>
          <w:left w:w="0" w:type="dxa"/>
          <w:bottom w:w="0" w:type="dxa"/>
          <w:right w:w="0" w:type="dxa"/>
        </w:tblCellMar>
      </w:tblPr>
      <w:tr>
        <w:trPr>
          <w:trHeight w:val="176"/>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2"/>
              </w:rPr>
              <w:t>Weighted Average</w:t>
            </w:r>
          </w:p>
        </w:tc>
        <w:tc>
          <w:tcPr>
            <w:tcW w:w="0" w:type="dxa"/>
            <w:vAlign w:val="bottom"/>
          </w:tcPr>
          <w:p>
            <w:pPr>
              <w:spacing w:after="0"/>
              <w:rPr>
                <w:sz w:val="1"/>
                <w:szCs w:val="1"/>
                <w:color w:val="auto"/>
              </w:rPr>
            </w:pPr>
          </w:p>
        </w:tc>
      </w:tr>
      <w:tr>
        <w:trPr>
          <w:trHeight w:val="176"/>
        </w:trPr>
        <w:tc>
          <w:tcPr>
            <w:tcW w:w="3840" w:type="dxa"/>
            <w:vAlign w:val="bottom"/>
            <w:gridSpan w:val="2"/>
            <w:vMerge w:val="restart"/>
          </w:tcPr>
          <w:p>
            <w:pPr>
              <w:ind w:left="20"/>
              <w:spacing w:after="0"/>
              <w:rPr>
                <w:sz w:val="20"/>
                <w:szCs w:val="20"/>
                <w:color w:val="auto"/>
              </w:rPr>
            </w:pPr>
            <w:r>
              <w:rPr>
                <w:rFonts w:ascii="Arial" w:cs="Arial" w:eastAsia="Arial" w:hAnsi="Arial"/>
                <w:sz w:val="14"/>
                <w:szCs w:val="14"/>
                <w:color w:val="auto"/>
              </w:rPr>
              <w:t>Non-vested RSUs</w:t>
            </w:r>
          </w:p>
        </w:tc>
        <w:tc>
          <w:tcPr>
            <w:tcW w:w="1120" w:type="dxa"/>
            <w:vAlign w:val="bottom"/>
            <w:vMerge w:val="restart"/>
          </w:tcPr>
          <w:p>
            <w:pPr>
              <w:jc w:val="right"/>
              <w:ind w:right="291"/>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32"/>
              <w:spacing w:after="0"/>
              <w:rPr>
                <w:sz w:val="20"/>
                <w:szCs w:val="20"/>
                <w:color w:val="auto"/>
              </w:rPr>
            </w:pPr>
            <w:r>
              <w:rPr>
                <w:rFonts w:ascii="Arial" w:cs="Arial" w:eastAsia="Arial" w:hAnsi="Arial"/>
                <w:sz w:val="14"/>
                <w:szCs w:val="14"/>
                <w:color w:val="auto"/>
                <w:w w:val="93"/>
              </w:rPr>
              <w:t>Grant Date Fair</w:t>
            </w:r>
          </w:p>
        </w:tc>
        <w:tc>
          <w:tcPr>
            <w:tcW w:w="0" w:type="dxa"/>
            <w:vAlign w:val="bottom"/>
          </w:tcPr>
          <w:p>
            <w:pPr>
              <w:spacing w:after="0"/>
              <w:rPr>
                <w:sz w:val="1"/>
                <w:szCs w:val="1"/>
                <w:color w:val="auto"/>
              </w:rPr>
            </w:pPr>
          </w:p>
        </w:tc>
      </w:tr>
      <w:tr>
        <w:trPr>
          <w:trHeight w:val="182"/>
        </w:trPr>
        <w:tc>
          <w:tcPr>
            <w:tcW w:w="384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32"/>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6"/>
        </w:trPr>
        <w:tc>
          <w:tcPr>
            <w:tcW w:w="3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at January 1, 2020</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4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1,665,968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43"/>
        </w:trPr>
        <w:tc>
          <w:tcPr>
            <w:tcW w:w="3840" w:type="dxa"/>
            <w:vAlign w:val="bottom"/>
            <w:gridSpan w:val="2"/>
          </w:tcPr>
          <w:p>
            <w:pPr>
              <w:ind w:left="340"/>
              <w:spacing w:after="0"/>
              <w:rPr>
                <w:sz w:val="20"/>
                <w:szCs w:val="20"/>
                <w:color w:val="auto"/>
              </w:rPr>
            </w:pPr>
            <w:r>
              <w:rPr>
                <w:rFonts w:ascii="Arial" w:cs="Arial" w:eastAsia="Arial" w:hAnsi="Arial"/>
                <w:sz w:val="18"/>
                <w:szCs w:val="18"/>
                <w:color w:val="auto"/>
              </w:rPr>
              <w:t>Forfeited</w:t>
            </w:r>
          </w:p>
        </w:tc>
        <w:tc>
          <w:tcPr>
            <w:tcW w:w="1120" w:type="dxa"/>
            <w:vAlign w:val="bottom"/>
          </w:tcPr>
          <w:p>
            <w:pPr>
              <w:jc w:val="right"/>
              <w:spacing w:after="0"/>
              <w:rPr>
                <w:sz w:val="20"/>
                <w:szCs w:val="20"/>
                <w:color w:val="auto"/>
              </w:rPr>
            </w:pPr>
            <w:r>
              <w:rPr>
                <w:rFonts w:ascii="Arial" w:cs="Arial" w:eastAsia="Arial" w:hAnsi="Arial"/>
                <w:sz w:val="18"/>
                <w:szCs w:val="18"/>
                <w:color w:val="auto"/>
              </w:rPr>
              <w:t>(25,259)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1,635,749</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43"/>
        </w:trPr>
        <w:tc>
          <w:tcPr>
            <w:tcW w:w="384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558,193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(343,579)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43"/>
        </w:trPr>
        <w:tc>
          <w:tcPr>
            <w:tcW w:w="3840" w:type="dxa"/>
            <w:vAlign w:val="bottom"/>
            <w:gridSpan w:val="2"/>
          </w:tcPr>
          <w:p>
            <w:pPr>
              <w:ind w:left="340"/>
              <w:spacing w:after="0"/>
              <w:rPr>
                <w:sz w:val="20"/>
                <w:szCs w:val="20"/>
                <w:color w:val="auto"/>
              </w:rPr>
            </w:pPr>
            <w:r>
              <w:rPr>
                <w:rFonts w:ascii="Arial" w:cs="Arial" w:eastAsia="Arial" w:hAnsi="Arial"/>
                <w:sz w:val="18"/>
                <w:szCs w:val="18"/>
                <w:color w:val="auto"/>
              </w:rPr>
              <w:t>Forfeited</w:t>
            </w:r>
          </w:p>
        </w:tc>
        <w:tc>
          <w:tcPr>
            <w:tcW w:w="1120" w:type="dxa"/>
            <w:vAlign w:val="bottom"/>
          </w:tcPr>
          <w:p>
            <w:pPr>
              <w:jc w:val="right"/>
              <w:spacing w:after="0"/>
              <w:rPr>
                <w:sz w:val="20"/>
                <w:szCs w:val="20"/>
                <w:color w:val="auto"/>
              </w:rPr>
            </w:pPr>
            <w:r>
              <w:rPr>
                <w:rFonts w:ascii="Arial" w:cs="Arial" w:eastAsia="Arial" w:hAnsi="Arial"/>
                <w:sz w:val="18"/>
                <w:szCs w:val="18"/>
                <w:color w:val="auto"/>
              </w:rPr>
              <w:t>(256,634)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1,593,729</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43"/>
        </w:trPr>
        <w:tc>
          <w:tcPr>
            <w:tcW w:w="384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569,600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(383,088)</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43"/>
        </w:trPr>
        <w:tc>
          <w:tcPr>
            <w:tcW w:w="3840" w:type="dxa"/>
            <w:vAlign w:val="bottom"/>
            <w:gridSpan w:val="2"/>
          </w:tcPr>
          <w:p>
            <w:pPr>
              <w:ind w:left="340"/>
              <w:spacing w:after="0"/>
              <w:rPr>
                <w:sz w:val="20"/>
                <w:szCs w:val="20"/>
                <w:color w:val="auto"/>
              </w:rPr>
            </w:pPr>
            <w:r>
              <w:rPr>
                <w:rFonts w:ascii="Arial" w:cs="Arial" w:eastAsia="Arial" w:hAnsi="Arial"/>
                <w:sz w:val="18"/>
                <w:szCs w:val="18"/>
                <w:color w:val="auto"/>
              </w:rPr>
              <w:t>Forfeited</w:t>
            </w:r>
          </w:p>
        </w:tc>
        <w:tc>
          <w:tcPr>
            <w:tcW w:w="1120" w:type="dxa"/>
            <w:vAlign w:val="bottom"/>
          </w:tcPr>
          <w:p>
            <w:pPr>
              <w:jc w:val="right"/>
              <w:spacing w:after="0"/>
              <w:rPr>
                <w:sz w:val="20"/>
                <w:szCs w:val="20"/>
                <w:color w:val="auto"/>
              </w:rPr>
            </w:pPr>
            <w:r>
              <w:rPr>
                <w:rFonts w:ascii="Arial" w:cs="Arial" w:eastAsia="Arial" w:hAnsi="Arial"/>
                <w:sz w:val="18"/>
                <w:szCs w:val="18"/>
                <w:color w:val="auto"/>
              </w:rPr>
              <w:t>(361,532)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at December 31, 2022</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1,418,709</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Includes 154,641 RSUs that are vested and not issued.</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Includes 273,358 RSUs that are vested and not issued.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Income Taxes</w:t>
      </w:r>
    </w:p>
    <w:p>
      <w:pPr>
        <w:spacing w:after="0" w:line="202" w:lineRule="exact"/>
        <w:rPr>
          <w:sz w:val="20"/>
          <w:szCs w:val="20"/>
          <w:color w:val="auto"/>
        </w:rPr>
      </w:pPr>
    </w:p>
    <w:p>
      <w:pPr>
        <w:ind w:firstLine="324"/>
        <w:spacing w:after="0" w:line="324" w:lineRule="auto"/>
        <w:rPr>
          <w:sz w:val="20"/>
          <w:szCs w:val="20"/>
          <w:color w:val="auto"/>
        </w:rPr>
      </w:pPr>
      <w:r>
        <w:rPr>
          <w:rFonts w:ascii="Arial" w:cs="Arial" w:eastAsia="Arial" w:hAnsi="Arial"/>
          <w:sz w:val="18"/>
          <w:szCs w:val="18"/>
          <w:color w:val="auto"/>
        </w:rPr>
        <w:t>The Company recognized income tax expense (benefit) of $20.7 million, $15.0 million and $(16.9) million during the years ended December 31, 2022, 2021 and 2020, respectively, which consists of the following (in thousands):</w:t>
      </w:r>
    </w:p>
    <w:p>
      <w:pPr>
        <w:spacing w:after="0" w:line="85"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6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50"/>
        </w:trPr>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provision</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70"/>
        </w:trPr>
        <w:tc>
          <w:tcPr>
            <w:tcW w:w="3600" w:type="dxa"/>
            <w:vAlign w:val="bottom"/>
          </w:tcPr>
          <w:p>
            <w:pPr>
              <w:ind w:left="50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1,558</w:t>
            </w:r>
          </w:p>
        </w:tc>
        <w:tc>
          <w:tcPr>
            <w:tcW w:w="14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1,489</w:t>
            </w:r>
          </w:p>
        </w:tc>
        <w:tc>
          <w:tcPr>
            <w:tcW w:w="14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State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5,669</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7,418</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36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current provision</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7,227</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8,907</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Deferred provision</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70"/>
        </w:trPr>
        <w:tc>
          <w:tcPr>
            <w:tcW w:w="3600" w:type="dxa"/>
            <w:vAlign w:val="bottom"/>
          </w:tcPr>
          <w:p>
            <w:pPr>
              <w:ind w:left="500"/>
              <w:spacing w:after="0"/>
              <w:rPr>
                <w:sz w:val="20"/>
                <w:szCs w:val="20"/>
                <w:color w:val="auto"/>
              </w:rPr>
            </w:pPr>
            <w:r>
              <w:rPr>
                <w:rFonts w:ascii="Arial" w:cs="Arial" w:eastAsia="Arial" w:hAnsi="Arial"/>
                <w:sz w:val="18"/>
                <w:szCs w:val="18"/>
                <w:color w:val="auto"/>
              </w:rPr>
              <w:t>Federal</w:t>
            </w: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13,743</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8,363</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(12,286)</w:t>
            </w:r>
          </w:p>
        </w:tc>
      </w:tr>
      <w:tr>
        <w:trPr>
          <w:trHeight w:val="270"/>
        </w:trPr>
        <w:tc>
          <w:tcPr>
            <w:tcW w:w="3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State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w:t>
            </w:r>
          </w:p>
        </w:tc>
      </w:tr>
      <w:tr>
        <w:trPr>
          <w:trHeight w:val="250"/>
        </w:trPr>
        <w:tc>
          <w:tcPr>
            <w:tcW w:w="36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deferred provision</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13,433</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6,110</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(16,918)</w:t>
            </w:r>
          </w:p>
        </w:tc>
      </w:tr>
      <w:tr>
        <w:trPr>
          <w:trHeight w:val="248"/>
        </w:trPr>
        <w:tc>
          <w:tcPr>
            <w:tcW w:w="3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income tax expense (benefit)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20,660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15,017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(16,918)</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 reconciliation of the “expected” income taxes computed by applying the federal statutory income tax rate to the total expense (benefit) is as follows (in thousands):</w:t>
      </w:r>
    </w:p>
    <w:p>
      <w:pPr>
        <w:spacing w:after="0" w:line="112"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4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43"/>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“expected” tax expense (benefit)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(3,639)</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w w:val="99"/>
              </w:rPr>
              <w:t>Increase (decrease) in income taxes resulting from:</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State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r>
      <w:tr>
        <w:trPr>
          <w:trHeight w:val="243"/>
        </w:trPr>
        <w:tc>
          <w:tcPr>
            <w:tcW w:w="4140" w:type="dxa"/>
            <w:vAlign w:val="bottom"/>
          </w:tcPr>
          <w:p>
            <w:pPr>
              <w:ind w:left="460"/>
              <w:spacing w:after="0"/>
              <w:rPr>
                <w:sz w:val="20"/>
                <w:szCs w:val="20"/>
                <w:color w:val="auto"/>
              </w:rPr>
            </w:pPr>
            <w:r>
              <w:rPr>
                <w:rFonts w:ascii="Arial" w:cs="Arial" w:eastAsia="Arial" w:hAnsi="Arial"/>
                <w:sz w:val="18"/>
                <w:szCs w:val="18"/>
                <w:color w:val="auto"/>
              </w:rPr>
              <w:t>Return-to-provision</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(7,613)</w:t>
            </w:r>
          </w:p>
        </w:tc>
      </w:tr>
      <w:tr>
        <w:trPr>
          <w:trHeight w:val="27"/>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3"/>
              </w:rPr>
              <w:t>Change in fair value of contingent earnout shares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r>
      <w:tr>
        <w:trPr>
          <w:trHeight w:val="243"/>
        </w:trPr>
        <w:tc>
          <w:tcPr>
            <w:tcW w:w="4140" w:type="dxa"/>
            <w:vAlign w:val="bottom"/>
          </w:tcPr>
          <w:p>
            <w:pPr>
              <w:ind w:left="460"/>
              <w:spacing w:after="0"/>
              <w:rPr>
                <w:sz w:val="20"/>
                <w:szCs w:val="20"/>
                <w:color w:val="auto"/>
              </w:rPr>
            </w:pPr>
            <w:r>
              <w:rPr>
                <w:rFonts w:ascii="Arial" w:cs="Arial" w:eastAsia="Arial" w:hAnsi="Arial"/>
                <w:sz w:val="18"/>
                <w:szCs w:val="18"/>
                <w:color w:val="auto"/>
              </w:rPr>
              <w:t>Change in fair value of warrants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(2,640)</w:t>
            </w:r>
          </w:p>
        </w:tc>
      </w:tr>
      <w:tr>
        <w:trPr>
          <w:trHeight w:val="27"/>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Permanently non-deductible transaction costs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43"/>
        </w:trPr>
        <w:tc>
          <w:tcPr>
            <w:tcW w:w="4140" w:type="dxa"/>
            <w:vAlign w:val="bottom"/>
          </w:tcPr>
          <w:p>
            <w:pPr>
              <w:ind w:left="460"/>
              <w:spacing w:after="0"/>
              <w:rPr>
                <w:sz w:val="20"/>
                <w:szCs w:val="20"/>
                <w:color w:val="auto"/>
              </w:rPr>
            </w:pPr>
            <w:r>
              <w:rPr>
                <w:rFonts w:ascii="Arial" w:cs="Arial" w:eastAsia="Arial" w:hAnsi="Arial"/>
                <w:sz w:val="18"/>
                <w:szCs w:val="18"/>
                <w:color w:val="auto"/>
              </w:rPr>
              <w:t>Officer's compensation</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 permanent items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4140" w:type="dxa"/>
            <w:vAlign w:val="bottom"/>
          </w:tcPr>
          <w:p>
            <w:pPr>
              <w:ind w:left="460"/>
              <w:spacing w:after="0"/>
              <w:rPr>
                <w:sz w:val="20"/>
                <w:szCs w:val="20"/>
                <w:color w:val="auto"/>
              </w:rPr>
            </w:pPr>
            <w:r>
              <w:rPr>
                <w:rFonts w:ascii="Arial" w:cs="Arial" w:eastAsia="Arial" w:hAnsi="Arial"/>
                <w:sz w:val="18"/>
                <w:szCs w:val="18"/>
                <w:color w:val="auto"/>
              </w:rPr>
              <w:t>Enacted rate change</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63"/>
        </w:trPr>
        <w:tc>
          <w:tcPr>
            <w:tcW w:w="4140" w:type="dxa"/>
            <w:vAlign w:val="bottom"/>
          </w:tcPr>
          <w:p>
            <w:pPr>
              <w:ind w:left="40"/>
              <w:spacing w:after="0"/>
              <w:rPr>
                <w:sz w:val="20"/>
                <w:szCs w:val="20"/>
                <w:color w:val="auto"/>
              </w:rPr>
            </w:pPr>
            <w:r>
              <w:rPr>
                <w:rFonts w:ascii="Arial" w:cs="Arial" w:eastAsia="Arial" w:hAnsi="Arial"/>
                <w:sz w:val="18"/>
                <w:szCs w:val="18"/>
                <w:color w:val="auto"/>
              </w:rPr>
              <w:t>Total income tax expense (benefit)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20,660</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15,017</w:t>
            </w:r>
          </w:p>
        </w:tc>
        <w:tc>
          <w:tcPr>
            <w:tcW w:w="1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(16,918)</w:t>
            </w:r>
          </w:p>
        </w:tc>
      </w:tr>
      <w:tr>
        <w:trPr>
          <w:trHeight w:val="21"/>
        </w:trPr>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In the third quarter of 2020, the Company filed its federal and state income tax returns and identified certain favorable return-to-provision adjustments, primarily the deductibility of employee and officer compensations costs and transaction costs, following the engagement of specialized tax technical expertise, resulting in a change in estimate relative to the Company's best estimate used in the preparation of the 2019 income tax provision. The Company recorded this change in estimate and related income tax benefit of $7.6 million for the year ended December 31, 2020.</w:t>
      </w:r>
    </w:p>
    <w:p>
      <w:pPr>
        <w:spacing w:after="0" w:line="116" w:lineRule="exact"/>
        <w:rPr>
          <w:sz w:val="20"/>
          <w:szCs w:val="20"/>
          <w:color w:val="auto"/>
        </w:rPr>
      </w:pPr>
    </w:p>
    <w:p>
      <w:pPr>
        <w:jc w:val="both"/>
        <w:ind w:firstLine="324"/>
        <w:spacing w:after="0" w:line="326" w:lineRule="auto"/>
        <w:rPr>
          <w:sz w:val="20"/>
          <w:szCs w:val="20"/>
          <w:color w:val="auto"/>
        </w:rPr>
      </w:pPr>
      <w:r>
        <w:rPr>
          <w:rFonts w:ascii="Arial" w:cs="Arial" w:eastAsia="Arial" w:hAnsi="Arial"/>
          <w:sz w:val="18"/>
          <w:szCs w:val="18"/>
          <w:color w:val="auto"/>
        </w:rPr>
        <w:t>The tax effects of temporary differences that gave rise to significant portions of the deferred tax assets and liabilities were as follows at December 31 (in thousands):</w:t>
      </w:r>
    </w:p>
    <w:p>
      <w:pPr>
        <w:spacing w:after="0" w:line="1"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4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r>
      <w:tr>
        <w:trPr>
          <w:trHeight w:val="250"/>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70"/>
        </w:trPr>
        <w:tc>
          <w:tcPr>
            <w:tcW w:w="4260" w:type="dxa"/>
            <w:vAlign w:val="bottom"/>
          </w:tcPr>
          <w:p>
            <w:pPr>
              <w:ind w:left="660"/>
              <w:spacing w:after="0"/>
              <w:rPr>
                <w:sz w:val="20"/>
                <w:szCs w:val="20"/>
                <w:color w:val="auto"/>
              </w:rPr>
            </w:pPr>
            <w:r>
              <w:rPr>
                <w:rFonts w:ascii="Arial" w:cs="Arial" w:eastAsia="Arial" w:hAnsi="Arial"/>
                <w:sz w:val="18"/>
                <w:szCs w:val="18"/>
                <w:color w:val="auto"/>
              </w:rPr>
              <w:t>Net operating loss carryforwards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15,089</w:t>
            </w:r>
          </w:p>
        </w:tc>
        <w:tc>
          <w:tcPr>
            <w:tcW w:w="1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20,934</w:t>
            </w:r>
          </w:p>
        </w:tc>
      </w:tr>
      <w:tr>
        <w:trPr>
          <w:trHeight w:val="270"/>
        </w:trPr>
        <w:tc>
          <w:tcPr>
            <w:tcW w:w="4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Location contracts and other intangibles</w:t>
            </w:r>
          </w:p>
        </w:tc>
        <w:tc>
          <w:tcPr>
            <w:tcW w:w="2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w:t>
            </w:r>
          </w:p>
        </w:tc>
      </w:tr>
      <w:tr>
        <w:trPr>
          <w:trHeight w:val="270"/>
        </w:trPr>
        <w:tc>
          <w:tcPr>
            <w:tcW w:w="4260" w:type="dxa"/>
            <w:vAlign w:val="bottom"/>
          </w:tcPr>
          <w:p>
            <w:pPr>
              <w:ind w:left="660"/>
              <w:spacing w:after="0"/>
              <w:rPr>
                <w:sz w:val="20"/>
                <w:szCs w:val="20"/>
                <w:color w:val="auto"/>
              </w:rPr>
            </w:pPr>
            <w:r>
              <w:rPr>
                <w:rFonts w:ascii="Arial" w:cs="Arial" w:eastAsia="Arial" w:hAnsi="Arial"/>
                <w:sz w:val="18"/>
                <w:szCs w:val="18"/>
                <w:color w:val="auto"/>
              </w:rPr>
              <w:t>Interest expense limitation carryforward</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4,513</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r>
      <w:tr>
        <w:trPr>
          <w:trHeight w:val="270"/>
        </w:trPr>
        <w:tc>
          <w:tcPr>
            <w:tcW w:w="4260" w:type="dxa"/>
            <w:vAlign w:val="bottom"/>
          </w:tcPr>
          <w:p>
            <w:pPr>
              <w:ind w:left="660"/>
              <w:spacing w:after="0"/>
              <w:rPr>
                <w:sz w:val="20"/>
                <w:szCs w:val="20"/>
                <w:color w:val="auto"/>
              </w:rPr>
            </w:pPr>
            <w:r>
              <w:rPr>
                <w:rFonts w:ascii="Arial" w:cs="Arial" w:eastAsia="Arial" w:hAnsi="Arial"/>
                <w:sz w:val="18"/>
                <w:szCs w:val="18"/>
                <w:color w:val="auto"/>
              </w:rPr>
              <w:t>Lease liabilities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1,469</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r>
      <w:tr>
        <w:trPr>
          <w:trHeight w:val="250"/>
        </w:trPr>
        <w:tc>
          <w:tcPr>
            <w:tcW w:w="42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27,106</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33,704</w:t>
            </w:r>
          </w:p>
        </w:tc>
      </w:tr>
      <w:tr>
        <w:trPr>
          <w:trHeight w:val="250"/>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liabilities: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70"/>
        </w:trPr>
        <w:tc>
          <w:tcPr>
            <w:tcW w:w="4260" w:type="dxa"/>
            <w:vAlign w:val="bottom"/>
          </w:tcPr>
          <w:p>
            <w:pPr>
              <w:ind w:left="660"/>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49,299</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35,952</w:t>
            </w:r>
          </w:p>
        </w:tc>
      </w:tr>
      <w:tr>
        <w:trPr>
          <w:trHeight w:val="270"/>
        </w:trPr>
        <w:tc>
          <w:tcPr>
            <w:tcW w:w="4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Location contracts and other intangibles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8,287</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260" w:type="dxa"/>
            <w:vAlign w:val="bottom"/>
          </w:tcPr>
          <w:p>
            <w:pPr>
              <w:ind w:left="660"/>
              <w:spacing w:after="0"/>
              <w:rPr>
                <w:sz w:val="20"/>
                <w:szCs w:val="20"/>
                <w:color w:val="auto"/>
              </w:rPr>
            </w:pPr>
            <w:r>
              <w:rPr>
                <w:rFonts w:ascii="Arial" w:cs="Arial" w:eastAsia="Arial" w:hAnsi="Arial"/>
                <w:sz w:val="18"/>
                <w:szCs w:val="18"/>
                <w:color w:val="auto"/>
              </w:rPr>
              <w:t>Lease assets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1,453</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Interest rate caplets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2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64,127</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35,952</w:t>
            </w:r>
          </w:p>
        </w:tc>
      </w:tr>
      <w:tr>
        <w:trPr>
          <w:trHeight w:val="270"/>
        </w:trPr>
        <w:tc>
          <w:tcPr>
            <w:tcW w:w="4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68"/>
        </w:trPr>
        <w:tc>
          <w:tcPr>
            <w:tcW w:w="4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deferred tax liability,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(37,021)</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A valuation allowance is required to be established or maintained when, based on currently available information, it is more likely than not that all or a portion of a deferred tax asset will not be realized. The guidance on accounting for income taxes provides important factors in determining whether a deferred tax asset will be realized, including whether there has been sufficient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taxable income in recent years and whether sufficient taxable income can reasonably be expected in future years in order to utilize the deferred tax asset.</w:t>
      </w:r>
    </w:p>
    <w:p>
      <w:pPr>
        <w:spacing w:after="0" w:line="208" w:lineRule="exact"/>
        <w:rPr>
          <w:sz w:val="20"/>
          <w:szCs w:val="20"/>
          <w:color w:val="auto"/>
        </w:rPr>
      </w:pPr>
    </w:p>
    <w:p>
      <w:pPr>
        <w:jc w:val="both"/>
        <w:ind w:firstLine="324"/>
        <w:spacing w:after="0" w:line="354" w:lineRule="auto"/>
        <w:rPr>
          <w:sz w:val="20"/>
          <w:szCs w:val="20"/>
          <w:color w:val="auto"/>
        </w:rPr>
      </w:pPr>
      <w:r>
        <w:rPr>
          <w:rFonts w:ascii="Arial" w:cs="Arial" w:eastAsia="Arial" w:hAnsi="Arial"/>
          <w:sz w:val="16"/>
          <w:szCs w:val="16"/>
          <w:color w:val="auto"/>
        </w:rPr>
        <w:t>The Company evaluated the need to record a valuation allowance for deferred tax assets based on an assessment of whether it is more likely than not that deferred tax benefits will be realized through the generation of future taxable income. Appropriate consideration was given to all available evidence, both positive and negative, in assessing the need for a valuation allowance. As a result of this evaluation, the Company concluded as of December 31, 2022, that the positive evidence outweighed the negative evidence and that it is more likely than not that its deferred tax assets will be realized.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and 2021, the Company did not record a liability for unrecognized tax benefits.</w:t>
      </w:r>
    </w:p>
    <w:p>
      <w:pPr>
        <w:spacing w:after="0" w:line="212" w:lineRule="exact"/>
        <w:rPr>
          <w:sz w:val="20"/>
          <w:szCs w:val="20"/>
          <w:color w:val="auto"/>
        </w:rPr>
      </w:pPr>
    </w:p>
    <w:p>
      <w:pPr>
        <w:jc w:val="both"/>
        <w:ind w:right="20" w:firstLine="324"/>
        <w:spacing w:after="0" w:line="310" w:lineRule="auto"/>
        <w:rPr>
          <w:sz w:val="20"/>
          <w:szCs w:val="20"/>
          <w:color w:val="auto"/>
        </w:rPr>
      </w:pPr>
      <w:r>
        <w:rPr>
          <w:rFonts w:ascii="Arial" w:cs="Arial" w:eastAsia="Arial" w:hAnsi="Arial"/>
          <w:sz w:val="18"/>
          <w:szCs w:val="18"/>
          <w:color w:val="auto"/>
        </w:rPr>
        <w:t>The Company and its subsidiaries are subject to U.S. federal income tax as well as income tax of multiple state jurisdictions. As of December 31, 2022, the Company is subject to U.S federal income tax examinations for the years 2019 through 2021 and income tax examinations from state jurisdictions for the years 2019 through 2021.</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carryforwards of net operating losses as of December 31 (in thousands):</w:t>
      </w:r>
    </w:p>
    <w:p>
      <w:pPr>
        <w:spacing w:after="0" w:line="163" w:lineRule="exact"/>
        <w:rPr>
          <w:sz w:val="20"/>
          <w:szCs w:val="20"/>
          <w:color w:val="auto"/>
        </w:rPr>
      </w:pPr>
    </w:p>
    <w:tbl>
      <w:tblPr>
        <w:tblLayout w:type="fixed"/>
        <w:tblInd w:w="124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80" w:type="dxa"/>
            <w:vAlign w:val="bottom"/>
            <w:gridSpan w:val="3"/>
          </w:tcPr>
          <w:p>
            <w:pPr>
              <w:jc w:val="right"/>
              <w:ind w:right="1079"/>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980" w:type="dxa"/>
            <w:vAlign w:val="bottom"/>
          </w:tcPr>
          <w:p>
            <w:pPr>
              <w:spacing w:after="0"/>
              <w:rPr>
                <w:sz w:val="16"/>
                <w:szCs w:val="16"/>
                <w:color w:val="auto"/>
              </w:rPr>
            </w:pPr>
          </w:p>
        </w:tc>
      </w:tr>
      <w:tr>
        <w:trPr>
          <w:trHeight w:val="39"/>
        </w:trPr>
        <w:tc>
          <w:tcPr>
            <w:tcW w:w="36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4"/>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15"/>
              <w:spacing w:after="0"/>
              <w:rPr>
                <w:sz w:val="20"/>
                <w:szCs w:val="20"/>
                <w:color w:val="auto"/>
              </w:rPr>
            </w:pPr>
            <w:r>
              <w:rPr>
                <w:rFonts w:ascii="Arial" w:cs="Arial" w:eastAsia="Arial" w:hAnsi="Arial"/>
                <w:sz w:val="14"/>
                <w:szCs w:val="14"/>
                <w:color w:val="auto"/>
              </w:rPr>
              <w:t>Amount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Expiration</w:t>
            </w:r>
          </w:p>
        </w:tc>
        <w:tc>
          <w:tcPr>
            <w:tcW w:w="240" w:type="dxa"/>
            <w:vAlign w:val="bottom"/>
          </w:tcPr>
          <w:p>
            <w:pPr>
              <w:spacing w:after="0"/>
              <w:rPr>
                <w:sz w:val="16"/>
                <w:szCs w:val="16"/>
                <w:color w:val="auto"/>
              </w:rPr>
            </w:pPr>
          </w:p>
        </w:tc>
        <w:tc>
          <w:tcPr>
            <w:tcW w:w="1200" w:type="dxa"/>
            <w:vAlign w:val="bottom"/>
            <w:gridSpan w:val="3"/>
          </w:tcPr>
          <w:p>
            <w:pPr>
              <w:jc w:val="right"/>
              <w:ind w:right="620"/>
              <w:spacing w:after="0"/>
              <w:rPr>
                <w:sz w:val="20"/>
                <w:szCs w:val="20"/>
                <w:color w:val="auto"/>
              </w:rPr>
            </w:pPr>
            <w:r>
              <w:rPr>
                <w:rFonts w:ascii="Arial" w:cs="Arial" w:eastAsia="Arial" w:hAnsi="Arial"/>
                <w:sz w:val="14"/>
                <w:szCs w:val="14"/>
                <w:color w:val="auto"/>
              </w:rPr>
              <w:t>Amount</w:t>
            </w:r>
          </w:p>
        </w:tc>
        <w:tc>
          <w:tcPr>
            <w:tcW w:w="980" w:type="dxa"/>
            <w:vAlign w:val="bottom"/>
          </w:tcPr>
          <w:p>
            <w:pPr>
              <w:jc w:val="center"/>
              <w:ind w:right="55"/>
              <w:spacing w:after="0"/>
              <w:rPr>
                <w:sz w:val="20"/>
                <w:szCs w:val="20"/>
                <w:color w:val="auto"/>
              </w:rPr>
            </w:pPr>
            <w:r>
              <w:rPr>
                <w:rFonts w:ascii="Arial" w:cs="Arial" w:eastAsia="Arial" w:hAnsi="Arial"/>
                <w:sz w:val="14"/>
                <w:szCs w:val="14"/>
                <w:color w:val="auto"/>
                <w:w w:val="96"/>
              </w:rPr>
              <w:t>Expiration</w:t>
            </w:r>
          </w:p>
        </w:tc>
      </w:tr>
      <w:tr>
        <w:trPr>
          <w:trHeight w:val="39"/>
        </w:trPr>
        <w:tc>
          <w:tcPr>
            <w:tcW w:w="36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net operating losses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33,057</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Indefinite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61,514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right="75"/>
              <w:spacing w:after="0"/>
              <w:rPr>
                <w:sz w:val="20"/>
                <w:szCs w:val="20"/>
                <w:color w:val="auto"/>
              </w:rPr>
            </w:pPr>
            <w:r>
              <w:rPr>
                <w:rFonts w:ascii="Arial" w:cs="Arial" w:eastAsia="Arial" w:hAnsi="Arial"/>
                <w:sz w:val="18"/>
                <w:szCs w:val="18"/>
                <w:color w:val="auto"/>
                <w:w w:val="95"/>
              </w:rPr>
              <w:t>Indefinite</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State net operating losses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106,939</w:t>
            </w:r>
          </w:p>
        </w:tc>
        <w:tc>
          <w:tcPr>
            <w:tcW w:w="1480" w:type="dxa"/>
            <w:vAlign w:val="bottom"/>
            <w:gridSpan w:val="3"/>
          </w:tcPr>
          <w:p>
            <w:pPr>
              <w:jc w:val="center"/>
              <w:ind w:left="76"/>
              <w:spacing w:after="0"/>
              <w:rPr>
                <w:sz w:val="20"/>
                <w:szCs w:val="20"/>
                <w:color w:val="auto"/>
              </w:rPr>
            </w:pPr>
            <w:r>
              <w:rPr>
                <w:rFonts w:ascii="Arial" w:cs="Arial" w:eastAsia="Arial" w:hAnsi="Arial"/>
                <w:sz w:val="18"/>
                <w:szCs w:val="18"/>
                <w:color w:val="auto"/>
                <w:w w:val="89"/>
              </w:rPr>
              <w:t>2030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106,810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right="55"/>
              <w:spacing w:after="0"/>
              <w:rPr>
                <w:sz w:val="20"/>
                <w:szCs w:val="20"/>
                <w:color w:val="auto"/>
              </w:rPr>
            </w:pPr>
            <w:r>
              <w:rPr>
                <w:rFonts w:ascii="Arial" w:cs="Arial" w:eastAsia="Arial" w:hAnsi="Arial"/>
                <w:sz w:val="18"/>
                <w:szCs w:val="18"/>
                <w:color w:val="auto"/>
                <w:w w:val="89"/>
              </w:rPr>
              <w:t>2030</w:t>
            </w: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general business tax credit</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80" w:type="dxa"/>
            <w:vAlign w:val="bottom"/>
            <w:gridSpan w:val="3"/>
            <w:shd w:val="clear" w:color="auto" w:fill="CCEEFF"/>
          </w:tcPr>
          <w:p>
            <w:pPr>
              <w:jc w:val="center"/>
              <w:ind w:left="76"/>
              <w:spacing w:after="0"/>
              <w:rPr>
                <w:sz w:val="20"/>
                <w:szCs w:val="20"/>
                <w:color w:val="auto"/>
              </w:rPr>
            </w:pPr>
            <w:r>
              <w:rPr>
                <w:rFonts w:ascii="Arial" w:cs="Arial" w:eastAsia="Arial" w:hAnsi="Arial"/>
                <w:sz w:val="18"/>
                <w:szCs w:val="18"/>
                <w:color w:val="auto"/>
                <w:w w:val="89"/>
              </w:rPr>
              <w:t>2039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69" w:lineRule="exact"/>
        <w:rPr>
          <w:sz w:val="20"/>
          <w:szCs w:val="20"/>
          <w:color w:val="auto"/>
        </w:rPr>
      </w:pPr>
    </w:p>
    <w:p>
      <w:pPr>
        <w:jc w:val="both"/>
        <w:ind w:firstLine="324"/>
        <w:spacing w:after="0" w:line="344" w:lineRule="auto"/>
        <w:rPr>
          <w:sz w:val="20"/>
          <w:szCs w:val="20"/>
          <w:color w:val="auto"/>
        </w:rPr>
      </w:pPr>
      <w:r>
        <w:rPr>
          <w:rFonts w:ascii="Arial" w:cs="Arial" w:eastAsia="Arial" w:hAnsi="Arial"/>
          <w:sz w:val="16"/>
          <w:szCs w:val="16"/>
          <w:color w:val="auto"/>
        </w:rPr>
        <w:t>Significant equity restructuring often results in an Internal Revenue Section 382 ownership change that limits the future use of net operating loss (“NOL”) carryforwards and other tax attributes. The Company has determined that it has undergone an ownership change in 2019 (as defined by Section 382 of the Internal Revenue Code). As a result, the Company's use of NOL carryforwards on an annual basis will be limited. Neither the amount of the Company's NOL carryforwards nor the amount of limitation of such carryforwards claimed by the Company have been audited or otherwise validated by the Internal Revenue Service, which could challenge the amount the Company has calculated. With regard to Century, an ownership change occurred on the date the outstanding equity interests were purchased in 2022. As a result, the Company's use of the acquired NOLs, interest expense limitation carryforward and R&amp;D credit carryforward on an annual basis will be limited. The recognition and measurement of the Company's tax benefit includes estimates and judgment by the Company's management, which includes subjectivity. Changes in estimates may create volatility in the Company's tax rate in future periods based on new information about particular tax positions that may cause management to change its estimates.</w:t>
      </w:r>
    </w:p>
    <w:p>
      <w:pPr>
        <w:spacing w:after="0" w:line="111" w:lineRule="exact"/>
        <w:rPr>
          <w:sz w:val="20"/>
          <w:szCs w:val="20"/>
          <w:color w:val="auto"/>
        </w:rPr>
      </w:pPr>
    </w:p>
    <w:p>
      <w:pPr>
        <w:jc w:val="both"/>
        <w:ind w:firstLine="324"/>
        <w:spacing w:after="0" w:line="340" w:lineRule="auto"/>
        <w:rPr>
          <w:sz w:val="20"/>
          <w:szCs w:val="20"/>
          <w:color w:val="auto"/>
        </w:rPr>
      </w:pPr>
      <w:r>
        <w:rPr>
          <w:rFonts w:ascii="Arial" w:cs="Arial" w:eastAsia="Arial" w:hAnsi="Arial"/>
          <w:sz w:val="18"/>
          <w:szCs w:val="18"/>
          <w:color w:val="auto"/>
        </w:rPr>
        <w:t>The Company had a credit carryforward of approximately $0.4 million as of December 31, 2020, which was fully utilized in 2021. The Company currently has a credit carryforward of $0.1 million as of December 31, 2022, which is being carried forward to 2023.</w:t>
      </w:r>
    </w:p>
    <w:p>
      <w:pPr>
        <w:spacing w:after="0" w:line="102" w:lineRule="exact"/>
        <w:rPr>
          <w:sz w:val="20"/>
          <w:szCs w:val="20"/>
          <w:color w:val="auto"/>
        </w:rPr>
      </w:pPr>
    </w:p>
    <w:p>
      <w:pPr>
        <w:jc w:val="both"/>
        <w:ind w:firstLine="324"/>
        <w:spacing w:after="0" w:line="336" w:lineRule="auto"/>
        <w:rPr>
          <w:sz w:val="20"/>
          <w:szCs w:val="20"/>
          <w:color w:val="auto"/>
        </w:rPr>
      </w:pPr>
      <w:r>
        <w:rPr>
          <w:rFonts w:ascii="Arial" w:cs="Arial" w:eastAsia="Arial" w:hAnsi="Arial"/>
          <w:sz w:val="17"/>
          <w:szCs w:val="17"/>
          <w:color w:val="auto"/>
        </w:rPr>
        <w:t>On March 27, 2020, the CARES Act was signed into law and authorized more than $2 trillion to battle COVID-19 and its economic effects. The Company was eligible for certain operational credits of the relief programs under the CARES Act and recorded a benefit of $1.3 million to other expenses, net on its consolidated statements of operations and comprehensive income (loss) for the year ended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Commitments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has certain earnouts in periods for future location performance related to certain business acquisitions (see discussion in Note 10).</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certain employment agreements that call for salaries and potential severance upon termination.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7"/>
          <w:szCs w:val="17"/>
          <w:color w:val="auto"/>
        </w:rPr>
        <w:t>Lawsuits and claims are filed against the Company from time to time in the ordinary course of business, including related to employee matters, employment agreements and non-compete clauses and agreements. Other than settled matters explained as follows, these actions are in various stages, and no judgments or decisions have been rendered. Management, after reviewing matters with legal counsel, believes that the outcome of such matters are not expected to have a material adverse effect on the Company's financial position or results of operations.</w:t>
      </w:r>
    </w:p>
    <w:p>
      <w:pPr>
        <w:spacing w:after="0" w:line="113"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The Company has been involved in a series of related litigated matters stemming from claims that it wrongly contracted with 10 different licensed establishments (the “Defendant Establishments”) in 2012 in violation of the contractual rights held by J&amp;J Ventures Gaming, LLC (“J&amp;J”), as further described below.</w:t>
      </w:r>
    </w:p>
    <w:p>
      <w:pPr>
        <w:spacing w:after="0" w:line="129"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8"/>
          <w:szCs w:val="18"/>
          <w:color w:val="auto"/>
        </w:rPr>
        <w:t>On August 21, 2012, one of the Company’s operating subsidiaries entered into certain agreements with Jason Rowell (“Rowell”), a member of Action Gaming LLC (“Action Gaming”), which was an unlicensed terminal operator that had exclusive rights to place and operate gaming terminals within a number of establishments, including the Defendant Establishments. Under agreements with Rowell, the Company agreed to pay him for each licensed establishment which decided to enter into exclusive location agreements with Accel. In late August and early September 2012, each of the Defendant Establishments signed separate location agreements with the Company, purporting to grant it the exclusive right to operate gaming terminals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IGB.</w:t>
      </w:r>
    </w:p>
    <w:p>
      <w:pPr>
        <w:spacing w:after="0" w:line="137"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color w:val="auto"/>
        </w:rPr>
        <w:t>Action Gaming, J&amp;J, and other parties, collectively, the Plaintiffs, filed a complaint against the Company, Rowell, and other parties in the Circuit Court of Cook County, Illinois (the “Circuit Court”), on August 31, 2012, as amended on November 1, 2012, December 19, 2012, and October 3, 2013, alleging, among other things, that Accel aided and abetted Rowell in breaches of his fiduciary duties and contractual obligations with Action Gaming and tortiously interfered with Action Gaming’s contracts with Rowell and agreements assigned to J&amp;J. The complaint seeks damages and injunctive and equitable relief. On January 24, 2018, the Company filed a motion to dismiss for lack of subject matter jurisdiction, as further described below. On May 14, 2018, the Circuit Court denied the Company’s motion to dismiss and granted a stay to the case, pending a ruling from the IGB on the validity of the J&amp;J Assigned Agreements.</w:t>
      </w:r>
    </w:p>
    <w:p>
      <w:pPr>
        <w:spacing w:after="0" w:line="136" w:lineRule="exact"/>
        <w:rPr>
          <w:sz w:val="20"/>
          <w:szCs w:val="20"/>
          <w:color w:val="auto"/>
        </w:rPr>
      </w:pPr>
    </w:p>
    <w:p>
      <w:pPr>
        <w:jc w:val="both"/>
        <w:ind w:firstLine="324"/>
        <w:spacing w:after="0" w:line="322" w:lineRule="auto"/>
        <w:rPr>
          <w:sz w:val="20"/>
          <w:szCs w:val="20"/>
          <w:color w:val="auto"/>
        </w:rPr>
      </w:pPr>
      <w:r>
        <w:rPr>
          <w:rFonts w:ascii="Arial" w:cs="Arial" w:eastAsia="Arial" w:hAnsi="Arial"/>
          <w:sz w:val="17"/>
          <w:szCs w:val="17"/>
          <w:color w:val="auto"/>
        </w:rPr>
        <w:t>From 2013 to 2015, the Plaintiffs filed additional claims, including J&amp;J Ventures Gaming, LLC et al. v. Wild, Inc. (“Wild”), in various circuit courts seeking declaratory judgments with a number of establishments, including each of the Defendant Establishments, requesting declarations that, among other things, J&amp;J held the exclusive right to operate gaming terminals at each of the Defendant Establishments as a result of the J&amp;J Assigned Agreements. The Company was granted leave to intervene in all of the declaratory judgments. The circuit courts found that the J&amp;J Assigned Agreements were valid because each of the underlying location agreements were between an unlicensed establishment and an unlicensed terminal operator, and therefore did not constitute use agreements that were otherwise precluded from assignment under the IGB’s regulations. Upon the Company’s appeal, the Illinois Appellate Court, Fifth District (the “District Court”), vacated the circuit courts’ judgments and dismissed the appeals, holding that the IGB had exclusive jurisdiction over the matter that formed the basis of the parties’ claims, and declined to consider the merits of the parties’ disputes. On September 22, 2016, and after the IGB intervened, the Supreme Court of Illinois issued a judgment in Wild, affirming the District Court’s decision vacating the circuit courts’ judgments for lack of subject matter jurisdiction and dismissing the appeals, determining that the IGB has exclusive jurisdiction to decide the validity and enforceability of gaming terminal use agreements.</w:t>
      </w:r>
    </w:p>
    <w:p>
      <w:pPr>
        <w:spacing w:after="0" w:line="12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Between May 2017 and September 2017, both the Company and J&amp;J filed petitions with the IGB seeking adjudication of the rights of the parties and the validity of the use agreements. Those petitions were recently adjudicated by the IGB, largely in the Company’s favor, and J&amp;J has filed a new lawsuit to challenge the IGB’s rulings. The Company does not have a present estimate regarding the potential damages, if any, that could potentially be awarded in this litigation and, accordingly, have established no</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reserves relating to such matters. There are also petitions pending with the IGB which could lead to the Company obtaining new locations.</w:t>
      </w:r>
    </w:p>
    <w:p>
      <w:pPr>
        <w:spacing w:after="0" w:line="212" w:lineRule="exact"/>
        <w:rPr>
          <w:sz w:val="20"/>
          <w:szCs w:val="20"/>
          <w:color w:val="auto"/>
        </w:rPr>
      </w:pPr>
    </w:p>
    <w:p>
      <w:pPr>
        <w:jc w:val="both"/>
        <w:ind w:firstLine="324"/>
        <w:spacing w:after="0" w:line="350" w:lineRule="auto"/>
        <w:rPr>
          <w:sz w:val="20"/>
          <w:szCs w:val="20"/>
          <w:color w:val="auto"/>
        </w:rPr>
      </w:pPr>
      <w:r>
        <w:rPr>
          <w:rFonts w:ascii="Arial" w:cs="Arial" w:eastAsia="Arial" w:hAnsi="Arial"/>
          <w:sz w:val="16"/>
          <w:szCs w:val="16"/>
          <w:color w:val="auto"/>
        </w:rPr>
        <w:t>On October 7, 2019, the Company filed a lawsuit in the Circuit Court of Cook County, Illinois against Jason Rowell and other parties related to Mr. Rowell’s breaches of his non-compete agreement with Accel. The Company alleged that Mr. Rowell and a competitor were working together to interfere with the Company’s customer relationships. On November 7, 2019, Mr. Rowell filed a lawsuit in the Circuit Court of Cook County, Illinois against the Company alleging that he had not received certain equity interests in the Company to which he was allegedly entitled under his agreement. The Company has answered the complaint and asserted a counterclaim, and intends to defend itself against the allegations. Discovery is ensuing. Mr. Rowell's claims and the Company's claims are both being litigated in this lawsuit, while the original lawsuit remains pending against the other defendants.</w:t>
      </w:r>
    </w:p>
    <w:p>
      <w:pPr>
        <w:spacing w:after="0" w:line="105"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8"/>
          <w:szCs w:val="18"/>
          <w:color w:val="auto"/>
        </w:rPr>
        <w:t>On July 2, 2019, Illinois Gaming Investors, LLC filed a lawsuit against the Company. The lawsuit alleges that a current employee violated his non-competition agreement with Illinois Gaming Investors, LLC, and together with the Company, wrongfully solicited prohibited licensed video gaming locations. The parties settled this dispute in April 2022.</w:t>
      </w:r>
    </w:p>
    <w:p>
      <w:pPr>
        <w:spacing w:after="0" w:line="12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8"/>
          <w:szCs w:val="18"/>
          <w:color w:val="auto"/>
        </w:rPr>
        <w:t>On December 18, 2020, the Company received a disciplinary complaint from the IGB alleging violations of the Video Gaming Act and the IGB’s Adopted Rules for Video Gaming. The disciplinary complaint seeks to fine the Company in the amount of $5 million. The Company filed its initial answer to the IGB’s complaint on January 11, 2021. On July 22, 2022, both parties filed motions for summary judgment. The Company expects decisions on the motions in the first quarter of 2023.</w:t>
      </w:r>
    </w:p>
    <w:p>
      <w:pPr>
        <w:spacing w:after="0" w:line="146" w:lineRule="exact"/>
        <w:rPr>
          <w:sz w:val="20"/>
          <w:szCs w:val="20"/>
          <w:color w:val="auto"/>
        </w:rPr>
      </w:pPr>
    </w:p>
    <w:p>
      <w:pPr>
        <w:jc w:val="both"/>
        <w:ind w:firstLine="324"/>
        <w:spacing w:after="0" w:line="321" w:lineRule="auto"/>
        <w:rPr>
          <w:sz w:val="20"/>
          <w:szCs w:val="20"/>
          <w:color w:val="auto"/>
        </w:rPr>
      </w:pPr>
      <w:r>
        <w:rPr>
          <w:rFonts w:ascii="Arial" w:cs="Arial" w:eastAsia="Arial" w:hAnsi="Arial"/>
          <w:sz w:val="17"/>
          <w:szCs w:val="17"/>
          <w:color w:val="auto"/>
        </w:rPr>
        <w:t>On March 9, 2022, the Company filed a lawsuit in the Circuit Court of Cook County, Illinois against Gold Rush relating to the Gold Rush convertible notes. The complaint sought damages for breach of contract and the implied covenant of good faith and fair dealing as well as unjust enrichment. The Court granted Gold Rush’s motion to dismiss, with leave to amend, on November 16, 2022. The Company filed an amended complaint on December 22, 2022, and asked the court to summarily dismiss the repealed claims to allow the Company to seek appeal of their dismissal by the Circuit Court. On June 22, 2022, Gold Rush filed a lawsuit in the Circuit Court of Cook County, Illinois against the Company. The lawsuit alleges that the Company tortiously interfered with Gold Rush’s business activities and engaged in misconduct with respect to the Gold Rush convertible notes. The complaint seeks declaratory judgment and damages related to the allegations. Following the Company's motion to dismiss, on November 16, 2022, the Court dismissed two of Gold Rush’s claims against the Company, but allowed four claims to proceed. The Company answered the complaint on December 14, 2022. The parties are currently engaged in the discovery process and no trial date has been set. The Company intends to vigorously defend itself against the allegations in the complaint and denies any allegations of wrongdoing.</w:t>
      </w:r>
    </w:p>
    <w:p>
      <w:pPr>
        <w:spacing w:after="0" w:line="14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8"/>
          <w:szCs w:val="18"/>
          <w:color w:val="auto"/>
        </w:rPr>
        <w:t>On March 25, 2022, Midwest Electronics Gaming LLC (“Midwest”) filed an administrative review action against the Illinois Gaming Board, the Company and J&amp;J in the Circuit Court of Cook County, Illinois seeking administrative review of decisions of the IGB ruling in favor of the Company and J&amp;J and against Midwest regarding the validity of certain use agreements covering locations currently serviced by Midwest. No monetary damages are sought against the Company. A responsive pleading is not yet due. On April 22, 2022, the Company filed a petition in the Circuit Court of Cook County, Illinois to judicially review the IGB's decision to deny the requested transfer of Gold Rush common stock in respect of our conversion of the convertible notes.</w:t>
      </w:r>
    </w:p>
    <w:p>
      <w:pPr>
        <w:spacing w:after="0" w:line="152"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In July 2022, an enforcement action was brought against the Company by an Illinois municipality related to an alleged violation of an ordinance requiring the collection of an additional tax, the enforceability of which is currently being contested by the Illinois Gaming Machine Operators Association. Rather than litigate the alleged violation, the Company pled no contest and paid an initial penalty to the municipality in October 2022. The Company will pay a similar penalty each month for the remaining months of 2022 and anticipates such payments to continue in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Given the status of the legal proceedings discussed above, the Company has determined that a legal liability was probable and recorded a loss of $1.2 million for the year ended December 31, 2022, of which $1.0 million is included within other expenses, net and $0.2 million is included within general and administrative expenses in the consolidated statements of operations and other comprehensive income (loss). The Company paid legal settlements totaling $1.6 million during the year ended December 31, 2022 related to these legal proceedings, which includes $1.0 million of the previously mentioned loss.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Related-Party Transactions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Subsequent to the Company's acquisitions of Fair Share, G3, Tom's Amusements and AVG, the sellers became employees of the Company.</w:t>
      </w:r>
    </w:p>
    <w:p>
      <w:pPr>
        <w:spacing w:after="0" w:line="223"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8"/>
          <w:szCs w:val="18"/>
          <w:color w:val="auto"/>
        </w:rPr>
        <w:t>Consideration payable to the Fair Share seller was $1.1 million and $2.4 million as of December 31, 2022 and 2021, respectively. Payments to the Fair Share seller under the acquisition agreement were $1.8 million, $1.0 million and $0.9 million for the years ended December 31, 2022, 2021 and 2020, respectively.</w:t>
      </w:r>
    </w:p>
    <w:p>
      <w:pPr>
        <w:spacing w:after="0" w:line="122"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Consideration payable to the G3 sellers was $0.4 million as of December 31, 2022 and 2021. Payments to the G3 seller under the acquisition agreement were $0.3 million, and $2.5 million during the years ended December 31, 2021 and 2020, respectively. There were no payments made to the G3 sellers for the year ended December 31, 2022.</w:t>
      </w:r>
    </w:p>
    <w:p>
      <w:pPr>
        <w:spacing w:after="0" w:line="129"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8"/>
          <w:szCs w:val="18"/>
          <w:color w:val="auto"/>
        </w:rPr>
        <w:t>Consideration payable to the Tom's Amusements seller was $0.1 million and $1.5 million as of December 31, 2022 and 2021, respectively. Payments to the the Tom's Amusements seller under the acquisition agreement were $1.4 million for the year ended December 31, 2022. There were no payments made to the Tom's Amusements seller for the years ended December 31, 2021 and 2020.</w:t>
      </w:r>
    </w:p>
    <w:p>
      <w:pPr>
        <w:spacing w:after="0" w:line="122"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8"/>
          <w:szCs w:val="18"/>
          <w:color w:val="auto"/>
        </w:rPr>
        <w:t>Consideration payable to the AVG seller was zero and $0.4 million as of December 31, 2022 and 2021, respectively. Payments to the AVG seller under the acquisition agreement were $0.3 million and $2.3 million for the years ended December 31, 2022 and 2021. There were no payments to the AVG seller during the year ended December 31, 2020.</w:t>
      </w:r>
    </w:p>
    <w:p>
      <w:pPr>
        <w:spacing w:after="0" w:line="129"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7"/>
          <w:szCs w:val="17"/>
          <w:color w:val="auto"/>
        </w:rPr>
        <w:t>The Company engaged Much Shelist, P.C. (“Much Shelist”), as its legal counsel for general legal and business matters. An attorney at Much Shelist is a related party to management of the Company. For the years ended December 31, 2022, 2021, and 2020, Accel paid Much Shelist $0.3 million, $0.2 million, and $0.1 million, respectively. These payments were included in general and administrative expenses within the consolidated statements of operations and comprehensive income (loss), however, $0.2 million of the amounts paid in the fourth quarter of 2020 were recorded to additional paid-in capital as these costs were determined to be direct and incremental for the reverse recapitalization discussed in Note 1.</w:t>
      </w:r>
    </w:p>
    <w:p>
      <w:pPr>
        <w:spacing w:after="0" w:line="11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As previously mentioned, the Company completed an underwritten public offering of 8,000,000 shares of its Class A-1 common stock, pursuant to the terms of an Underwriting Agreement, dated September 23, 2020, with Goldman Sachs &amp; Co. LLC and J.P. Morgan Securities LLC, as representatives of the several underwriters named therein. The Raine Group, which employs a director of the Company, Gordon Rubenstein, was part of the underwriting group and was paid fees totaling $0.2 million (5.5% of underwriting fee which was 4.5% of $84 million). These payments were capitalized to additional paid-in-capital on the consolidated statements of stockholders' equity (deficit).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Earnings Per Share</w:t>
      </w:r>
    </w:p>
    <w:p>
      <w:pPr>
        <w:spacing w:after="0" w:line="20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Basic earnings (loss) per share (“EPS”) is computed based on the weighted average number of shares of Class A-1 shares outstanding during the period. Diluted EPS is computed based on the weighted average number of shares plus the effect of dilutive potential common shares outstanding during the period using the treasury stock method. Dilutive potential common shares include outstanding stock options, unvested RSUs, contingent earnout shares, and warrants.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8"/>
          <w:szCs w:val="18"/>
          <w:color w:val="auto"/>
        </w:rPr>
        <w:t>Since the shares issuable under the contingent earnout are contingently issuable shares that depend on future earnings or future market prices of the common stock or a change in control, the shares are excluded when computing diluted earnings (loss) per share unless the shares would be issuable if the reporting date was the end of the contingency period. Upon settlement, these shares are included in Class A-1 common stock in the Company’s basic EPS share count.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basic and diluted EPS were as follows (in thousands, except per share amounts):</w:t>
      </w:r>
    </w:p>
    <w:p>
      <w:pPr>
        <w:spacing w:after="0" w:line="167"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7"/>
        </w:trPr>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74,102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31,559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70"/>
        </w:trPr>
        <w:tc>
          <w:tcPr>
            <w:tcW w:w="4920" w:type="dxa"/>
            <w:vAlign w:val="bottom"/>
          </w:tcPr>
          <w:p>
            <w:pPr>
              <w:spacing w:after="0"/>
              <w:rPr>
                <w:sz w:val="20"/>
                <w:szCs w:val="20"/>
                <w:color w:val="auto"/>
              </w:rPr>
            </w:pPr>
            <w:r>
              <w:rPr>
                <w:rFonts w:ascii="Arial" w:cs="Arial" w:eastAsia="Arial" w:hAnsi="Arial"/>
                <w:sz w:val="18"/>
                <w:szCs w:val="18"/>
                <w:color w:val="auto"/>
              </w:rPr>
              <w:t>Less: Net income applicable to contingently issuable shares</w:t>
            </w:r>
          </w:p>
        </w:tc>
        <w:tc>
          <w:tcPr>
            <w:tcW w:w="2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909</w:t>
            </w:r>
          </w:p>
        </w:tc>
      </w:tr>
      <w:tr>
        <w:trPr>
          <w:trHeight w:val="288"/>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Net income (loss) on which diluted earnings per share is calculated</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74,102</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31,559</w:t>
            </w: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outstanding shares of common stock</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90,629</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93,781</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83,045</w:t>
            </w:r>
          </w:p>
        </w:tc>
      </w:tr>
      <w:tr>
        <w:trPr>
          <w:trHeight w:val="270"/>
        </w:trPr>
        <w:tc>
          <w:tcPr>
            <w:tcW w:w="4920" w:type="dxa"/>
            <w:vAlign w:val="bottom"/>
          </w:tcPr>
          <w:p>
            <w:pPr>
              <w:spacing w:after="0"/>
              <w:rPr>
                <w:sz w:val="20"/>
                <w:szCs w:val="20"/>
                <w:color w:val="auto"/>
              </w:rPr>
            </w:pPr>
            <w:r>
              <w:rPr>
                <w:rFonts w:ascii="Arial" w:cs="Arial" w:eastAsia="Arial" w:hAnsi="Arial"/>
                <w:sz w:val="18"/>
                <w:szCs w:val="18"/>
                <w:color w:val="auto"/>
              </w:rPr>
              <w:t>Dilutive effect of stock-based awards for common stock</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857</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contingent earnout shares before conversion</w:t>
            </w:r>
          </w:p>
        </w:tc>
        <w:tc>
          <w:tcPr>
            <w:tcW w:w="2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w w:val="97"/>
              </w:rPr>
              <w:t>Diluted weighted average outstanding shares of common stock</w:t>
            </w: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91,229</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94,638</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83,113</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4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0.34</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tcPr>
          <w:p>
            <w:pPr>
              <w:ind w:left="46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0.81</w:t>
            </w:r>
          </w:p>
        </w:tc>
        <w:tc>
          <w:tcPr>
            <w:tcW w:w="14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4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r>
    </w:tbl>
    <w:p>
      <w:pPr>
        <w:spacing w:after="0" w:line="256"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Anti-dilutive stock-based awards, contingent earnout shares and warrants excluded from the calculations of diluted EPS were 5,027,491, 4,506,988, and 7,224,134 for the years ended December 31, 2022, 2021 and 2020,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Agreement Updates</w:t>
      </w:r>
    </w:p>
    <w:p>
      <w:pPr>
        <w:spacing w:after="0" w:line="198"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color w:val="auto"/>
        </w:rPr>
        <w:t>On January 24, 2023, a disinterested committee of the Company's board of directors made up of independent directors who do not hold any Class A-2 Common Stock approved a further increase to the LTM EBITDA and the LTM EBITDA thresholds under the terms of the Restricted Stock Agreement as follows: (i) in the case of Tranche II, the LTM EBITDA threshold (A) as of December 31, 2022 was increased to $166.1 million, (B) as of March 31, 2023 was increased to $172.4 million, and (C) as of June 30, 2023 was increased to $177.3 million; and (ii) in the case of Tranche III, the LTM EBITDA threshold as of each of December 31, 2023, March 31, 2024 and June 30, 2024 was increased to $198.3 million. If the Company completes additional acquisitions following the filing of this Annual Report on Form 10-K and on or prior to March 31, 2023, the Company expects that the disinterested committee will consider additional adjustments to the LTM EBITDA and the LTM EBITDA thresholds in respect of any such acquisitions.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Acquisition</w:t>
      </w:r>
    </w:p>
    <w:p>
      <w:pPr>
        <w:spacing w:after="0" w:line="212"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8"/>
          <w:szCs w:val="18"/>
          <w:color w:val="auto"/>
        </w:rPr>
        <w:t>On February 13, 2023, the Company acquired a hospitality operation in Billings, Montana for a total purchase price of $2.6 million. The purchase price included the cost of the land, building and the related Montana All-Alcoholic Beverage License. The hospitality operation is set to be a Century vended location.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121" w:right="339" w:bottom="1440" w:gutter="0" w:footer="0" w:header="0"/>
        </w:sectPr>
      </w:pPr>
    </w:p>
    <w:bookmarkStart w:id="111" w:name="page112"/>
    <w:bookmarkEnd w:id="111"/>
    <w:p>
      <w:pPr>
        <w:ind w:left="10020"/>
        <w:spacing w:after="0"/>
        <w:rPr>
          <w:sz w:val="20"/>
          <w:szCs w:val="20"/>
          <w:color w:val="auto"/>
        </w:rPr>
      </w:pPr>
      <w:r>
        <w:rPr>
          <w:rFonts w:ascii="Arial" w:cs="Arial" w:eastAsia="Arial" w:hAnsi="Arial"/>
          <w:sz w:val="17"/>
          <w:szCs w:val="17"/>
          <w:color w:val="auto"/>
        </w:rPr>
        <w:t>Exhibit 10.21(A)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62"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8"/>
          <w:szCs w:val="18"/>
          <w:color w:val="auto"/>
        </w:rPr>
        <w:t>This Amendment No. 1 to Employment Agreement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dated as of February 24, 2023, and amends the Employment Agreement, dated as of March 15, 2021, between Accel Entertainment,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Mark Phelan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and, together with the Company,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each,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have entered into the Employment Agreement dated as of March 15, 2021 (the “</w:t>
      </w:r>
      <w:r>
        <w:rPr>
          <w:rFonts w:ascii="Arial" w:cs="Arial" w:eastAsia="Arial" w:hAnsi="Arial"/>
          <w:sz w:val="18"/>
          <w:szCs w:val="18"/>
          <w:b w:val="1"/>
          <w:bCs w:val="1"/>
          <w:i w:val="1"/>
          <w:iCs w:val="1"/>
          <w:color w:val="auto"/>
        </w:rPr>
        <w:t>Existing Agreement</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further amend the Existing Agreement as set forth herein.</w:t>
      </w:r>
    </w:p>
    <w:p>
      <w:pPr>
        <w:spacing w:after="0" w:line="158" w:lineRule="exact"/>
        <w:rPr>
          <w:sz w:val="20"/>
          <w:szCs w:val="20"/>
          <w:color w:val="auto"/>
        </w:rPr>
      </w:pPr>
    </w:p>
    <w:p>
      <w:pPr>
        <w:jc w:val="both"/>
        <w:ind w:firstLine="648"/>
        <w:spacing w:after="0" w:line="344"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other good and valuable consideration, the receipt and sufficiency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the Parties agree as follows:</w:t>
      </w:r>
    </w:p>
    <w:p>
      <w:pPr>
        <w:spacing w:after="0" w:line="41" w:lineRule="exact"/>
        <w:rPr>
          <w:sz w:val="20"/>
          <w:szCs w:val="20"/>
          <w:color w:val="auto"/>
        </w:rPr>
      </w:pPr>
    </w:p>
    <w:p>
      <w:pPr>
        <w:ind w:left="660" w:hanging="4"/>
        <w:spacing w:after="0" w:line="329" w:lineRule="auto"/>
        <w:tabs>
          <w:tab w:leader="none" w:pos="1308"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Capitalized terms used and not defined in this Amendment have the respective meanings assigned to them in the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53"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Salary</w:t>
      </w:r>
      <w:r>
        <w:rPr>
          <w:rFonts w:ascii="Arial" w:cs="Arial" w:eastAsia="Arial" w:hAnsi="Arial"/>
          <w:sz w:val="18"/>
          <w:szCs w:val="18"/>
          <w:color w:val="auto"/>
        </w:rPr>
        <w:t>. Effective as of January 1, 2022, Employee’s annual base salary was increased to $400,000 per annum.</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Bonus</w:t>
      </w:r>
      <w:r>
        <w:rPr>
          <w:rFonts w:ascii="Arial" w:cs="Arial" w:eastAsia="Arial" w:hAnsi="Arial"/>
          <w:sz w:val="18"/>
          <w:szCs w:val="18"/>
          <w:color w:val="auto"/>
        </w:rPr>
        <w:t>. Section 3.2 of the Existing Agreement is hereby removed in its entirety and replaced with the following:</w:t>
      </w:r>
    </w:p>
    <w:p>
      <w:pPr>
        <w:spacing w:after="0" w:line="16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“Employee will be eligible to receive an annual performance bonus with a target amount of fifty percent (50%) of Employee’s annual base salary (the “</w:t>
      </w:r>
      <w:r>
        <w:rPr>
          <w:rFonts w:ascii="Arial" w:cs="Arial" w:eastAsia="Arial" w:hAnsi="Arial"/>
          <w:sz w:val="18"/>
          <w:szCs w:val="18"/>
          <w:b w:val="1"/>
          <w:bCs w:val="1"/>
          <w:i w:val="1"/>
          <w:iCs w:val="1"/>
          <w:color w:val="auto"/>
        </w:rPr>
        <w:t>Annual Bonus</w:t>
      </w:r>
      <w:r>
        <w:rPr>
          <w:rFonts w:ascii="Arial" w:cs="Arial" w:eastAsia="Arial" w:hAnsi="Arial"/>
          <w:sz w:val="18"/>
          <w:szCs w:val="18"/>
          <w:color w:val="auto"/>
        </w:rPr>
        <w:t>”). Annual Bonus payments will be determined in the discretion of the Board or the compensation committee thereof and will be subject to achievement of any applicable performance milestones or other terms and conditions determined by the Board or the compensation committee thereof. The Annual Bonus will be payable as soon as practicable following the end of the calendar year to which the bonus relates, subject to Employee’s continued employment on the payment date.”</w:t>
      </w:r>
    </w:p>
    <w:p>
      <w:pPr>
        <w:spacing w:after="0" w:line="72" w:lineRule="exact"/>
        <w:rPr>
          <w:sz w:val="20"/>
          <w:szCs w:val="20"/>
          <w:color w:val="auto"/>
        </w:rPr>
      </w:pPr>
    </w:p>
    <w:p>
      <w:pPr>
        <w:ind w:left="660" w:right="20" w:hanging="4"/>
        <w:spacing w:after="0" w:line="344" w:lineRule="auto"/>
        <w:tabs>
          <w:tab w:leader="none" w:pos="1308"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Long-Term Incentive Compensation</w:t>
      </w:r>
      <w:r>
        <w:rPr>
          <w:rFonts w:ascii="Arial" w:cs="Arial" w:eastAsia="Arial" w:hAnsi="Arial"/>
          <w:sz w:val="18"/>
          <w:szCs w:val="18"/>
          <w:color w:val="auto"/>
        </w:rPr>
        <w:t>. Section 3.3 of the Existing Agreement is hereby removed in its entirety and replaced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45"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8"/>
          <w:szCs w:val="18"/>
          <w:color w:val="auto"/>
        </w:rPr>
        <w:t>“Employee will be eligible to receive additional grants of equity-based incentive compensation awards on an annual basis in accordance with the Company’s annual grants to similarly situated employees, if any, with a target grant date value of 100% of Employee’s annual base salary. Such grants, if any, will be made in the Board’s sole discretion.”</w:t>
      </w:r>
    </w:p>
    <w:p>
      <w:pPr>
        <w:spacing w:after="0" w:line="71"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b w:val="1"/>
          <w:bCs w:val="1"/>
          <w:u w:val="single" w:color="auto"/>
          <w:color w:val="auto"/>
        </w:rPr>
        <w:t>Bulldog Gaming Long Term Incentive Plan; Title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Existing Agreement is hereby removed in its entirety. Employee</w:t>
      </w:r>
    </w:p>
    <w:p>
      <w:pPr>
        <w:spacing w:after="0" w:line="78" w:lineRule="exact"/>
        <w:rPr>
          <w:rFonts w:ascii="Arial" w:cs="Arial" w:eastAsia="Arial" w:hAnsi="Arial"/>
          <w:sz w:val="17"/>
          <w:szCs w:val="17"/>
          <w:color w:val="auto"/>
        </w:rPr>
      </w:pPr>
    </w:p>
    <w:p>
      <w:pPr>
        <w:jc w:val="both"/>
        <w:ind w:left="660"/>
        <w:spacing w:after="0" w:line="364" w:lineRule="auto"/>
        <w:rPr>
          <w:rFonts w:ascii="Arial" w:cs="Arial" w:eastAsia="Arial" w:hAnsi="Arial"/>
          <w:sz w:val="17"/>
          <w:szCs w:val="17"/>
          <w:color w:val="auto"/>
        </w:rPr>
      </w:pPr>
      <w:r>
        <w:rPr>
          <w:rFonts w:ascii="Arial" w:cs="Arial" w:eastAsia="Arial" w:hAnsi="Arial"/>
          <w:sz w:val="16"/>
          <w:szCs w:val="16"/>
          <w:color w:val="auto"/>
        </w:rPr>
        <w:t>hereby acknowledges that no amounts have become payable to Employee pursuant to the Bulldog Gaming Long-Term Incentive Plan and such plan is hereby terminated in accordance with Section 7(a) thereof. As of the Amendment Effective Date (as defined below), the Employee will no longer serve as the General Manager of Bulldog Gaming LLC, and will continue to serve solely as the Company’s Chief Revenue Officer.</w:t>
      </w:r>
    </w:p>
    <w:p>
      <w:pPr>
        <w:spacing w:after="0" w:line="36" w:lineRule="exact"/>
        <w:rPr>
          <w:rFonts w:ascii="Arial" w:cs="Arial" w:eastAsia="Arial" w:hAnsi="Arial"/>
          <w:sz w:val="17"/>
          <w:szCs w:val="17"/>
          <w:color w:val="auto"/>
        </w:rPr>
      </w:pPr>
    </w:p>
    <w:p>
      <w:pPr>
        <w:jc w:val="both"/>
        <w:ind w:left="660" w:hanging="4"/>
        <w:spacing w:after="0" w:line="313" w:lineRule="auto"/>
        <w:tabs>
          <w:tab w:leader="none" w:pos="1308"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term of Employee’s employment under the Existing Agreement (as amended hereby) shall commence as of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Effective Date and shall end on the third anniversary of the Agreement Effective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term shall earlier terminate upon a termination of Employee’s employment as set forth in Section 4.1 of the Existing Agreement. Employee acknowledges and agrees that there is no assurance that the Existing Agreement (as amended hereby) will be renewed or</w:t>
      </w:r>
    </w:p>
    <w:p>
      <w:pPr>
        <w:sectPr>
          <w:pgSz w:w="11900" w:h="16838" w:orient="portrait"/>
          <w:cols w:equalWidth="0" w:num="1">
            <w:col w:w="11240"/>
          </w:cols>
          <w:pgMar w:left="320" w:top="368"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10.21(A)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4"/>
        <w:spacing w:after="0" w:line="336" w:lineRule="auto"/>
        <w:rPr>
          <w:sz w:val="20"/>
          <w:szCs w:val="20"/>
          <w:color w:val="auto"/>
        </w:rPr>
      </w:pPr>
      <w:r>
        <w:rPr>
          <w:rFonts w:ascii="Arial" w:cs="Arial" w:eastAsia="Arial" w:hAnsi="Arial"/>
          <w:sz w:val="17"/>
          <w:szCs w:val="17"/>
          <w:color w:val="auto"/>
        </w:rPr>
        <w:t>extended beyond the third anniversary of the Agreement Effective Date, and neither Employee nor the Company has any obligation to renew or extend the Existing Agreement (as amended hereby) or any right to require any such renewal or extension, and a failure to renew or extend the Existing Agreement (as amended hereby) shall not entitle Employee or the Company to any additional compensation.</w:t>
      </w:r>
    </w:p>
    <w:p>
      <w:pPr>
        <w:spacing w:after="0" w:line="66" w:lineRule="exact"/>
        <w:rPr>
          <w:sz w:val="20"/>
          <w:szCs w:val="20"/>
          <w:color w:val="auto"/>
        </w:rPr>
      </w:pPr>
    </w:p>
    <w:p>
      <w:pPr>
        <w:ind w:left="644" w:hanging="644"/>
        <w:spacing w:after="0"/>
        <w:tabs>
          <w:tab w:leader="none" w:pos="644" w:val="left"/>
        </w:tabs>
        <w:numPr>
          <w:ilvl w:val="0"/>
          <w:numId w:val="42"/>
        </w:numPr>
        <w:rPr>
          <w:rFonts w:ascii="Arial" w:cs="Arial" w:eastAsia="Arial" w:hAnsi="Arial"/>
          <w:sz w:val="17"/>
          <w:szCs w:val="17"/>
          <w:color w:val="auto"/>
        </w:rPr>
      </w:pPr>
      <w:r>
        <w:rPr>
          <w:rFonts w:ascii="Arial" w:cs="Arial" w:eastAsia="Arial" w:hAnsi="Arial"/>
          <w:sz w:val="17"/>
          <w:szCs w:val="17"/>
          <w:b w:val="1"/>
          <w:bCs w:val="1"/>
          <w:u w:val="single" w:color="auto"/>
          <w:color w:val="auto"/>
        </w:rPr>
        <w:t>Covered Termination</w:t>
      </w:r>
      <w:r>
        <w:rPr>
          <w:rFonts w:ascii="Arial" w:cs="Arial" w:eastAsia="Arial" w:hAnsi="Arial"/>
          <w:sz w:val="17"/>
          <w:szCs w:val="17"/>
          <w:color w:val="auto"/>
        </w:rPr>
        <w:t>. Section 5(a) of the Existing Agreement is hereby removed in its entirety and replaced with the following:</w:t>
      </w:r>
    </w:p>
    <w:p>
      <w:pPr>
        <w:spacing w:after="0" w:line="169" w:lineRule="exact"/>
        <w:rPr>
          <w:sz w:val="20"/>
          <w:szCs w:val="20"/>
          <w:color w:val="auto"/>
        </w:rPr>
      </w:pPr>
    </w:p>
    <w:p>
      <w:pPr>
        <w:jc w:val="both"/>
        <w:ind w:left="4"/>
        <w:spacing w:after="0" w:line="35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Cash Severance</w:t>
      </w:r>
      <w:r>
        <w:rPr>
          <w:rFonts w:ascii="Arial" w:cs="Arial" w:eastAsia="Arial" w:hAnsi="Arial"/>
          <w:sz w:val="16"/>
          <w:szCs w:val="16"/>
          <w:color w:val="auto"/>
        </w:rPr>
        <w:t>. Employee will be entitled to receive an amount equal to the sum of (i) the aggregate base salary and (ii) the Annual Bonus payments, if any, received by Employee during the 12-month period ending on the date of the Covered Termination, payable over a 12-month period in substantially equal installments in accordance with the Company’s normal payroll policies, less applicable withholdings, with such installments to commence in the first payroll period immediately following the date the Release (as defined below) becomes effective and non-revocable (so long as such Release becomes effective on or before the 60th day following the date of such Covered Termination).”</w:t>
      </w:r>
    </w:p>
    <w:p>
      <w:pPr>
        <w:spacing w:after="0" w:line="43" w:lineRule="exact"/>
        <w:rPr>
          <w:sz w:val="20"/>
          <w:szCs w:val="20"/>
          <w:color w:val="auto"/>
        </w:rPr>
      </w:pPr>
    </w:p>
    <w:p>
      <w:pPr>
        <w:jc w:val="both"/>
        <w:ind w:left="4" w:hanging="4"/>
        <w:spacing w:after="0" w:line="339" w:lineRule="auto"/>
        <w:tabs>
          <w:tab w:leader="none" w:pos="652" w:val="left"/>
        </w:tabs>
        <w:numPr>
          <w:ilvl w:val="0"/>
          <w:numId w:val="43"/>
        </w:numPr>
        <w:rPr>
          <w:rFonts w:ascii="Arial" w:cs="Arial" w:eastAsia="Arial" w:hAnsi="Arial"/>
          <w:sz w:val="16"/>
          <w:szCs w:val="16"/>
          <w:color w:val="auto"/>
        </w:rPr>
      </w:pPr>
      <w:r>
        <w:rPr>
          <w:rFonts w:ascii="Arial" w:cs="Arial" w:eastAsia="Arial" w:hAnsi="Arial"/>
          <w:sz w:val="16"/>
          <w:szCs w:val="16"/>
          <w:b w:val="1"/>
          <w:bCs w:val="1"/>
          <w:u w:val="single" w:color="auto"/>
          <w:color w:val="auto"/>
        </w:rPr>
        <w:t>Date of Effectiveness; Limited Effect</w:t>
      </w:r>
      <w:r>
        <w:rPr>
          <w:rFonts w:ascii="Arial" w:cs="Arial" w:eastAsia="Arial" w:hAnsi="Arial"/>
          <w:sz w:val="16"/>
          <w:szCs w:val="16"/>
          <w:color w:val="auto"/>
        </w:rPr>
        <w:t>. This Amendment will be deemed effective as of the date first written above (the “</w:t>
      </w:r>
      <w:r>
        <w:rPr>
          <w:rFonts w:ascii="Arial" w:cs="Arial" w:eastAsia="Arial" w:hAnsi="Arial"/>
          <w:sz w:val="16"/>
          <w:szCs w:val="16"/>
          <w:b w:val="1"/>
          <w:bCs w:val="1"/>
          <w:i w:val="1"/>
          <w:iCs w:val="1"/>
          <w:color w:val="auto"/>
        </w:rPr>
        <w:t>Agreement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Except as expressly provided in this Amendment, all of the terms and provisions of the Existing Agreement are and will remain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and are hereby ratified and confirmed by the Parties. Without limiting the generality of the foregoing, the amendments contained herein will not be construed as an amendment to or waiver of any other provision of the Existing Agreement or as a waiver of or consent to any further or future action on the part of either Party that would require the waiver or consent of the other Party. On and after the Agreement</w:t>
      </w:r>
    </w:p>
    <w:p>
      <w:pPr>
        <w:ind w:left="4"/>
        <w:spacing w:after="0" w:line="324" w:lineRule="auto"/>
        <w:rPr>
          <w:rFonts w:ascii="Arial" w:cs="Arial" w:eastAsia="Arial" w:hAnsi="Arial"/>
          <w:sz w:val="16"/>
          <w:szCs w:val="16"/>
          <w:color w:val="auto"/>
        </w:rPr>
      </w:pPr>
      <w:r>
        <w:rPr>
          <w:rFonts w:ascii="Arial" w:cs="Arial" w:eastAsia="Arial" w:hAnsi="Arial"/>
          <w:sz w:val="18"/>
          <w:szCs w:val="18"/>
          <w:color w:val="auto"/>
        </w:rPr>
        <w:t>Effective Date, each reference in the Existing Agreement to “this Agreement,” “the Agreement,” “hereunder,” “hereof,” “herein,” or words of like import will mean and be a reference to the Existing Agreement as amended by this Amendment.</w:t>
      </w:r>
    </w:p>
    <w:p>
      <w:pPr>
        <w:spacing w:after="0" w:line="58" w:lineRule="exact"/>
        <w:rPr>
          <w:rFonts w:ascii="Arial" w:cs="Arial" w:eastAsia="Arial" w:hAnsi="Arial"/>
          <w:sz w:val="16"/>
          <w:szCs w:val="16"/>
          <w:color w:val="auto"/>
        </w:rPr>
      </w:pPr>
    </w:p>
    <w:p>
      <w:pPr>
        <w:ind w:left="644" w:hanging="644"/>
        <w:spacing w:after="0"/>
        <w:tabs>
          <w:tab w:leader="none" w:pos="644"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62" w:lineRule="exact"/>
        <w:rPr>
          <w:sz w:val="20"/>
          <w:szCs w:val="20"/>
          <w:color w:val="auto"/>
        </w:rPr>
      </w:pPr>
    </w:p>
    <w:p>
      <w:pPr>
        <w:ind w:left="4" w:hanging="4"/>
        <w:spacing w:after="0" w:line="324" w:lineRule="auto"/>
        <w:tabs>
          <w:tab w:leader="none" w:pos="64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Amendment is governed by and construed in accordance with the laws of the State of Illinois, without regard to the conflict of laws provisions of such State.</w:t>
      </w:r>
    </w:p>
    <w:p>
      <w:pPr>
        <w:spacing w:after="0" w:line="75" w:lineRule="exact"/>
        <w:rPr>
          <w:rFonts w:ascii="Arial" w:cs="Arial" w:eastAsia="Arial" w:hAnsi="Arial"/>
          <w:sz w:val="18"/>
          <w:szCs w:val="18"/>
          <w:color w:val="auto"/>
        </w:rPr>
      </w:pPr>
    </w:p>
    <w:p>
      <w:pPr>
        <w:ind w:left="4" w:hanging="4"/>
        <w:spacing w:after="0" w:line="324" w:lineRule="auto"/>
        <w:tabs>
          <w:tab w:leader="none" w:pos="6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Amendment shall inure to the benefit of and be binding upon each of the Parties and each of their respective permitted successors and permitted assigns.</w:t>
      </w:r>
    </w:p>
    <w:p>
      <w:pPr>
        <w:spacing w:after="0" w:line="62" w:lineRule="exact"/>
        <w:rPr>
          <w:rFonts w:ascii="Arial" w:cs="Arial" w:eastAsia="Arial" w:hAnsi="Arial"/>
          <w:sz w:val="18"/>
          <w:szCs w:val="18"/>
          <w:color w:val="auto"/>
        </w:rPr>
      </w:pPr>
    </w:p>
    <w:p>
      <w:pPr>
        <w:ind w:left="644" w:hanging="644"/>
        <w:spacing w:after="0"/>
        <w:tabs>
          <w:tab w:leader="none" w:pos="64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headings in this Amendment are for reference only and do not affect the interpretation of this Amendment.</w:t>
      </w:r>
    </w:p>
    <w:p>
      <w:pPr>
        <w:spacing w:after="0" w:line="157" w:lineRule="exact"/>
        <w:rPr>
          <w:rFonts w:ascii="Arial" w:cs="Arial" w:eastAsia="Arial" w:hAnsi="Arial"/>
          <w:sz w:val="18"/>
          <w:szCs w:val="18"/>
          <w:color w:val="auto"/>
        </w:rPr>
      </w:pPr>
    </w:p>
    <w:p>
      <w:pPr>
        <w:jc w:val="both"/>
        <w:ind w:left="4" w:hanging="4"/>
        <w:spacing w:after="0" w:line="318" w:lineRule="auto"/>
        <w:tabs>
          <w:tab w:leader="none" w:pos="6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Amendment may be executed in counterparts, each of which is deemed an original, but all of which constitute one and the same agreement. Delivery of an executed counterpart of this Amendment electronically or by facsimile shall be effective as delivery of an original executed counterpart of this Amendment.</w:t>
      </w:r>
    </w:p>
    <w:p>
      <w:pPr>
        <w:spacing w:after="0" w:line="68" w:lineRule="exact"/>
        <w:rPr>
          <w:rFonts w:ascii="Arial" w:cs="Arial" w:eastAsia="Arial" w:hAnsi="Arial"/>
          <w:sz w:val="18"/>
          <w:szCs w:val="18"/>
          <w:color w:val="auto"/>
        </w:rPr>
      </w:pPr>
    </w:p>
    <w:p>
      <w:pPr>
        <w:jc w:val="both"/>
        <w:ind w:left="4" w:hanging="4"/>
        <w:spacing w:after="0" w:line="310" w:lineRule="auto"/>
        <w:tabs>
          <w:tab w:leader="none" w:pos="64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Amendment constitutes the sole and entire agreement between the Parties with respect to the subject matter contained herein, and supersedes all prior and contemporaneous understandings, agreements, representations, and warranties, both written and oral, with respect to such subject matter.</w:t>
      </w:r>
    </w:p>
    <w:p>
      <w:pPr>
        <w:sectPr>
          <w:pgSz w:w="11900" w:h="16838" w:orient="portrait"/>
          <w:cols w:equalWidth="0" w:num="1">
            <w:col w:w="10584"/>
          </w:cols>
          <w:pgMar w:left="976" w:top="368"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10.21(A)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Amendment as of the date first written above.</w:t>
      </w:r>
    </w:p>
    <w:p>
      <w:pPr>
        <w:spacing w:after="0" w:line="15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ACCEL ENTERTAINMENT, INC.</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 Derek Harmer___________________</w:t>
      </w:r>
    </w:p>
    <w:p>
      <w:pPr>
        <w:spacing w:after="0" w:line="6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Derek Harmer</w:t>
      </w:r>
    </w:p>
    <w:p>
      <w:pPr>
        <w:spacing w:after="0" w:line="5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General Counsel and Chief Compliance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/s/Mark Phelan____________</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Mark Phelan</w:t>
      </w:r>
    </w:p>
    <w:p>
      <w:pPr>
        <w:sectPr>
          <w:pgSz w:w="11900" w:h="16838" w:orient="portrait"/>
          <w:cols w:equalWidth="0" w:num="1">
            <w:col w:w="11240"/>
          </w:cols>
          <w:pgMar w:left="320" w:top="368"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ACCEL ENTERTAINMENT,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SUBSIDIARIES OF THE REGISTRANT</w:t>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Name of Subsidiary</w:t>
            </w:r>
          </w:p>
        </w:tc>
        <w:tc>
          <w:tcPr>
            <w:tcW w:w="3880" w:type="dxa"/>
            <w:vAlign w:val="bottom"/>
          </w:tcPr>
          <w:p>
            <w:pPr>
              <w:spacing w:after="0"/>
              <w:rPr>
                <w:sz w:val="20"/>
                <w:szCs w:val="20"/>
                <w:color w:val="auto"/>
              </w:rPr>
            </w:pPr>
            <w:r>
              <w:rPr>
                <w:rFonts w:ascii="Arial" w:cs="Arial" w:eastAsia="Arial" w:hAnsi="Arial"/>
                <w:sz w:val="18"/>
                <w:szCs w:val="18"/>
                <w:color w:val="auto"/>
                <w:w w:val="97"/>
              </w:rPr>
              <w:t>State or Jurisdiction of Incorporation/Organization</w:t>
            </w:r>
          </w:p>
        </w:tc>
      </w:tr>
      <w:tr>
        <w:trPr>
          <w:trHeight w:val="250"/>
        </w:trPr>
        <w:tc>
          <w:tcPr>
            <w:tcW w:w="47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880" w:type="dxa"/>
            <w:vAlign w:val="bottom"/>
            <w:tcBorders>
              <w:top w:val="single" w:sz="8" w:color="auto"/>
            </w:tcBorders>
          </w:tcPr>
          <w:p>
            <w:pPr>
              <w:spacing w:after="0"/>
              <w:rPr>
                <w:sz w:val="21"/>
                <w:szCs w:val="21"/>
                <w:color w:val="auto"/>
              </w:rPr>
            </w:pPr>
          </w:p>
        </w:tc>
      </w:tr>
      <w:tr>
        <w:trPr>
          <w:trHeight w:val="27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Accel Abraham Facility, LLC</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Accel Entertainment LLC</w:t>
            </w:r>
          </w:p>
        </w:tc>
        <w:tc>
          <w:tcPr>
            <w:tcW w:w="38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Accel Entertainment Gaming, LLC</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Accel Entertainment Gaming (PA), LLC</w:t>
            </w:r>
          </w:p>
        </w:tc>
        <w:tc>
          <w:tcPr>
            <w:tcW w:w="388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7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Accel Entertainment Gaming (MO), LLC</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Missouri</w:t>
            </w: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Accel Momence Watseka LLC</w:t>
            </w:r>
          </w:p>
        </w:tc>
        <w:tc>
          <w:tcPr>
            <w:tcW w:w="38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Bulldog Holding, LLC</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Georgia</w:t>
            </w: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Bulldog Gaming, LLC</w:t>
            </w:r>
          </w:p>
        </w:tc>
        <w:tc>
          <w:tcPr>
            <w:tcW w:w="3880" w:type="dxa"/>
            <w:vAlign w:val="bottom"/>
          </w:tcPr>
          <w:p>
            <w:pPr>
              <w:spacing w:after="0"/>
              <w:rPr>
                <w:sz w:val="20"/>
                <w:szCs w:val="20"/>
                <w:color w:val="auto"/>
              </w:rPr>
            </w:pPr>
            <w:r>
              <w:rPr>
                <w:rFonts w:ascii="Arial" w:cs="Arial" w:eastAsia="Arial" w:hAnsi="Arial"/>
                <w:sz w:val="18"/>
                <w:szCs w:val="18"/>
                <w:color w:val="auto"/>
              </w:rPr>
              <w:t>Georgia</w:t>
            </w:r>
          </w:p>
        </w:tc>
      </w:tr>
      <w:tr>
        <w:trPr>
          <w:trHeight w:val="27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Century Gaming, Inc.</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Montana</w:t>
            </w: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Grand River Amusements LLC</w:t>
            </w:r>
          </w:p>
        </w:tc>
        <w:tc>
          <w:tcPr>
            <w:tcW w:w="3880" w:type="dxa"/>
            <w:vAlign w:val="bottom"/>
          </w:tcPr>
          <w:p>
            <w:pPr>
              <w:spacing w:after="0"/>
              <w:rPr>
                <w:sz w:val="20"/>
                <w:szCs w:val="20"/>
                <w:color w:val="auto"/>
              </w:rPr>
            </w:pPr>
            <w:r>
              <w:rPr>
                <w:rFonts w:ascii="Arial" w:cs="Arial" w:eastAsia="Arial" w:hAnsi="Arial"/>
                <w:sz w:val="18"/>
                <w:szCs w:val="18"/>
                <w:color w:val="auto"/>
              </w:rPr>
              <w:t>Illinois</w:t>
            </w:r>
          </w:p>
        </w:tc>
      </w:tr>
      <w:tr>
        <w:trPr>
          <w:trHeight w:val="27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Grand River Jackpot, LLC</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Grand Vision Gaming LLC</w:t>
            </w:r>
          </w:p>
        </w:tc>
        <w:tc>
          <w:tcPr>
            <w:tcW w:w="3880" w:type="dxa"/>
            <w:vAlign w:val="bottom"/>
          </w:tcPr>
          <w:p>
            <w:pPr>
              <w:spacing w:after="0"/>
              <w:rPr>
                <w:sz w:val="20"/>
                <w:szCs w:val="20"/>
                <w:color w:val="auto"/>
              </w:rPr>
            </w:pPr>
            <w:r>
              <w:rPr>
                <w:rFonts w:ascii="Arial" w:cs="Arial" w:eastAsia="Arial" w:hAnsi="Arial"/>
                <w:sz w:val="18"/>
                <w:szCs w:val="18"/>
                <w:color w:val="auto"/>
              </w:rPr>
              <w:t>Montana</w:t>
            </w:r>
          </w:p>
        </w:tc>
      </w:tr>
      <w:tr>
        <w:trPr>
          <w:trHeight w:val="27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Grizzly Hospitality Services, LLC</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Montana</w:t>
            </w: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Grizzly - Rendezvous Beverages, LLC</w:t>
            </w:r>
          </w:p>
        </w:tc>
        <w:tc>
          <w:tcPr>
            <w:tcW w:w="3880" w:type="dxa"/>
            <w:vAlign w:val="bottom"/>
          </w:tcPr>
          <w:p>
            <w:pPr>
              <w:spacing w:after="0"/>
              <w:rPr>
                <w:sz w:val="20"/>
                <w:szCs w:val="20"/>
                <w:color w:val="auto"/>
              </w:rPr>
            </w:pPr>
            <w:r>
              <w:rPr>
                <w:rFonts w:ascii="Arial" w:cs="Arial" w:eastAsia="Arial" w:hAnsi="Arial"/>
                <w:sz w:val="18"/>
                <w:szCs w:val="18"/>
                <w:color w:val="auto"/>
              </w:rPr>
              <w:t>Montana</w:t>
            </w:r>
          </w:p>
        </w:tc>
      </w:tr>
      <w:tr>
        <w:trPr>
          <w:trHeight w:val="27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Grizzly - Rendezvous, LLC</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Montana</w:t>
            </w: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Hawkeye Gaming, LLC</w:t>
            </w:r>
          </w:p>
        </w:tc>
        <w:tc>
          <w:tcPr>
            <w:tcW w:w="3880" w:type="dxa"/>
            <w:vAlign w:val="bottom"/>
          </w:tcPr>
          <w:p>
            <w:pPr>
              <w:spacing w:after="0"/>
              <w:rPr>
                <w:sz w:val="20"/>
                <w:szCs w:val="20"/>
                <w:color w:val="auto"/>
              </w:rPr>
            </w:pPr>
            <w:r>
              <w:rPr>
                <w:rFonts w:ascii="Arial" w:cs="Arial" w:eastAsia="Arial" w:hAnsi="Arial"/>
                <w:sz w:val="18"/>
                <w:szCs w:val="18"/>
                <w:color w:val="auto"/>
              </w:rPr>
              <w:t>Iowa</w:t>
            </w:r>
          </w:p>
        </w:tc>
      </w:tr>
      <w:tr>
        <w:trPr>
          <w:trHeight w:val="27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Husker Gaming, LLC</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Nebraska</w:t>
            </w: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Old North State Gaming, LLC</w:t>
            </w:r>
          </w:p>
        </w:tc>
        <w:tc>
          <w:tcPr>
            <w:tcW w:w="38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7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Rodeo Gaming, LLC</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Wyoming</w:t>
            </w: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United Coin Machine, Co.</w:t>
            </w:r>
          </w:p>
        </w:tc>
        <w:tc>
          <w:tcPr>
            <w:tcW w:w="3880" w:type="dxa"/>
            <w:vAlign w:val="bottom"/>
          </w:tcPr>
          <w:p>
            <w:pPr>
              <w:spacing w:after="0"/>
              <w:rPr>
                <w:sz w:val="20"/>
                <w:szCs w:val="20"/>
                <w:color w:val="auto"/>
              </w:rPr>
            </w:pPr>
            <w:r>
              <w:rPr>
                <w:rFonts w:ascii="Arial" w:cs="Arial" w:eastAsia="Arial" w:hAnsi="Arial"/>
                <w:sz w:val="18"/>
                <w:szCs w:val="18"/>
                <w:color w:val="auto"/>
              </w:rPr>
              <w:t>Nevada</w:t>
            </w:r>
          </w:p>
        </w:tc>
      </w:tr>
    </w:tbl>
    <w:p>
      <w:pPr>
        <w:sectPr>
          <w:pgSz w:w="11900" w:h="16838" w:orient="portrait"/>
          <w:cols w:equalWidth="0" w:num="1">
            <w:col w:w="10120"/>
          </w:cols>
          <w:pgMar w:left="1440" w:top="89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Exhibit 23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 (No. 333-236049) on Form S-8 and the registration statement (No. 333-236501) on Form S-3 of our reports dated March 1, 2023, with respect to the consolidated financial statements of Accel Entertainment, Inc. and the effectiveness of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ectPr>
          <w:pgSz w:w="11900" w:h="16838" w:orient="portrait"/>
          <w:cols w:equalWidth="0" w:num="1">
            <w:col w:w="11240"/>
          </w:cols>
          <w:pgMar w:left="320" w:top="895"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Andrew Rubenstein, certify that:</w:t>
      </w:r>
    </w:p>
    <w:p>
      <w:pPr>
        <w:spacing w:after="0" w:line="225"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Accel Entertainment, Inc.;</w:t>
      </w:r>
    </w:p>
    <w:p>
      <w:pPr>
        <w:spacing w:after="0" w:line="184" w:lineRule="exact"/>
        <w:rPr>
          <w:rFonts w:ascii="Arial" w:cs="Arial" w:eastAsia="Arial" w:hAnsi="Arial"/>
          <w:sz w:val="18"/>
          <w:szCs w:val="18"/>
          <w:color w:val="auto"/>
        </w:rPr>
      </w:pPr>
    </w:p>
    <w:p>
      <w:pPr>
        <w:ind w:firstLine="8"/>
        <w:spacing w:after="0" w:line="412" w:lineRule="auto"/>
        <w:tabs>
          <w:tab w:leader="none" w:pos="201"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firstLine="8"/>
        <w:spacing w:after="0" w:line="340" w:lineRule="auto"/>
        <w:tabs>
          <w:tab w:leader="none" w:pos="2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220" w:hanging="212"/>
        <w:spacing w:after="0"/>
        <w:tabs>
          <w:tab w:leader="none" w:pos="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w:t>
      </w:r>
    </w:p>
    <w:p>
      <w:pPr>
        <w:spacing w:after="0" w:line="74" w:lineRule="exact"/>
        <w:rPr>
          <w:rFonts w:ascii="Arial" w:cs="Arial" w:eastAsia="Arial" w:hAnsi="Arial"/>
          <w:sz w:val="17"/>
          <w:szCs w:val="17"/>
          <w:color w:val="auto"/>
        </w:rPr>
      </w:pPr>
    </w:p>
    <w:p>
      <w:pPr>
        <w:spacing w:after="0" w:line="324" w:lineRule="auto"/>
        <w:rPr>
          <w:rFonts w:ascii="Arial" w:cs="Arial" w:eastAsia="Arial" w:hAnsi="Arial"/>
          <w:sz w:val="17"/>
          <w:szCs w:val="17"/>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7"/>
          <w:szCs w:val="17"/>
          <w:color w:val="auto"/>
        </w:rPr>
      </w:pPr>
    </w:p>
    <w:p>
      <w:pPr>
        <w:jc w:val="both"/>
        <w:ind w:left="420" w:hanging="7"/>
        <w:spacing w:after="0" w:line="310" w:lineRule="auto"/>
        <w:tabs>
          <w:tab w:leader="none" w:pos="626"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Arial" w:cs="Arial" w:eastAsia="Arial" w:hAnsi="Arial"/>
          <w:sz w:val="18"/>
          <w:szCs w:val="18"/>
          <w:color w:val="auto"/>
        </w:rPr>
      </w:pPr>
    </w:p>
    <w:p>
      <w:pPr>
        <w:jc w:val="both"/>
        <w:ind w:left="420" w:hanging="7"/>
        <w:spacing w:after="0" w:line="310" w:lineRule="auto"/>
        <w:tabs>
          <w:tab w:leader="none" w:pos="65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Arial" w:cs="Arial" w:eastAsia="Arial" w:hAnsi="Arial"/>
          <w:sz w:val="18"/>
          <w:szCs w:val="18"/>
          <w:color w:val="auto"/>
        </w:rPr>
      </w:pPr>
    </w:p>
    <w:p>
      <w:pPr>
        <w:ind w:left="420" w:right="20" w:hanging="7"/>
        <w:spacing w:after="0" w:line="357" w:lineRule="auto"/>
        <w:tabs>
          <w:tab w:leader="none" w:pos="654"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7"/>
          <w:szCs w:val="17"/>
          <w:color w:val="auto"/>
        </w:rPr>
      </w:pPr>
    </w:p>
    <w:p>
      <w:pPr>
        <w:jc w:val="both"/>
        <w:ind w:left="420" w:hanging="7"/>
        <w:spacing w:after="0" w:line="318" w:lineRule="auto"/>
        <w:tabs>
          <w:tab w:leader="none" w:pos="6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firstLine="8"/>
        <w:spacing w:after="0" w:line="374" w:lineRule="auto"/>
        <w:tabs>
          <w:tab w:leader="none" w:pos="192"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Arial" w:cs="Arial" w:eastAsia="Arial" w:hAnsi="Arial"/>
          <w:sz w:val="17"/>
          <w:szCs w:val="17"/>
          <w:color w:val="auto"/>
        </w:rPr>
      </w:pPr>
    </w:p>
    <w:p>
      <w:pPr>
        <w:ind w:left="420" w:right="20" w:hanging="7"/>
        <w:spacing w:after="0" w:line="340" w:lineRule="auto"/>
        <w:tabs>
          <w:tab w:leader="none" w:pos="621"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20" w:hanging="7"/>
        <w:spacing w:after="0" w:line="340" w:lineRule="auto"/>
        <w:tabs>
          <w:tab w:leader="none" w:pos="62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84"/>
        </w:trPr>
        <w:tc>
          <w:tcPr>
            <w:tcW w:w="6260" w:type="dxa"/>
            <w:vAlign w:val="bottom"/>
          </w:tcPr>
          <w:p>
            <w:pPr>
              <w:spacing w:after="0"/>
              <w:rPr>
                <w:sz w:val="20"/>
                <w:szCs w:val="20"/>
                <w:color w:val="auto"/>
              </w:rPr>
            </w:pPr>
            <w:r>
              <w:rPr>
                <w:rFonts w:ascii="Arial" w:cs="Arial" w:eastAsia="Arial" w:hAnsi="Arial"/>
                <w:sz w:val="18"/>
                <w:szCs w:val="18"/>
                <w:color w:val="auto"/>
              </w:rPr>
              <w:t>Date: March 1, 2023</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Andrew Rubenstein</w:t>
            </w:r>
          </w:p>
        </w:tc>
      </w:tr>
      <w:tr>
        <w:trPr>
          <w:trHeight w:val="222"/>
        </w:trPr>
        <w:tc>
          <w:tcPr>
            <w:tcW w:w="626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Andrew Rubenstein</w:t>
            </w:r>
          </w:p>
        </w:tc>
      </w:tr>
      <w:tr>
        <w:trPr>
          <w:trHeight w:val="230"/>
        </w:trPr>
        <w:tc>
          <w:tcPr>
            <w:tcW w:w="626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ectPr>
          <w:pgSz w:w="11900" w:h="16838" w:orient="portrait"/>
          <w:cols w:equalWidth="0" w:num="1">
            <w:col w:w="11240"/>
          </w:cols>
          <w:pgMar w:left="320" w:top="949"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Mathew Ellis, certify that:</w:t>
      </w:r>
    </w:p>
    <w:p>
      <w:pPr>
        <w:spacing w:after="0" w:line="198"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Accel Entertainment, Inc.;</w:t>
      </w:r>
    </w:p>
    <w:p>
      <w:pPr>
        <w:spacing w:after="0" w:line="184" w:lineRule="exact"/>
        <w:rPr>
          <w:rFonts w:ascii="Arial" w:cs="Arial" w:eastAsia="Arial" w:hAnsi="Arial"/>
          <w:sz w:val="18"/>
          <w:szCs w:val="18"/>
          <w:color w:val="auto"/>
        </w:rPr>
      </w:pPr>
    </w:p>
    <w:p>
      <w:pPr>
        <w:ind w:firstLine="8"/>
        <w:spacing w:after="0" w:line="412" w:lineRule="auto"/>
        <w:tabs>
          <w:tab w:leader="none" w:pos="201"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firstLine="8"/>
        <w:spacing w:after="0" w:line="340" w:lineRule="auto"/>
        <w:tabs>
          <w:tab w:leader="none" w:pos="2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220" w:hanging="212"/>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w:t>
      </w:r>
    </w:p>
    <w:p>
      <w:pPr>
        <w:spacing w:after="0" w:line="74" w:lineRule="exact"/>
        <w:rPr>
          <w:rFonts w:ascii="Arial" w:cs="Arial" w:eastAsia="Arial" w:hAnsi="Arial"/>
          <w:sz w:val="17"/>
          <w:szCs w:val="17"/>
          <w:color w:val="auto"/>
        </w:rPr>
      </w:pPr>
    </w:p>
    <w:p>
      <w:pPr>
        <w:spacing w:after="0" w:line="324" w:lineRule="auto"/>
        <w:rPr>
          <w:rFonts w:ascii="Arial" w:cs="Arial" w:eastAsia="Arial" w:hAnsi="Arial"/>
          <w:sz w:val="17"/>
          <w:szCs w:val="17"/>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7"/>
          <w:szCs w:val="17"/>
          <w:color w:val="auto"/>
        </w:rPr>
      </w:pPr>
    </w:p>
    <w:p>
      <w:pPr>
        <w:jc w:val="both"/>
        <w:ind w:left="420" w:hanging="7"/>
        <w:spacing w:after="0" w:line="310" w:lineRule="auto"/>
        <w:tabs>
          <w:tab w:leader="none" w:pos="626"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Arial" w:cs="Arial" w:eastAsia="Arial" w:hAnsi="Arial"/>
          <w:sz w:val="18"/>
          <w:szCs w:val="18"/>
          <w:color w:val="auto"/>
        </w:rPr>
      </w:pPr>
    </w:p>
    <w:p>
      <w:pPr>
        <w:jc w:val="both"/>
        <w:ind w:left="420" w:hanging="7"/>
        <w:spacing w:after="0" w:line="310" w:lineRule="auto"/>
        <w:tabs>
          <w:tab w:leader="none" w:pos="65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Arial" w:cs="Arial" w:eastAsia="Arial" w:hAnsi="Arial"/>
          <w:sz w:val="18"/>
          <w:szCs w:val="18"/>
          <w:color w:val="auto"/>
        </w:rPr>
      </w:pPr>
    </w:p>
    <w:p>
      <w:pPr>
        <w:ind w:left="420" w:right="20" w:hanging="7"/>
        <w:spacing w:after="0" w:line="357" w:lineRule="auto"/>
        <w:tabs>
          <w:tab w:leader="none" w:pos="654"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7"/>
          <w:szCs w:val="17"/>
          <w:color w:val="auto"/>
        </w:rPr>
      </w:pPr>
    </w:p>
    <w:p>
      <w:pPr>
        <w:jc w:val="both"/>
        <w:ind w:left="420" w:hanging="7"/>
        <w:spacing w:after="0" w:line="318" w:lineRule="auto"/>
        <w:tabs>
          <w:tab w:leader="none" w:pos="63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firstLine="8"/>
        <w:spacing w:after="0" w:line="374" w:lineRule="auto"/>
        <w:tabs>
          <w:tab w:leader="none" w:pos="19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Arial" w:cs="Arial" w:eastAsia="Arial" w:hAnsi="Arial"/>
          <w:sz w:val="17"/>
          <w:szCs w:val="17"/>
          <w:color w:val="auto"/>
        </w:rPr>
      </w:pPr>
    </w:p>
    <w:p>
      <w:pPr>
        <w:ind w:left="420" w:right="20" w:hanging="7"/>
        <w:spacing w:after="0" w:line="340" w:lineRule="auto"/>
        <w:tabs>
          <w:tab w:leader="none" w:pos="621"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20" w:hanging="7"/>
        <w:spacing w:after="0" w:line="340" w:lineRule="auto"/>
        <w:tabs>
          <w:tab w:leader="none" w:pos="62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284"/>
        </w:trPr>
        <w:tc>
          <w:tcPr>
            <w:tcW w:w="5220" w:type="dxa"/>
            <w:vAlign w:val="bottom"/>
          </w:tcPr>
          <w:p>
            <w:pPr>
              <w:spacing w:after="0"/>
              <w:rPr>
                <w:sz w:val="20"/>
                <w:szCs w:val="20"/>
                <w:color w:val="auto"/>
              </w:rPr>
            </w:pPr>
            <w:r>
              <w:rPr>
                <w:rFonts w:ascii="Arial" w:cs="Arial" w:eastAsia="Arial" w:hAnsi="Arial"/>
                <w:sz w:val="18"/>
                <w:szCs w:val="18"/>
                <w:color w:val="auto"/>
              </w:rPr>
              <w:t>Date: March 1, 2023</w:t>
            </w:r>
          </w:p>
        </w:tc>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Mathew Ellis</w:t>
            </w:r>
          </w:p>
        </w:tc>
      </w:tr>
      <w:tr>
        <w:trPr>
          <w:trHeight w:val="222"/>
        </w:trPr>
        <w:tc>
          <w:tcPr>
            <w:tcW w:w="5220" w:type="dxa"/>
            <w:vAlign w:val="bottom"/>
          </w:tcPr>
          <w:p>
            <w:pPr>
              <w:spacing w:after="0"/>
              <w:rPr>
                <w:sz w:val="19"/>
                <w:szCs w:val="19"/>
                <w:color w:val="auto"/>
              </w:rPr>
            </w:pPr>
          </w:p>
        </w:tc>
        <w:tc>
          <w:tcPr>
            <w:tcW w:w="5880" w:type="dxa"/>
            <w:vAlign w:val="bottom"/>
          </w:tcPr>
          <w:p>
            <w:pPr>
              <w:ind w:left="20"/>
              <w:spacing w:after="0"/>
              <w:rPr>
                <w:sz w:val="20"/>
                <w:szCs w:val="20"/>
                <w:color w:val="auto"/>
              </w:rPr>
            </w:pPr>
            <w:r>
              <w:rPr>
                <w:rFonts w:ascii="Arial" w:cs="Arial" w:eastAsia="Arial" w:hAnsi="Arial"/>
                <w:sz w:val="18"/>
                <w:szCs w:val="18"/>
                <w:color w:val="auto"/>
              </w:rPr>
              <w:t>Mathew Ellis</w:t>
            </w:r>
          </w:p>
        </w:tc>
      </w:tr>
      <w:tr>
        <w:trPr>
          <w:trHeight w:val="230"/>
        </w:trPr>
        <w:tc>
          <w:tcPr>
            <w:tcW w:w="5220" w:type="dxa"/>
            <w:vAlign w:val="bottom"/>
          </w:tcPr>
          <w:p>
            <w:pPr>
              <w:spacing w:after="0"/>
              <w:rPr>
                <w:sz w:val="20"/>
                <w:szCs w:val="20"/>
                <w:color w:val="auto"/>
              </w:rPr>
            </w:pPr>
          </w:p>
        </w:tc>
        <w:tc>
          <w:tcPr>
            <w:tcW w:w="588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bl>
    <w:p>
      <w:pPr>
        <w:sectPr>
          <w:pgSz w:w="11900" w:h="16838" w:orient="portrait"/>
          <w:cols w:equalWidth="0" w:num="1">
            <w:col w:w="11240"/>
          </w:cols>
          <w:pgMar w:left="320" w:top="949"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Principal Executive Officer</w:t>
      </w:r>
    </w:p>
    <w:p>
      <w:pPr>
        <w:spacing w:after="0" w:line="229"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In connection with the Annual Report on Form 10-K of Accel Entertainment, Inc. (the “Company”) for the year ended December 31, 2022 as filed with the Securities and Exchange Commission on the date hereof (the “Report”), I, Andrew Rubenstein, Chief Executive Officer of the Company, certify, to the best of my knowledge and belief, pursuant to 18 U.S.C. § 1350, as adopted pursuant to § 906 of the Sarbanes-Oxley Act of 2002, that:</w:t>
      </w:r>
    </w:p>
    <w:p>
      <w:pPr>
        <w:spacing w:after="0" w:line="111" w:lineRule="exact"/>
        <w:rPr>
          <w:sz w:val="20"/>
          <w:szCs w:val="20"/>
          <w:color w:val="auto"/>
        </w:rPr>
      </w:pPr>
    </w:p>
    <w:p>
      <w:pPr>
        <w:ind w:left="1300" w:hanging="523"/>
        <w:spacing w:after="0" w:line="324" w:lineRule="auto"/>
        <w:tabs>
          <w:tab w:leader="none" w:pos="129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78m(a) or 78o(d)); and</w:t>
      </w:r>
    </w:p>
    <w:p>
      <w:pPr>
        <w:spacing w:after="0" w:line="129" w:lineRule="exact"/>
        <w:rPr>
          <w:rFonts w:ascii="Arial" w:cs="Arial" w:eastAsia="Arial" w:hAnsi="Arial"/>
          <w:sz w:val="18"/>
          <w:szCs w:val="18"/>
          <w:color w:val="auto"/>
        </w:rPr>
      </w:pPr>
    </w:p>
    <w:p>
      <w:pPr>
        <w:ind w:left="1300" w:hanging="523"/>
        <w:spacing w:after="0" w:line="324" w:lineRule="auto"/>
        <w:tabs>
          <w:tab w:leader="none" w:pos="129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Andrew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17487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Andrew Rubenstein</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(Principal</w:t>
      </w:r>
    </w:p>
    <w:p>
      <w:pPr>
        <w:ind w:left="20"/>
        <w:spacing w:after="0"/>
        <w:rPr>
          <w:sz w:val="20"/>
          <w:szCs w:val="20"/>
          <w:color w:val="auto"/>
        </w:rPr>
      </w:pPr>
      <w:r>
        <w:rPr>
          <w:rFonts w:ascii="Arial" w:cs="Arial" w:eastAsia="Arial" w:hAnsi="Arial"/>
          <w:sz w:val="18"/>
          <w:szCs w:val="18"/>
          <w:color w:val="auto"/>
        </w:rPr>
        <w:t>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2023</w:t>
      </w:r>
    </w:p>
    <w:p>
      <w:pPr>
        <w:spacing w:after="0" w:line="212"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Annual Report on Form 10-K), irrespective of any general incorporation language contained in such filing.</w:t>
      </w:r>
    </w:p>
    <w:p>
      <w:pPr>
        <w:sectPr>
          <w:pgSz w:w="11900" w:h="16838" w:orient="portrait"/>
          <w:cols w:equalWidth="0" w:num="1">
            <w:col w:w="11240"/>
          </w:cols>
          <w:pgMar w:left="320" w:top="949"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Principal Financial Officer</w:t>
      </w:r>
    </w:p>
    <w:p>
      <w:pPr>
        <w:spacing w:after="0" w:line="229"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In connection with the Annual Report on Form 10-K of Accel Entertainment, Inc. (the “Company”) for the year ended December 31, 2022 as filed with the Securities and Exchange Commission on the date hereof (the “Report”), I, Mathew Ellis, Chief Financial Officer of the Company, certify, to the best of my knowledge and belief, pursuant to 18 U.S.C. § 1350, as adopted pursuant to § 906 of the Sarbanes-Oxley Act of 2002, that:</w:t>
      </w:r>
    </w:p>
    <w:p>
      <w:pPr>
        <w:spacing w:after="0" w:line="111" w:lineRule="exact"/>
        <w:rPr>
          <w:sz w:val="20"/>
          <w:szCs w:val="20"/>
          <w:color w:val="auto"/>
        </w:rPr>
      </w:pPr>
    </w:p>
    <w:p>
      <w:pPr>
        <w:ind w:left="1300" w:hanging="523"/>
        <w:spacing w:after="0" w:line="324" w:lineRule="auto"/>
        <w:tabs>
          <w:tab w:leader="none" w:pos="129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78m(a) or 78o(d)); and</w:t>
      </w:r>
    </w:p>
    <w:p>
      <w:pPr>
        <w:spacing w:after="0" w:line="129" w:lineRule="exact"/>
        <w:rPr>
          <w:rFonts w:ascii="Arial" w:cs="Arial" w:eastAsia="Arial" w:hAnsi="Arial"/>
          <w:sz w:val="18"/>
          <w:szCs w:val="18"/>
          <w:color w:val="auto"/>
        </w:rPr>
      </w:pPr>
    </w:p>
    <w:p>
      <w:pPr>
        <w:ind w:left="1300" w:hanging="523"/>
        <w:spacing w:after="0" w:line="324" w:lineRule="auto"/>
        <w:tabs>
          <w:tab w:leader="none" w:pos="129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Mathew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38747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Mathew Ellis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(Principal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2023</w:t>
      </w:r>
    </w:p>
    <w:p>
      <w:pPr>
        <w:spacing w:after="0" w:line="239"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Annual Report on Form 10-K), irrespective of any general incorporation language contained in such filing.</w:t>
      </w:r>
    </w:p>
    <w:sectPr>
      <w:pgSz w:w="11900" w:h="16838" w:orient="portrait"/>
      <w:cols w:equalWidth="0" w:num="1">
        <w:col w:w="11240"/>
      </w:cols>
      <w:pgMar w:left="320" w:top="9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upperLetter"/>
      <w:start w:val="6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lvl w:ilvl="1">
      <w:lvlJc w:val="left"/>
      <w:lvlText w:val="•"/>
      <w:numFmt w:val="bullet"/>
      <w:start w:val="1"/>
    </w:lvl>
  </w:abstractNum>
  <w:abstractNum w:abstractNumId="19">
    <w:nsid w:val="614FD4A1"/>
    <w:multiLevelType w:val="hybridMultilevel"/>
    <w:lvl w:ilvl="0">
      <w:lvlJc w:val="left"/>
      <w:lvlText w:val="•"/>
      <w:numFmt w:val="bullet"/>
      <w:start w:val="1"/>
    </w:lvl>
    <w:lvl w:ilvl="1">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2"/>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1)"/>
      <w:numFmt w:val="lowerLetter"/>
      <w:start w:val="1"/>
    </w:lvl>
    <w:lvl w:ilvl="1">
      <w:lvlJc w:val="left"/>
      <w:lvlText w:val="(%2)"/>
      <w:numFmt w:val="decimal"/>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4"/>
    </w:lvl>
  </w:abstractNum>
  <w:abstractNum w:abstractNumId="40">
    <w:nsid w:val="2CD89A32"/>
    <w:multiLevelType w:val="hybridMultilevel"/>
    <w:lvl w:ilvl="0">
      <w:lvlJc w:val="left"/>
      <w:lvlText w:val="%1."/>
      <w:numFmt w:val="decimal"/>
      <w:start w:val="5"/>
    </w:lvl>
  </w:abstractNum>
  <w:abstractNum w:abstractNumId="41">
    <w:nsid w:val="57E4CCAF"/>
    <w:multiLevelType w:val="hybridMultilevel"/>
    <w:lvl w:ilvl="0">
      <w:lvlJc w:val="left"/>
      <w:lvlText w:val="%1."/>
      <w:numFmt w:val="decimal"/>
      <w:start w:val="7"/>
    </w:lvl>
  </w:abstractNum>
  <w:abstractNum w:abstractNumId="42">
    <w:nsid w:val="7A6D8D3C"/>
    <w:multiLevelType w:val="hybridMultilevel"/>
    <w:lvl w:ilvl="0">
      <w:lvlJc w:val="left"/>
      <w:lvlText w:val="%1."/>
      <w:numFmt w:val="decimal"/>
      <w:start w:val="8"/>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111" Type="http://schemas.openxmlformats.org/officeDocument/2006/relationships/image" Target="media/image70.png"/><Relationship Id="rId113" Type="http://schemas.openxmlformats.org/officeDocument/2006/relationships/image" Target="media/image71.png"/><Relationship Id="rId114" Type="http://schemas.openxmlformats.org/officeDocument/2006/relationships/image" Target="media/image72.png"/><Relationship Id="rId115" Type="http://schemas.openxmlformats.org/officeDocument/2006/relationships/image" Target="media/image73.png"/><Relationship Id="rId116" Type="http://schemas.openxmlformats.org/officeDocument/2006/relationships/image" Target="media/image74.png"/><Relationship Id="rId117" Type="http://schemas.openxmlformats.org/officeDocument/2006/relationships/image" Target="media/image75.png"/><Relationship Id="rId118" Type="http://schemas.openxmlformats.org/officeDocument/2006/relationships/image" Target="media/image76.png"/><Relationship Id="rId119" Type="http://schemas.openxmlformats.org/officeDocument/2006/relationships/image" Target="media/image77.png"/><Relationship Id="rId120" Type="http://schemas.openxmlformats.org/officeDocument/2006/relationships/image" Target="media/image78.png"/><Relationship Id="rId121" Type="http://schemas.openxmlformats.org/officeDocument/2006/relationships/image" Target="media/image79.png"/><Relationship Id="rId122" Type="http://schemas.openxmlformats.org/officeDocument/2006/relationships/image" Target="media/image80.png"/><Relationship Id="rId123" Type="http://schemas.openxmlformats.org/officeDocument/2006/relationships/image" Target="media/image81.png"/><Relationship Id="rId124" Type="http://schemas.openxmlformats.org/officeDocument/2006/relationships/image" Target="media/image82.png"/><Relationship Id="rId125" Type="http://schemas.openxmlformats.org/officeDocument/2006/relationships/image" Target="media/image83.png"/><Relationship Id="rId126" Type="http://schemas.openxmlformats.org/officeDocument/2006/relationships/image" Target="media/image84.png"/><Relationship Id="rId127" Type="http://schemas.openxmlformats.org/officeDocument/2006/relationships/image" Target="media/image85.png"/><Relationship Id="rId128" Type="http://schemas.openxmlformats.org/officeDocument/2006/relationships/image" Target="media/image86.png"/><Relationship Id="rId129" Type="http://schemas.openxmlformats.org/officeDocument/2006/relationships/image" Target="media/image87.png"/><Relationship Id="rId130" Type="http://schemas.openxmlformats.org/officeDocument/2006/relationships/image" Target="media/image88.png"/><Relationship Id="rId131" Type="http://schemas.openxmlformats.org/officeDocument/2006/relationships/image" Target="media/image89.png"/><Relationship Id="rId132" Type="http://schemas.openxmlformats.org/officeDocument/2006/relationships/image" Target="media/image90.png"/><Relationship Id="rId133" Type="http://schemas.openxmlformats.org/officeDocument/2006/relationships/image" Target="media/image91.png"/><Relationship Id="rId134" Type="http://schemas.openxmlformats.org/officeDocument/2006/relationships/image" Target="media/image92.png"/><Relationship Id="rId135" Type="http://schemas.openxmlformats.org/officeDocument/2006/relationships/image" Target="media/image93.png"/><Relationship Id="rId136" Type="http://schemas.openxmlformats.org/officeDocument/2006/relationships/image" Target="media/image94.png"/><Relationship Id="rId137" Type="http://schemas.openxmlformats.org/officeDocument/2006/relationships/image" Target="media/image95.png"/><Relationship Id="rId138" Type="http://schemas.openxmlformats.org/officeDocument/2006/relationships/image" Target="media/image96.png"/><Relationship Id="rId139" Type="http://schemas.openxmlformats.org/officeDocument/2006/relationships/image" Target="media/image97.png"/><Relationship Id="rId140" Type="http://schemas.openxmlformats.org/officeDocument/2006/relationships/image" Target="media/image98.png"/><Relationship Id="rId141" Type="http://schemas.openxmlformats.org/officeDocument/2006/relationships/image" Target="media/image99.png"/><Relationship Id="rId142"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154" Type="http://schemas.openxmlformats.org/officeDocument/2006/relationships/image" Target="media/image112.png"/><Relationship Id="rId155"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75" Type="http://schemas.openxmlformats.org/officeDocument/2006/relationships/hyperlink" Target="http://www.sec.gov/Archives/edgar/data/1698991/000119312519300390/d835322dex32.htm" TargetMode="External"/><Relationship Id="rId76" Type="http://schemas.openxmlformats.org/officeDocument/2006/relationships/hyperlink" Target="http://www.sec.gov/Archives/edgar/data/1698991/000119312519300390/d835322dex33.htm" TargetMode="External"/><Relationship Id="rId77" Type="http://schemas.openxmlformats.org/officeDocument/2006/relationships/hyperlink" Target="http://www.sec.gov/Archives/edgar/data/1698991/000169899120000017/bylawamendment.htm" TargetMode="External"/><Relationship Id="rId78" Type="http://schemas.openxmlformats.org/officeDocument/2006/relationships/hyperlink" Target="http://www.sec.gov/Archives/edgar/data/1698991/000169899120000006/accelexhibit41.htm" TargetMode="External"/><Relationship Id="rId79" Type="http://schemas.openxmlformats.org/officeDocument/2006/relationships/hyperlink" Target="http://www.sec.gov/Archives/edgar/data/1698991/000119312519286278/d815661dex101.htm" TargetMode="External"/><Relationship Id="rId80" Type="http://schemas.openxmlformats.org/officeDocument/2006/relationships/hyperlink" Target="http://www.sec.gov/Archives/edgar/data/1698991/000119312519286278/d815661dex991.htm" TargetMode="External"/><Relationship Id="rId81" Type="http://schemas.openxmlformats.org/officeDocument/2006/relationships/hyperlink" Target="http://www.sec.gov/Archives/edgar/data/1698991/000119312519300390/d835322dex101.htm" TargetMode="External"/><Relationship Id="rId82" Type="http://schemas.openxmlformats.org/officeDocument/2006/relationships/hyperlink" Target="http://www.sec.gov/Archives/edgar/data/1698991/000119312520013549/d834269dex44.htm" TargetMode="External"/><Relationship Id="rId83" Type="http://schemas.openxmlformats.org/officeDocument/2006/relationships/hyperlink" Target="http://www.sec.gov/Archives/edgar/data/1698991/000119312520013549/d834269dex45.htm" TargetMode="External"/><Relationship Id="rId84" Type="http://schemas.openxmlformats.org/officeDocument/2006/relationships/hyperlink" Target="http://www.sec.gov/Archives/edgar/data/1698991/000119312519300390/d835322dex102.htm" TargetMode="External"/><Relationship Id="rId85" Type="http://schemas.openxmlformats.org/officeDocument/2006/relationships/hyperlink" Target="http://www.sec.gov/Archives/edgar/data/1698991/000119312519300390/d835322dex103.htm" TargetMode="External"/><Relationship Id="rId86" Type="http://schemas.openxmlformats.org/officeDocument/2006/relationships/hyperlink" Target="http://www.sec.gov/Archives/edgar/data/1698991/000119312519300390/d835322dex104.htm" TargetMode="External"/><Relationship Id="rId87" Type="http://schemas.openxmlformats.org/officeDocument/2006/relationships/hyperlink" Target="http://www.sec.gov/Archives/edgar/data/1698991/000119312519300390/d835322dex105.htm" TargetMode="External"/><Relationship Id="rId88" Type="http://schemas.openxmlformats.org/officeDocument/2006/relationships/hyperlink" Target="http://www.sec.gov/Archives/edgar/data/1698991/000119312519300390/d835322dex106.htm" TargetMode="External"/><Relationship Id="rId89" Type="http://schemas.openxmlformats.org/officeDocument/2006/relationships/hyperlink" Target="http://www.sec.gov/Archives/edgar/data/1698991/000119312519291768/d834301dex101.htm" TargetMode="External"/><Relationship Id="rId90" Type="http://schemas.openxmlformats.org/officeDocument/2006/relationships/hyperlink" Target="http://www.sec.gov/Archives/edgar/data/1698991/000169899120000038/accelexecutedamendmentno.htm" TargetMode="External"/><Relationship Id="rId93" Type="http://schemas.openxmlformats.org/officeDocument/2006/relationships/hyperlink" Target="http://www.sec.gov/Archives/edgar/data/0001698991/000169899121000033/accel-amendmentno2edgar.htm" TargetMode="External"/><Relationship Id="rId94" Type="http://schemas.openxmlformats.org/officeDocument/2006/relationships/hyperlink" Target="http://www.sec.gov/Archives/edgar/data/0001698991/000119312519263573/d763688dex1016.htm" TargetMode="External"/><Relationship Id="rId95" Type="http://schemas.openxmlformats.org/officeDocument/2006/relationships/hyperlink" Target="http://www.sec.gov/Archives/edgar/data/1698991/000169899120000031/exhibit1010a.htm" TargetMode="External"/><Relationship Id="rId96" Type="http://schemas.openxmlformats.org/officeDocument/2006/relationships/hyperlink" Target="http://www.sec.gov/Archives/edgar/data/0001698991/000119312519263573/d763688dex1017.htm" TargetMode="External"/><Relationship Id="rId97" Type="http://schemas.openxmlformats.org/officeDocument/2006/relationships/hyperlink" Target="http://www.sec.gov/Archives/edgar/data/1698991/000169899120000031/exhibit1011a.htm" TargetMode="External"/><Relationship Id="rId98" Type="http://schemas.openxmlformats.org/officeDocument/2006/relationships/hyperlink" Target="http://www.sec.gov/Archives/edgar/data/0001698991/000119312519263573/d763688dex1018.htm" TargetMode="External"/><Relationship Id="rId99" Type="http://schemas.openxmlformats.org/officeDocument/2006/relationships/hyperlink" Target="http://www.sec.gov/Archives/edgar/data/1698991/000169899120000031/exhibt1012a.htm" TargetMode="External"/><Relationship Id="rId100" Type="http://schemas.openxmlformats.org/officeDocument/2006/relationships/hyperlink" Target="http://www.sec.gov/Archives/edgar/data/0001698991/000169899121000039/bcarrollemploymentagreemen.htm" TargetMode="External"/><Relationship Id="rId101" Type="http://schemas.openxmlformats.org/officeDocument/2006/relationships/hyperlink" Target="http://www.sec.gov/Archives/edgar/data/1698991/000169899120000004/exhibit1013.htm" TargetMode="External"/><Relationship Id="rId102" Type="http://schemas.openxmlformats.org/officeDocument/2006/relationships/hyperlink" Target="http://www.sec.gov/Archives/edgar/data/1698991/000169899120000004/exhibit1014.htm" TargetMode="External"/><Relationship Id="rId103" Type="http://schemas.openxmlformats.org/officeDocument/2006/relationships/hyperlink" Target="http://www.sec.gov/Archives/edgar/data/1698991/000169899120000004/exhibit1015.htm" TargetMode="External"/><Relationship Id="rId104" Type="http://schemas.openxmlformats.org/officeDocument/2006/relationships/hyperlink" Target="http://www.sec.gov/Archives/edgar/data/0001698991/000169899120000006/accelphelanexecutedemplo.htm" TargetMode="External"/><Relationship Id="rId105" Type="http://schemas.openxmlformats.org/officeDocument/2006/relationships/hyperlink" Target="http://www.sec.gov/Archives/edgar/data/0001698991/000169899120000006/accelmmarinoemploymentag.htm" TargetMode="External"/><Relationship Id="rId106" Type="http://schemas.openxmlformats.org/officeDocument/2006/relationships/hyperlink" Target="http://www.sec.gov/Archives/edgar/data/1698991/000169899122000043/exh1017aseparationagreemen.htm" TargetMode="External"/><Relationship Id="rId107" Type="http://schemas.openxmlformats.org/officeDocument/2006/relationships/hyperlink" Target="http://www.sec.gov/Archives/edgar/data/0001698991/000169899120000006/accelrhammeremploymentag.htm" TargetMode="External"/><Relationship Id="rId108" Type="http://schemas.openxmlformats.org/officeDocument/2006/relationships/hyperlink" Target="http://www.sec.gov/Archives/edgar/data/1698991/000169899120000035/tenderandexchangeagreeme.htm" TargetMode="External"/><Relationship Id="rId109" Type="http://schemas.openxmlformats.org/officeDocument/2006/relationships/hyperlink" Target="http://www.sec.gov/Archives/edgar/data/1698991/000119312521065707/d113303dex101.htm" TargetMode="External"/><Relationship Id="rId110" Type="http://schemas.openxmlformats.org/officeDocument/2006/relationships/hyperlink" Target="http://www.sec.gov/Archives/edgar/data/0001698991/000169899121000020/exhibit1021employmentagree.htm" TargetMode="External"/><Relationship Id="rId112" Type="http://schemas.openxmlformats.org/officeDocument/2006/relationships/hyperlink" Target="http://www.sec.gov/Archives/edgar/data/1698991/000169899122000017/accelex1022ellisemploy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2023-03-01T18:17:29Z</dcterms:created>
  <dcterms:modified xsi:type="dcterms:W3CDTF">2023-03-01T18:17:29Z</dcterms:modified>
</cp:coreProperties>
</file>