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color w:val="000000"/>
          <w:sz w:val="24"/>
        </w:rPr>
        <w:t>For the quarterly period ended March 31, 2024</w:t>
      </w:r>
      <w:r>
        <w:rPr>
          <w:color w:val="00000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May 6, 2024, there were 83,746,192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2024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7"/>
        <w:gridCol w:w="269"/>
        <w:gridCol w:w="272"/>
        <w:gridCol w:w="3018"/>
        <w:gridCol w:w="2979"/>
        <w:gridCol w:w="2986"/>
        <w:gridCol w:w="109"/>
        <w:gridCol w:w="109"/>
        <w:gridCol w:w="156"/>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0">
              <w:r>
                <w:rPr>
                  <w:rStyle w:val="InternetLink"/>
                  <w:rFonts w:ascii="Times New Roman;sans-serif" w:hAnsi="Times New Roman;sans-serif"/>
                  <w:b/>
                  <w:strike w:val="false"/>
                  <w:dstrike w:val="false"/>
                  <w:color w:val="000000"/>
                  <w:sz w:val="20"/>
                  <w:u w:val="none"/>
                  <w:effect w:val="non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0">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3">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6">
              <w:r>
                <w:rPr>
                  <w:rStyle w:val="InternetLink"/>
                  <w:rFonts w:ascii="Times New Roman;sans-serif" w:hAnsi="Times New Roman;sans-serif"/>
                  <w:b w:val="false"/>
                  <w:strike w:val="false"/>
                  <w:dstrike w:val="false"/>
                  <w:color w:val="0000FF"/>
                  <w:sz w:val="20"/>
                  <w:u w:val="none"/>
                  <w:effect w:val="none"/>
                </w:rPr>
                <w:t>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as of March 31, 2024 (Unaudited) and December 31,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9">
              <w:r>
                <w:rPr>
                  <w:rStyle w:val="InternetLink"/>
                  <w:rFonts w:ascii="Times New Roman;sans-serif" w:hAnsi="Times New Roman;sans-serif"/>
                  <w:b w:val="false"/>
                  <w:strike w:val="false"/>
                  <w:dstrike w:val="false"/>
                  <w:color w:val="0000FF"/>
                  <w:sz w:val="20"/>
                  <w:u w:val="none"/>
                  <w:effect w:val="none"/>
                </w:rPr>
                <w:t>2</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22">
              <w:r>
                <w:rPr>
                  <w:rStyle w:val="InternetLink"/>
                  <w:rFonts w:ascii="Times New Roman;sans-serif" w:hAnsi="Times New Roman;sans-serif"/>
                  <w:b w:val="false"/>
                  <w:strike w:val="false"/>
                  <w:dstrike w:val="false"/>
                  <w:color w:val="0000FF"/>
                  <w:sz w:val="20"/>
                  <w:u w:val="none"/>
                  <w:effect w:val="none"/>
                </w:rPr>
                <w:t>3</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three months ended March 31, 2024 and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25">
              <w:r>
                <w:rPr>
                  <w:rStyle w:val="InternetLink"/>
                  <w:rFonts w:ascii="Times New Roman;sans-serif" w:hAnsi="Times New Roman;sans-serif"/>
                  <w:b w:val="false"/>
                  <w:strike w:val="false"/>
                  <w:dstrike w:val="false"/>
                  <w:color w:val="0000FF"/>
                  <w:sz w:val="20"/>
                  <w:u w:val="none"/>
                  <w:effect w:val="none"/>
                </w:rPr>
                <w:t>4</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28">
              <w:r>
                <w:rPr>
                  <w:rStyle w:val="InternetLink"/>
                  <w:rFonts w:ascii="Times New Roman;sans-serif" w:hAnsi="Times New Roman;sans-serif"/>
                  <w:b w:val="false"/>
                  <w:strike w:val="false"/>
                  <w:dstrike w:val="false"/>
                  <w:color w:val="0000FF"/>
                  <w:sz w:val="20"/>
                  <w:u w:val="none"/>
                  <w:effect w:val="none"/>
                </w:rPr>
                <w:t>6</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9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91">
              <w:r>
                <w:rPr>
                  <w:rStyle w:val="InternetLink"/>
                  <w:rFonts w:ascii="Times New Roman;sans-serif" w:hAnsi="Times New Roman;sans-serif"/>
                  <w:b w:val="false"/>
                  <w:strike w:val="false"/>
                  <w:dstrike w:val="false"/>
                  <w:color w:val="0000FF"/>
                  <w:sz w:val="20"/>
                  <w:u w:val="none"/>
                  <w:effect w:val="none"/>
                </w:rPr>
                <w:t>21</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21">
              <w:r>
                <w:rPr>
                  <w:rStyle w:val="InternetLink"/>
                  <w:rFonts w:ascii="Times New Roman;sans-serif" w:hAnsi="Times New Roman;sans-serif"/>
                  <w:b w:val="false"/>
                  <w:strike w:val="false"/>
                  <w:dstrike w:val="false"/>
                  <w:color w:val="0000FF"/>
                  <w:sz w:val="20"/>
                  <w:u w:val="none"/>
                  <w:effect w:val="none"/>
                </w:rPr>
                <w:t>30</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24">
              <w:r>
                <w:rPr>
                  <w:rStyle w:val="InternetLink"/>
                  <w:rFonts w:ascii="Times New Roman;sans-serif" w:hAnsi="Times New Roman;sans-serif"/>
                  <w:b w:val="false"/>
                  <w:strike w:val="false"/>
                  <w:dstrike w:val="false"/>
                  <w:color w:val="0000FF"/>
                  <w:sz w:val="20"/>
                  <w:u w:val="none"/>
                  <w:effect w:val="none"/>
                </w:rPr>
                <w:t>31</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27">
              <w:r>
                <w:rPr>
                  <w:rStyle w:val="InternetLink"/>
                  <w:rFonts w:ascii="Times New Roman;sans-serif" w:hAnsi="Times New Roman;sans-serif"/>
                  <w:b/>
                  <w:strike w:val="false"/>
                  <w:dstrike w:val="false"/>
                  <w:color w:val="000000"/>
                  <w:sz w:val="20"/>
                  <w:u w:val="none"/>
                  <w:effect w:val="non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27">
              <w:r>
                <w:rPr>
                  <w:rStyle w:val="InternetLink"/>
                  <w:rFonts w:ascii="Times New Roman;sans-serif" w:hAnsi="Times New Roman;sans-serif"/>
                  <w:b w:val="false"/>
                  <w:strike w:val="false"/>
                  <w:dstrike w:val="false"/>
                  <w:color w:val="0000FF"/>
                  <w:sz w:val="20"/>
                  <w:u w:val="none"/>
                  <w:effect w:val="none"/>
                </w:rPr>
                <w:t>32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30">
              <w:r>
                <w:rPr>
                  <w:rStyle w:val="InternetLink"/>
                  <w:rFonts w:ascii="Times New Roman;sans-serif" w:hAnsi="Times New Roman;sans-serif"/>
                  <w:b w:val="false"/>
                  <w:strike w:val="false"/>
                  <w:dstrike w:val="false"/>
                  <w:color w:val="0000FF"/>
                  <w:sz w:val="20"/>
                  <w:u w:val="none"/>
                  <w:effect w:val="none"/>
                </w:rPr>
                <w:t>32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33">
              <w:r>
                <w:rPr>
                  <w:rStyle w:val="InternetLink"/>
                  <w:rFonts w:ascii="Times New Roman;sans-serif" w:hAnsi="Times New Roman;sans-serif"/>
                  <w:b w:val="false"/>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33">
              <w:r>
                <w:rPr>
                  <w:rStyle w:val="InternetLink"/>
                  <w:rFonts w:ascii="Times New Roman;sans-serif" w:hAnsi="Times New Roman;sans-serif"/>
                  <w:b w:val="false"/>
                  <w:strike w:val="false"/>
                  <w:dstrike w:val="false"/>
                  <w:color w:val="0000FF"/>
                  <w:sz w:val="20"/>
                  <w:u w:val="none"/>
                  <w:effect w:val="none"/>
                </w:rPr>
                <w:t>32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36">
              <w:r>
                <w:rPr>
                  <w:rStyle w:val="InternetLink"/>
                  <w:rFonts w:ascii="Times New Roman;sans-serif" w:hAnsi="Times New Roman;sans-serif"/>
                  <w:b w:val="false"/>
                  <w:strike w:val="false"/>
                  <w:dstrike w:val="false"/>
                  <w:color w:val="000080"/>
                  <w:sz w:val="20"/>
                  <w:u w:val="single"/>
                  <w:effect w:val="none"/>
                </w:rPr>
                <w:t>UNREGISTERED SALES OF EQUITY SECURITIES</w:t>
              </w:r>
            </w:hyperlink>
            <w:hyperlink w:anchor="ie3ac993cf6be409593ecc31fcbe95abd_136">
              <w:r>
                <w:rPr>
                  <w:rStyle w:val="InternetLink"/>
                  <w:rFonts w:ascii="Times New Roman;sans-serif" w:hAnsi="Times New Roman;sans-serif"/>
                  <w:b w:val="false"/>
                  <w:strike w:val="false"/>
                  <w:dstrike w:val="false"/>
                  <w:color w:val="000080"/>
                  <w:sz w:val="20"/>
                  <w:u w:val="single"/>
                  <w:effect w:val="none"/>
                </w:rPr>
                <w:t xml:space="preserve"> AND </w:t>
              </w:r>
            </w:hyperlink>
            <w:hyperlink w:anchor="ie3ac993cf6be409593ecc31fcbe95abd_136">
              <w:r>
                <w:rPr>
                  <w:rStyle w:val="InternetLink"/>
                  <w:rFonts w:ascii="Times New Roman;sans-serif" w:hAnsi="Times New Roman;sans-serif"/>
                  <w:b w:val="false"/>
                  <w:strike w:val="false"/>
                  <w:dstrike w:val="false"/>
                  <w:color w:val="000080"/>
                  <w:sz w:val="20"/>
                  <w:u w:val="single"/>
                  <w:effect w:val="none"/>
                </w:rPr>
                <w:t>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36">
              <w:r>
                <w:rPr>
                  <w:rStyle w:val="InternetLink"/>
                  <w:rFonts w:ascii="Times New Roman;sans-serif" w:hAnsi="Times New Roman;sans-serif"/>
                  <w:b w:val="false"/>
                  <w:strike w:val="false"/>
                  <w:dstrike w:val="false"/>
                  <w:color w:val="0000FF"/>
                  <w:sz w:val="20"/>
                  <w:u w:val="none"/>
                  <w:effect w:val="none"/>
                </w:rPr>
                <w:t>32</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39">
              <w:r>
                <w:rPr>
                  <w:rStyle w:val="InternetLink"/>
                  <w:rFonts w:ascii="Times New Roman;sans-serif" w:hAnsi="Times New Roman;sans-serif"/>
                  <w:b w:val="false"/>
                  <w:strike w:val="false"/>
                  <w:dstrike w:val="false"/>
                  <w:color w:val="0000FF"/>
                  <w:sz w:val="20"/>
                  <w:u w:val="none"/>
                  <w:effect w:val="none"/>
                </w:rPr>
                <w:t>33</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42">
              <w:r>
                <w:rPr>
                  <w:rStyle w:val="InternetLink"/>
                  <w:rFonts w:ascii="Times New Roman;sans-serif" w:hAnsi="Times New Roman;sans-serif"/>
                  <w:b w:val="false"/>
                  <w:strike w:val="false"/>
                  <w:dstrike w:val="false"/>
                  <w:color w:val="0000FF"/>
                  <w:sz w:val="20"/>
                  <w:u w:val="none"/>
                  <w:effect w:val="none"/>
                </w:rPr>
                <w:t>33</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ac993cf6be409593ecc31fcbe95abd_145">
              <w:r>
                <w:rPr>
                  <w:rStyle w:val="InternetLink"/>
                  <w:rFonts w:ascii="Times New Roman;sans-serif" w:hAnsi="Times New Roman;sans-serif"/>
                  <w:b w:val="false"/>
                  <w:strike w:val="false"/>
                  <w:dstrike w:val="false"/>
                  <w:color w:val="0000FF"/>
                  <w:sz w:val="20"/>
                  <w:u w:val="none"/>
                  <w:effect w:val="none"/>
                </w:rPr>
                <w:t>33</w:t>
              </w:r>
            </w:hyperlink>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48">
              <w:r>
                <w:rPr>
                  <w:rStyle w:val="InternetLink"/>
                  <w:rFonts w:ascii="Times New Roman;sans-serif" w:hAnsi="Times New Roman;sans-serif"/>
                  <w:b w:val="false"/>
                  <w:strike w:val="false"/>
                  <w:dstrike w:val="false"/>
                  <w:color w:val="000000"/>
                  <w:sz w:val="20"/>
                  <w:u w:val="none"/>
                  <w:effect w:val="non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3ac993cf6be409593ecc31fcbe95abd_148">
              <w:r>
                <w:rPr>
                  <w:rStyle w:val="InternetLink"/>
                  <w:rFonts w:ascii="Times New Roman;sans-serif" w:hAnsi="Times New Roman;sans-serif"/>
                  <w:b w:val="false"/>
                  <w:strike w:val="false"/>
                  <w:dstrike w:val="false"/>
                  <w:color w:val="0000FF"/>
                  <w:sz w:val="20"/>
                  <w:u w:val="none"/>
                  <w:effect w:val="none"/>
                </w:rPr>
                <w:t>34</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3ac993cf6be409593ecc31fcbe95abd_151">
              <w:r>
                <w:rPr>
                  <w:rStyle w:val="InternetLink"/>
                  <w:rFonts w:ascii="Times New Roman;sans-serif" w:hAnsi="Times New Roman;sans-serif"/>
                  <w:b w:val="false"/>
                  <w:strike w:val="false"/>
                  <w:dstrike w:val="false"/>
                  <w:color w:val="000000"/>
                  <w:sz w:val="20"/>
                  <w:u w:val="none"/>
                  <w:effect w:val="non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ac993cf6be409593ecc31fcbe95abd_151">
              <w:r>
                <w:rPr>
                  <w:rStyle w:val="InternetLink"/>
                  <w:rFonts w:ascii="Times New Roman;sans-serif" w:hAnsi="Times New Roman;sans-serif"/>
                  <w:b w:val="false"/>
                  <w:strike w:val="false"/>
                  <w:dstrike w:val="false"/>
                  <w:color w:val="0000FF"/>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345" w:before="0" w:after="1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24"/>
        <w:gridCol w:w="2233"/>
        <w:gridCol w:w="2247"/>
        <w:gridCol w:w="211"/>
        <w:gridCol w:w="826"/>
        <w:gridCol w:w="109"/>
        <w:gridCol w:w="109"/>
        <w:gridCol w:w="109"/>
        <w:gridCol w:w="109"/>
        <w:gridCol w:w="211"/>
        <w:gridCol w:w="826"/>
        <w:gridCol w:w="109"/>
        <w:gridCol w:w="109"/>
        <w:gridCol w:w="109"/>
        <w:gridCol w:w="109"/>
        <w:gridCol w:w="155"/>
      </w:tblGrid>
      <w:tr>
        <w:trPr/>
        <w:tc>
          <w:tcPr>
            <w:tcW w:w="2624"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 (loss) on interest rate caplets (net of income taxes of $405 and $(829),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3205"/>
        <w:gridCol w:w="2254"/>
        <w:gridCol w:w="2270"/>
        <w:gridCol w:w="196"/>
        <w:gridCol w:w="736"/>
        <w:gridCol w:w="109"/>
        <w:gridCol w:w="109"/>
        <w:gridCol w:w="109"/>
        <w:gridCol w:w="109"/>
        <w:gridCol w:w="199"/>
        <w:gridCol w:w="750"/>
        <w:gridCol w:w="159"/>
      </w:tblGrid>
      <w:tr>
        <w:trPr/>
        <w:tc>
          <w:tcPr>
            <w:tcW w:w="320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260,813 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March 31, 2024 and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95,266,660 shares issued and 83,778,268 shares outstanding at March 31, 2024; 95,016,960 shares issued and 84,123,385 shares outstanding at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7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84,123,385 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(10,893,575)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83,778,268 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(11,488,392)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3"/>
        <w:gridCol w:w="443"/>
        <w:gridCol w:w="186"/>
        <w:gridCol w:w="109"/>
        <w:gridCol w:w="109"/>
        <w:gridCol w:w="109"/>
        <w:gridCol w:w="196"/>
        <w:gridCol w:w="661"/>
        <w:gridCol w:w="109"/>
        <w:gridCol w:w="109"/>
        <w:gridCol w:w="109"/>
        <w:gridCol w:w="109"/>
        <w:gridCol w:w="243"/>
        <w:gridCol w:w="804"/>
        <w:gridCol w:w="139"/>
        <w:gridCol w:w="109"/>
        <w:gridCol w:w="109"/>
        <w:gridCol w:w="109"/>
        <w:gridCol w:w="210"/>
        <w:gridCol w:w="693"/>
        <w:gridCol w:w="118"/>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86,674,390 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(7,829,661)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86,444,825 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(8,306,379)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Advances against a portion of the purchase price on a pending business acquisition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(decrease) increase in cash and cash equivalents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253,919 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228,529 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purchase price</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(“U.S.”). The Company has operations in Illinois, Montana, Nevada, Nebraska, Georgia, Iowa, and Pennsylvania. The Company is subject to the various gaming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restaurants, bars, taverns, convenience stores, liquor stores, truck stops, and grocery stores.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 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2023 </w:t>
      </w:r>
      <w:r>
        <w:rPr>
          <w:rFonts w:ascii="Times New Roman;sans-serif" w:hAnsi="Times New Roman;sans-serif"/>
          <w:b w:val="false"/>
          <w:color w:val="000000"/>
          <w:sz w:val="20"/>
          <w:shd w:fill="FFFFFF" w:val="clear"/>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warrants, the valuation of interest rate caplets, contingencies, and the expected term of share-based compensation awards and stock price volatility when computing stock-based compensation expense. Actual results may differ from those estimates.</w:t>
      </w:r>
    </w:p>
    <w:p>
      <w:pPr>
        <w:pStyle w:val="TextBody"/>
        <w:bidi w:val="0"/>
        <w:spacing w:lineRule="auto" w:line="345" w:before="180" w:after="283"/>
        <w:jc w:val="both"/>
        <w:rPr/>
      </w:pPr>
      <w:r>
        <w:rPr>
          <w:rFonts w:ascii="Times New Roman;sans-serif" w:hAnsi="Times New Roman;sans-serif"/>
          <w:b/>
          <w:color w:val="000000"/>
          <w:sz w:val="20"/>
          <w:shd w:fill="FFFFFF" w:val="clear"/>
        </w:rPr>
        <w:t>Segment information</w:t>
      </w:r>
      <w:r>
        <w:rPr>
          <w:rFonts w:ascii="Times New Roman;sans-serif" w:hAnsi="Times New Roman;sans-serif"/>
          <w:b w:val="false"/>
          <w:color w:val="000000"/>
          <w:sz w:val="20"/>
          <w:shd w:fill="FFFFFF" w:val="clear"/>
        </w:rPr>
        <w:t>: The Company operates as a single reportable segment. The Company’s chief operating decision maker (“CODM”) is the chief executive officer, who has ultimate responsibility for the operating performance of the Company and the allocation of its resources. The CODM assesses the Company’s performance and allocates resources based on consolidated results, and this is the only discrete financial information that is regularly reviewed by the CODM.</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generates revenues from the following types of services: gaming terminals, amusements, and ATMs. The Company also generates manufacturing revenue from the sales of gaming terminals and associated software. Revenue is disaggregated by type of revenue and is presented on the face of the condensed consolidated statements of operations and comprehensive income. </w:t>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Total net revenues for the three months ended </w:t>
      </w:r>
      <w:r>
        <w:rPr>
          <w:rFonts w:ascii="Times New Roman;sans-serif" w:hAnsi="Times New Roman;sans-serif"/>
          <w:b w:val="false"/>
          <w:color w:val="000000"/>
          <w:sz w:val="20"/>
        </w:rPr>
        <w:t>March 31,</w:t>
      </w:r>
      <w:r>
        <w:rPr>
          <w:color w:val="000000"/>
          <w:shd w:fill="FFFFFF" w:val="clear"/>
        </w:rPr>
        <w:t xml:space="preserve"> </w:t>
      </w:r>
      <w:r>
        <w:rPr>
          <w:rFonts w:ascii="Times New Roman;sans-serif" w:hAnsi="Times New Roman;sans-serif"/>
          <w:b w:val="false"/>
          <w:color w:val="000000"/>
          <w:sz w:val="20"/>
          <w:shd w:fill="FFFFFF" w:val="clear"/>
        </w:rPr>
        <w:t>2024 and 2023 are further disaggregated by the primary states in which the Company operates.</w:t>
      </w:r>
    </w:p>
    <w:tbl>
      <w:tblPr>
        <w:tblW w:w="5486"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09"/>
        <w:gridCol w:w="109"/>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i/>
          <w:color w:val="000000"/>
          <w:sz w:val="20"/>
          <w:shd w:fill="FFFFFF" w:val="clear"/>
        </w:rPr>
        <w:t>: </w:t>
      </w:r>
      <w:r>
        <w:rPr>
          <w:rFonts w:ascii="Times New Roman;sans-serif" w:hAnsi="Times New Roman;sans-serif"/>
          <w:b w:val="false"/>
          <w:color w:val="000000"/>
          <w:sz w:val="20"/>
          <w:shd w:fill="FFFFFF" w:val="clear"/>
        </w:rPr>
        <w:t xml:space="preserve">On November 27, 2023, the Financial Accounting Standards Board </w:t>
      </w:r>
      <w:r>
        <w:rPr>
          <w:rFonts w:ascii="Times New Roman;sans-serif" w:hAnsi="Times New Roman;sans-serif"/>
          <w:b w:val="false"/>
          <w:color w:val="000000"/>
          <w:sz w:val="20"/>
        </w:rPr>
        <w:t>(“FASB”) is</w:t>
      </w:r>
      <w:r>
        <w:rPr>
          <w:rFonts w:ascii="Times New Roman;sans-serif" w:hAnsi="Times New Roman;sans-serif"/>
          <w:b w:val="false"/>
          <w:color w:val="000000"/>
          <w:sz w:val="20"/>
          <w:shd w:fill="FFFFFF" w:val="clear"/>
        </w:rPr>
        <w:t>sued Accounting Standards Update (</w:t>
      </w:r>
      <w:r>
        <w:rPr>
          <w:color w:val="000000"/>
        </w:rPr>
        <w:t>“</w:t>
      </w:r>
      <w:r>
        <w:rPr>
          <w:rFonts w:ascii="Times New Roman;sans-serif" w:hAnsi="Times New Roman;sans-serif"/>
          <w:b w:val="false"/>
          <w:color w:val="000000"/>
          <w:sz w:val="20"/>
        </w:rPr>
        <w:t xml:space="preserve">ASU”) </w:t>
      </w:r>
      <w:r>
        <w:rPr>
          <w:rFonts w:ascii="Times New Roman;sans-serif" w:hAnsi="Times New Roman;sans-serif"/>
          <w:b w:val="false"/>
          <w:color w:val="000000"/>
          <w:sz w:val="20"/>
          <w:shd w:fill="FFFFFF" w:val="clear"/>
        </w:rPr>
        <w:t xml:space="preserve">2023-07, </w:t>
      </w:r>
      <w:r>
        <w:rPr>
          <w:rFonts w:ascii="Times New Roman;sans-serif" w:hAnsi="Times New Roman;sans-serif"/>
          <w:b w:val="false"/>
          <w:i/>
          <w:color w:val="000000"/>
          <w:sz w:val="20"/>
          <w:shd w:fill="FFFFFF" w:val="clear"/>
        </w:rPr>
        <w:t>Segment Reporting (Topic 280)</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Improvements to Reportable Segment Disclosures,</w:t>
      </w:r>
      <w:r>
        <w:rPr>
          <w:color w:val="000000"/>
          <w:shd w:fill="FFFFFF" w:val="clear"/>
        </w:rPr>
        <w:t xml:space="preserve"> </w:t>
      </w:r>
      <w:r>
        <w:rPr>
          <w:rFonts w:ascii="Times New Roman;sans-serif" w:hAnsi="Times New Roman;sans-serif"/>
          <w:b w:val="false"/>
          <w:color w:val="000000"/>
          <w:sz w:val="20"/>
          <w:shd w:fill="FFFFFF" w:val="clear"/>
        </w:rPr>
        <w:t>which requires public entities to disclose information about their reportable segments’ significant expenses regularly provided to the 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Entities must adopt the changes to the segment reporting guidance on a retrospective basis.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On December 14, 2023, the FASB issued ASU 2023-09, </w:t>
      </w:r>
      <w:r>
        <w:rPr>
          <w:rFonts w:ascii="Times New Roman;sans-serif" w:hAnsi="Times New Roman;sans-serif"/>
          <w:b w:val="false"/>
          <w:i/>
          <w:color w:val="000000"/>
          <w:sz w:val="20"/>
          <w:shd w:fill="FFFFFF" w:val="clear"/>
        </w:rPr>
        <w:t>Income Taxes (Topic 740): Improvements to Income Tax Disclosures</w:t>
      </w:r>
      <w:r>
        <w:rPr>
          <w:rFonts w:ascii="Times New Roman;sans-serif" w:hAnsi="Times New Roman;sans-serif"/>
          <w:b w:val="false"/>
          <w:color w:val="000000"/>
          <w:sz w:val="20"/>
          <w:shd w:fill="FFFFFF" w:val="clear"/>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Inventories consist of the following as of</w:t>
      </w:r>
      <w:r>
        <w:rPr>
          <w:color w:val="000000"/>
        </w:rPr>
        <w:t xml:space="preserve">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and December 31, 2023</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625" w:type="dxa"/>
        <w:jc w:val="center"/>
        <w:tblInd w:w="0" w:type="dxa"/>
        <w:tblLayout w:type="fixed"/>
        <w:tblCellMar>
          <w:top w:w="28" w:type="dxa"/>
          <w:left w:w="28" w:type="dxa"/>
          <w:bottom w:w="28" w:type="dxa"/>
          <w:right w:w="28" w:type="dxa"/>
        </w:tblCellMar>
      </w:tblPr>
      <w:tblGrid>
        <w:gridCol w:w="1287"/>
        <w:gridCol w:w="1132"/>
        <w:gridCol w:w="1135"/>
        <w:gridCol w:w="220"/>
        <w:gridCol w:w="642"/>
        <w:gridCol w:w="113"/>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8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March 31, 2024 and December 31,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no inventory valuation allowance was determined to be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Amusements, Inc. (“Gold Rush”), another terminal operator in Illinois, entered into a settlement agreement which resolved any and all lawsuits and all outstanding obligations under the Company’s investment in Gold Rush’s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a receivable from Gold Rush of $1.4 million as of </w:t>
      </w:r>
      <w:r>
        <w:rPr>
          <w:rFonts w:ascii="Times New Roman;sans-serif" w:hAnsi="Times New Roman;sans-serif"/>
          <w:b w:val="false"/>
          <w:color w:val="000000"/>
          <w:sz w:val="20"/>
          <w:shd w:fill="FFFFFF" w:val="clear"/>
        </w:rPr>
        <w:t xml:space="preserve">March 31, 2024, </w:t>
      </w:r>
      <w:r>
        <w:rPr>
          <w:rFonts w:ascii="Times New Roman;sans-serif" w:hAnsi="Times New Roman;sans-serif"/>
          <w:b w:val="false"/>
          <w:color w:val="000000"/>
          <w:sz w:val="20"/>
        </w:rPr>
        <w:t xml:space="preserve">which represents the present value of the remaining $1.5 million due from Gold Rush by May 2025, and is presented within other assets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Property and equipment consist of the following as of</w:t>
      </w:r>
      <w:r>
        <w:rPr>
          <w:color w:val="000000"/>
        </w:rPr>
        <w:t xml:space="preserve">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and December 31, 2023</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827" w:type="dxa"/>
        <w:jc w:val="center"/>
        <w:tblInd w:w="0" w:type="dxa"/>
        <w:tblLayout w:type="fixed"/>
        <w:tblCellMar>
          <w:top w:w="28" w:type="dxa"/>
          <w:left w:w="28" w:type="dxa"/>
          <w:bottom w:w="28" w:type="dxa"/>
          <w:right w:w="28" w:type="dxa"/>
        </w:tblCellMar>
      </w:tblPr>
      <w:tblGrid>
        <w:gridCol w:w="1467"/>
        <w:gridCol w:w="1287"/>
        <w:gridCol w:w="1296"/>
        <w:gridCol w:w="211"/>
        <w:gridCol w:w="826"/>
        <w:gridCol w:w="109"/>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software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Amusement, ATM and other equipment</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462,960 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(202,147)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260,813 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Depreciation and amortization of property and equipment was $10.4 million and </w:t>
      </w:r>
      <w:r>
        <w:rPr>
          <w:rFonts w:ascii="Times New Roman;sans-serif" w:hAnsi="Times New Roman;sans-serif"/>
          <w:b w:val="false"/>
          <w:color w:val="000000"/>
          <w:sz w:val="20"/>
        </w:rPr>
        <w:t>$9.1 million</w:t>
      </w:r>
      <w:r>
        <w:rPr>
          <w:color w:val="000000"/>
          <w:shd w:fill="FFFFFF" w:val="clear"/>
        </w:rPr>
        <w:t xml:space="preserve">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$7.1 million and $7.4 million as of March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 respectively. Payments are due over varying terms of the individual agreements and are discounted at the Company’s incremental borrowing rate associated with its long-term debt at the time the contract is acquired. The net present value of payments due was $6.2 million and $6.5 million as of March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 respectively, of which approximately $1.5 million was included in current liabilities in the accompanying condensed consolidated balance sheets as of both March 31, 2024</w:t>
      </w:r>
      <w:r>
        <w:rPr>
          <w:color w:val="000000"/>
        </w:rPr>
        <w:t xml:space="preserve"> </w:t>
      </w:r>
      <w:r>
        <w:rPr>
          <w:rFonts w:ascii="Times New Roman;sans-serif" w:hAnsi="Times New Roman;sans-serif"/>
          <w:b w:val="false"/>
          <w:color w:val="000000"/>
          <w:sz w:val="20"/>
          <w:shd w:fill="FFFFFF" w:val="clear"/>
        </w:rPr>
        <w:t>and December 31, 2023. The route and customer acquisition cost asset was comprised of payments made on the contracts of $21.7 million and $20.0 million as of March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 respectively. The Company has upfront payments of commissions paid to the third parties for the acquisition of the customer contracts that are subject to a clawback provision if the customer cancels the contract prior to completion. The payments subject to a clawback were $1.0 million as of both March 31,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consisted of the following as of March 31, 2024 and December 31, 2023 (in thousands):</w:t>
      </w:r>
    </w:p>
    <w:tbl>
      <w:tblPr>
        <w:tblW w:w="6167" w:type="dxa"/>
        <w:jc w:val="center"/>
        <w:tblInd w:w="0" w:type="dxa"/>
        <w:tblLayout w:type="fixed"/>
        <w:tblCellMar>
          <w:top w:w="28" w:type="dxa"/>
          <w:left w:w="28" w:type="dxa"/>
          <w:bottom w:w="28" w:type="dxa"/>
          <w:right w:w="28" w:type="dxa"/>
        </w:tblCellMar>
      </w:tblPr>
      <w:tblGrid>
        <w:gridCol w:w="1260"/>
        <w:gridCol w:w="1111"/>
        <w:gridCol w:w="1123"/>
        <w:gridCol w:w="211"/>
        <w:gridCol w:w="721"/>
        <w:gridCol w:w="109"/>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$0.5 million and $0.4 million for the three months ended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acquisition at fair value based on an income approach. Location contracts acquired consisted of the following as of March 31, 2024 and December 31, 2023 (in thousands):</w:t>
      </w:r>
    </w:p>
    <w:tbl>
      <w:tblPr>
        <w:tblW w:w="5506" w:type="dxa"/>
        <w:jc w:val="center"/>
        <w:tblInd w:w="0" w:type="dxa"/>
        <w:tblLayout w:type="fixed"/>
        <w:tblCellMar>
          <w:top w:w="28" w:type="dxa"/>
          <w:left w:w="28" w:type="dxa"/>
          <w:bottom w:w="28" w:type="dxa"/>
          <w:right w:w="28" w:type="dxa"/>
        </w:tblCellMar>
      </w:tblPr>
      <w:tblGrid>
        <w:gridCol w:w="984"/>
        <w:gridCol w:w="868"/>
        <w:gridCol w:w="877"/>
        <w:gridCol w:w="211"/>
        <w:gridCol w:w="826"/>
        <w:gridCol w:w="109"/>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Amortization expense of location contracts acquired was </w:t>
      </w:r>
      <w:r>
        <w:rPr>
          <w:rFonts w:ascii="Times New Roman;sans-serif" w:hAnsi="Times New Roman;sans-serif"/>
          <w:b w:val="false"/>
          <w:color w:val="000000"/>
          <w:sz w:val="20"/>
        </w:rPr>
        <w:t xml:space="preserve">$4.3 million for both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months ended March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acquired various companies which were accounted for as a business combination using the acquisition method of accounting in accordance with </w:t>
      </w:r>
      <w:r>
        <w:rPr>
          <w:rFonts w:ascii="Times New Roman;sans-serif" w:hAnsi="Times New Roman;sans-serif"/>
          <w:b w:val="false"/>
          <w:color w:val="000000"/>
          <w:sz w:val="20"/>
          <w:shd w:fill="FFFFFF" w:val="clear"/>
        </w:rPr>
        <w:t>Accounting Standards Codification (“ASC”) Topic 805, </w:t>
      </w:r>
      <w:r>
        <w:rPr>
          <w:rFonts w:ascii="Times New Roman;sans-serif" w:hAnsi="Times New Roman;sans-serif"/>
          <w:b w:val="false"/>
          <w:i/>
          <w:color w:val="000000"/>
          <w:sz w:val="20"/>
          <w:shd w:fill="FFFFFF" w:val="clear"/>
        </w:rPr>
        <w:t xml:space="preserve">Business Combinations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Topic 805</w:t>
      </w:r>
      <w:r>
        <w:rPr>
          <w:color w:val="000000"/>
        </w:rPr>
        <w:t>”</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The total excess of the purchase price over the tangible and intangible assets acquired and liabilities assumed was recorded as goodwill of $101.6 million as of both March 31, 2024 and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of which $38.0 million was deductible for tax purposes as of March 31, 2024.</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definite-lived trade names, customer relationships, and software applications.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the following as of March 31, 2024 and December 31, 2023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Amortization expense of other intangible assets was </w:t>
      </w:r>
      <w:r>
        <w:rPr>
          <w:rFonts w:ascii="Times New Roman;sans-serif" w:hAnsi="Times New Roman;sans-serif"/>
          <w:b w:val="false"/>
          <w:color w:val="000000"/>
          <w:sz w:val="20"/>
        </w:rPr>
        <w:t xml:space="preserve">$0.6 million for both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months ended March 31, 2024 and 2023.</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Indefinite-lived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The Company also has indefinite-lived intangible assets related to operating licenses totaling $3.7 million and $2.8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 respectively, which are recorded within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March 31, 2024 and December 31, 2023, consisted of the following (in thousands):</w:t>
      </w:r>
    </w:p>
    <w:tbl>
      <w:tblPr>
        <w:tblW w:w="8124" w:type="dxa"/>
        <w:jc w:val="center"/>
        <w:tblInd w:w="0" w:type="dxa"/>
        <w:tblLayout w:type="fixed"/>
        <w:tblCellMar>
          <w:top w:w="28" w:type="dxa"/>
          <w:left w:w="28" w:type="dxa"/>
          <w:bottom w:w="28" w:type="dxa"/>
          <w:right w:w="28" w:type="dxa"/>
        </w:tblCellMar>
      </w:tblPr>
      <w:tblGrid>
        <w:gridCol w:w="1975"/>
        <w:gridCol w:w="1739"/>
        <w:gridCol w:w="1746"/>
        <w:gridCol w:w="211"/>
        <w:gridCol w:w="826"/>
        <w:gridCol w:w="109"/>
        <w:gridCol w:w="109"/>
        <w:gridCol w:w="109"/>
        <w:gridCol w:w="109"/>
        <w:gridCol w:w="211"/>
        <w:gridCol w:w="82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Remaining premium on interest rate caplets financed as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 weighted-average interest rate on the Company’s borrowings was approximately 7.7%.</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the 1-month LIBOR/SOFR interest rates on the first $300 million of the term loan under the Company’s existing credit agreement, as amended, by entering into a 4-year series of 48 deferred premium caplets (“caplets</w:t>
      </w:r>
      <w:r>
        <w:rPr>
          <w:color w:val="000000"/>
        </w:rPr>
        <w:t>”</w:t>
      </w:r>
      <w:r>
        <w:rPr>
          <w:rFonts w:ascii="Times New Roman;sans-serif" w:hAnsi="Times New Roman;sans-serif"/>
          <w:b w:val="false"/>
          <w:color w:val="000000"/>
          <w:sz w:val="20"/>
        </w:rPr>
        <w: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w:t>
      </w:r>
      <w:r>
        <w:rPr>
          <w:rFonts w:ascii="Times New Roman;sans-serif" w:hAnsi="Times New Roman;sans-serif"/>
          <w:b w:val="false"/>
          <w:color w:val="000000"/>
          <w:sz w:val="20"/>
        </w:rPr>
        <w:t>unrealized gain,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$1.1 million for the three months ended </w:t>
      </w:r>
      <w:r>
        <w:rPr>
          <w:rFonts w:ascii="Times New Roman;sans-serif" w:hAnsi="Times New Roman;sans-serif"/>
          <w:b w:val="false"/>
          <w:color w:val="000000"/>
          <w:sz w:val="20"/>
          <w:shd w:fill="FFFFFF" w:val="clear"/>
        </w:rPr>
        <w:t>March 31, 2024, a</w:t>
      </w:r>
      <w:r>
        <w:rPr>
          <w:rFonts w:ascii="Times New Roman;sans-serif" w:hAnsi="Times New Roman;sans-serif"/>
          <w:b w:val="false"/>
          <w:color w:val="000000"/>
          <w:sz w:val="20"/>
        </w:rPr>
        <w:t xml:space="preserve">nd an unrealized loss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$2.2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for the three months ended 2023.</w:t>
      </w:r>
      <w:r>
        <w:rPr>
          <w:color w:val="000000"/>
          <w:shd w:fill="FFFFFF" w:val="clear"/>
        </w:rPr>
        <w:t xml:space="preserve"> </w:t>
      </w:r>
      <w:r>
        <w:rPr>
          <w:rFonts w:ascii="Times New Roman;sans-serif" w:hAnsi="Times New Roman;sans-serif"/>
          <w:b w:val="false"/>
          <w:color w:val="000000"/>
          <w:sz w:val="20"/>
          <w:shd w:fill="FFFFFF" w:val="clear"/>
        </w:rPr>
        <w:t xml:space="preserve">For more information on how the Company determines the fair value of the caplets, see </w:t>
      </w:r>
      <w:r>
        <w:rPr>
          <w:rFonts w:ascii="Times New Roman;sans-serif" w:hAnsi="Times New Roman;sans-serif"/>
          <w:b w:val="false"/>
          <w:color w:val="000000"/>
          <w:sz w:val="20"/>
        </w:rPr>
        <w:t>Note 12. T</w:t>
      </w:r>
      <w:r>
        <w:rPr>
          <w:rFonts w:ascii="Times New Roman;sans-serif" w:hAnsi="Times New Roman;sans-serif"/>
          <w:b w:val="false"/>
          <w:color w:val="000000"/>
          <w:sz w:val="20"/>
          <w:shd w:fill="FFFFFF" w:val="clear"/>
        </w:rPr>
        <w:t xml:space="preserve">he Company also recognized interest income on the caplets of $2.6 million and </w:t>
      </w:r>
      <w:r>
        <w:rPr>
          <w:rFonts w:ascii="Times New Roman;sans-serif" w:hAnsi="Times New Roman;sans-serif"/>
          <w:b w:val="false"/>
          <w:color w:val="000000"/>
          <w:sz w:val="20"/>
        </w:rPr>
        <w:t>$1.9 million</w:t>
      </w:r>
      <w:r>
        <w:rPr>
          <w:color w:val="000000"/>
          <w:shd w:fill="FFFFFF" w:val="clear"/>
        </w:rPr>
        <w:t xml:space="preserve"> </w:t>
      </w:r>
      <w:r>
        <w:rPr>
          <w:rFonts w:ascii="Times New Roman;sans-serif" w:hAnsi="Times New Roman;sans-serif"/>
          <w:b w:val="false"/>
          <w:color w:val="000000"/>
          <w:sz w:val="20"/>
          <w:shd w:fill="FFFFFF" w:val="clear"/>
        </w:rPr>
        <w:t>for the three m</w:t>
      </w:r>
      <w:r>
        <w:rPr>
          <w:rFonts w:ascii="Times New Roman;sans-serif" w:hAnsi="Times New Roman;sans-serif"/>
          <w:b w:val="false"/>
          <w:color w:val="000000"/>
          <w:sz w:val="20"/>
        </w:rPr>
        <w:t xml:space="preserve">onths ended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 xml:space="preserve">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which is reflected in interest expense, net </w:t>
      </w:r>
      <w:r>
        <w:rPr>
          <w:rFonts w:ascii="Times New Roman;sans-serif" w:hAnsi="Times New Roman;sans-serif"/>
          <w:b w:val="false"/>
          <w:color w:val="000000"/>
          <w:sz w:val="20"/>
        </w:rPr>
        <w:t xml:space="preserve">in the condensed consolidated statements of operations and other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2024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Great Lakes Vending</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22, 2024, the Company acquired certain assets of Great Lakes Vending Corporation (“GLV”), an Illinois-based terminal operator. The Company acquired one operational location, as well as gaming and redemption terminal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Doc &amp; Eddy’s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January 10, 2024, the Company acquired Doc &amp; Eddy’s West (“D&amp;E”), a hospitality operation in Montana. The hospitality operation is set to be a Century-vended operation. </w:t>
      </w:r>
      <w:r>
        <w:rPr>
          <w:rFonts w:ascii="Times New Roman;sans-serif" w:hAnsi="Times New Roman;sans-serif"/>
          <w:b w:val="false"/>
          <w:color w:val="000000"/>
          <w:sz w:val="20"/>
          <w:shd w:fill="FFFFFF" w:val="clear"/>
        </w:rPr>
        <w:t xml:space="preserve">The acquisition was accounted for as an asset purchase acquisition in accordance with Topic 805. </w:t>
      </w:r>
      <w:r>
        <w:rPr>
          <w:rFonts w:ascii="Times New Roman;sans-serif" w:hAnsi="Times New Roman;sans-serif"/>
          <w:b w:val="false"/>
          <w:color w:val="000000"/>
          <w:sz w:val="20"/>
        </w:rPr>
        <w:t>The total purchase price was approximately $2.3 million, which the Company paid in cash at closing, and was allocated to the following assets: i) buildings totaling $1.0 million, ii) indefinite long lived assets totaling $0.9 million and iii) land totaling $0.4 million. The results of operations for D&amp;E are included in the condensed consolidated financial statements of the Company from the date of acquisition and were not material.</w:t>
      </w:r>
    </w:p>
    <w:p>
      <w:pPr>
        <w:pStyle w:val="TextBody"/>
        <w:bidi w:val="0"/>
        <w:spacing w:lineRule="auto" w:line="345" w:before="180" w:after="283"/>
        <w:jc w:val="both"/>
        <w:rPr/>
      </w:pPr>
      <w:r>
        <w:rPr>
          <w:rFonts w:ascii="Times New Roman;sans-serif" w:hAnsi="Times New Roman;sans-serif"/>
          <w:b w:val="false"/>
          <w:i/>
          <w:color w:val="000000"/>
          <w:sz w:val="20"/>
          <w:shd w:fill="FFFFFF" w:val="clear"/>
        </w:rPr>
        <w:t xml:space="preserve">Subsequent event - </w:t>
      </w: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2024, the Company acquired certain assets of Illinois Gaming Entertainment LLC (“IGE”), an Illinois-based terminal operator. The Company acquired 16 operational locations, as well as gaming equipment. The total purchase price was approximately $13.7 million, of which the Company paid $11.2 million in cash at closing. The remaining $2.5 million of consideration is payable in three installments of $0.6 million which are due on the first, second and third anniversary of the acquisition with the remaining $0.7 million due on the fourth anniversary. All payments are subject to the acquired locations still being in operation on the respective anniversary date.</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Pending Business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April 11, 2023, the Company entered into an agreement to acquire a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with an option to acquire a second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In connection therewith, the Company has paid $8.2 million through the three months ended March 31, 2024, as an advance against a portion of the purchase price and is recorded within other assets on the </w:t>
      </w:r>
      <w:r>
        <w:rPr>
          <w:rFonts w:ascii="Times New Roman;sans-serif" w:hAnsi="Times New Roman;sans-serif"/>
          <w:b w:val="false"/>
          <w:color w:val="000000"/>
          <w:sz w:val="20"/>
          <w:shd w:fill="FFFFFF" w:val="clear"/>
        </w:rPr>
        <w:t>condensed consolidated balance sheets.</w:t>
      </w:r>
      <w:r>
        <w:rPr>
          <w:color w:val="000000"/>
        </w:rPr>
        <w:t xml:space="preserve"> </w:t>
      </w:r>
      <w:r>
        <w:rPr>
          <w:rFonts w:ascii="Times New Roman;sans-serif" w:hAnsi="Times New Roman;sans-serif"/>
          <w:b w:val="false"/>
          <w:color w:val="000000"/>
          <w:sz w:val="20"/>
        </w:rPr>
        <w:t xml:space="preserve">Furthermore, on August 10, 2023, the Company loaned the distributed gaming operator $0.3 million. The Company agreed to pay an additional $0.7 million in April 2024, against the final purchase price. </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Video Slot Management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27, 2023, the Company acquired certain assets of Illinois Video Slot Management Corp. (“IVSM”), an Illinois-based terminal operator. The Company acquired a gaming location,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$1.0 million, of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is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23, 2023, the Company acquired four operational locations from IGE,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$1.5 million, which the Company paid in cash at closing. The total purchase price of $1.5 million was allocated to the following assets: i) location contracts totaling $1.1 million and ii) gaming equipment totaling $0.4 million.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October 3, 2023, the Company acquired three additional operational locations from IGE,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$2.3 million, which the Company paid in cash at closing. The total purchase price of $2.3 million was allocated to the following assets: i) location contracts totaling $2.0 million and ii) gaming equipment totaling $0.3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both IGE acquisitions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Rendezvous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The hospitality operation is set to be a Century vended location.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shd w:fill="FFFFFF" w:val="clear"/>
        </w:rPr>
        <w:t xml:space="preserve">The results of operations for Rendezvous are included in the condensed consolidated financial statements of the Company from the date of acquisition and were not material. </w:t>
      </w:r>
    </w:p>
    <w:p>
      <w:pPr>
        <w:pStyle w:val="TextBody"/>
        <w:bidi w:val="0"/>
        <w:spacing w:lineRule="auto" w:line="345" w:before="24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March 31, 2024 and December 31, 2023.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March 31, 2024 and December 31, 2023 (in thousands):</w:t>
      </w:r>
    </w:p>
    <w:tbl>
      <w:tblPr>
        <w:tblW w:w="6845" w:type="dxa"/>
        <w:jc w:val="center"/>
        <w:tblInd w:w="0" w:type="dxa"/>
        <w:tblLayout w:type="fixed"/>
        <w:tblCellMar>
          <w:top w:w="28" w:type="dxa"/>
          <w:left w:w="28" w:type="dxa"/>
          <w:bottom w:w="28" w:type="dxa"/>
          <w:right w:w="28" w:type="dxa"/>
        </w:tblCellMar>
      </w:tblPr>
      <w:tblGrid>
        <w:gridCol w:w="635"/>
        <w:gridCol w:w="557"/>
        <w:gridCol w:w="563"/>
        <w:gridCol w:w="211"/>
        <w:gridCol w:w="616"/>
        <w:gridCol w:w="109"/>
        <w:gridCol w:w="109"/>
        <w:gridCol w:w="109"/>
        <w:gridCol w:w="109"/>
        <w:gridCol w:w="247"/>
        <w:gridCol w:w="721"/>
        <w:gridCol w:w="128"/>
        <w:gridCol w:w="109"/>
        <w:gridCol w:w="109"/>
        <w:gridCol w:w="109"/>
        <w:gridCol w:w="211"/>
        <w:gridCol w:w="616"/>
        <w:gridCol w:w="109"/>
        <w:gridCol w:w="109"/>
        <w:gridCol w:w="109"/>
        <w:gridCol w:w="109"/>
        <w:gridCol w:w="245"/>
        <w:gridCol w:w="716"/>
        <w:gridCol w:w="180"/>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TAV</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Fair Share Gaming</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Skyhigh</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IVSM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Tom's Amusements</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Island</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Acquisitions that occurred prior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either on the Company achieving certain last twelve month EBITDA (“LTM EBITDA”) thresholds in certain periods or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thresholds, as approved by a disinterested committee of the Company's board of directors made up of independent directors who do not hold any Class A-2 common stock,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either (i) the LTM EBITDA threshold as of March 31, 2024 or June 30, 2024 is $198.6 million or (ii) the closing sale price of Class A-1 common stock on the NYSE equals or exceeds $16.00 for at least twenty trading days in any consecutive thirty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color w:val="000000"/>
          <w:shd w:fill="FFFFFF" w:val="clear"/>
        </w:rPr>
        <w:t xml:space="preserve"> </w:t>
      </w:r>
      <w:r>
        <w:rPr>
          <w:rFonts w:ascii="Times New Roman;sans-serif" w:hAnsi="Times New Roman;sans-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58"/>
        <w:gridCol w:w="404"/>
        <w:gridCol w:w="407"/>
        <w:gridCol w:w="419"/>
        <w:gridCol w:w="347"/>
        <w:gridCol w:w="282"/>
        <w:gridCol w:w="109"/>
        <w:gridCol w:w="109"/>
        <w:gridCol w:w="109"/>
        <w:gridCol w:w="808"/>
        <w:gridCol w:w="808"/>
        <w:gridCol w:w="810"/>
        <w:gridCol w:w="161"/>
        <w:gridCol w:w="161"/>
        <w:gridCol w:w="161"/>
        <w:gridCol w:w="730"/>
        <w:gridCol w:w="730"/>
        <w:gridCol w:w="732"/>
        <w:gridCol w:w="161"/>
        <w:gridCol w:w="161"/>
        <w:gridCol w:w="161"/>
        <w:gridCol w:w="576"/>
        <w:gridCol w:w="576"/>
        <w:gridCol w:w="825"/>
      </w:tblGrid>
      <w:tr>
        <w:trPr/>
        <w:tc>
          <w:tcPr>
            <w:tcW w:w="4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14,254 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33"/>
        <w:gridCol w:w="381"/>
        <w:gridCol w:w="387"/>
        <w:gridCol w:w="466"/>
        <w:gridCol w:w="359"/>
        <w:gridCol w:w="361"/>
        <w:gridCol w:w="109"/>
        <w:gridCol w:w="109"/>
        <w:gridCol w:w="109"/>
        <w:gridCol w:w="796"/>
        <w:gridCol w:w="796"/>
        <w:gridCol w:w="798"/>
        <w:gridCol w:w="160"/>
        <w:gridCol w:w="160"/>
        <w:gridCol w:w="160"/>
        <w:gridCol w:w="725"/>
        <w:gridCol w:w="725"/>
        <w:gridCol w:w="727"/>
        <w:gridCol w:w="160"/>
        <w:gridCol w:w="160"/>
        <w:gridCol w:w="160"/>
        <w:gridCol w:w="572"/>
        <w:gridCol w:w="572"/>
        <w:gridCol w:w="820"/>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69"/>
        <w:gridCol w:w="500"/>
        <w:gridCol w:w="505"/>
        <w:gridCol w:w="225"/>
        <w:gridCol w:w="772"/>
        <w:gridCol w:w="116"/>
        <w:gridCol w:w="109"/>
        <w:gridCol w:w="109"/>
        <w:gridCol w:w="109"/>
        <w:gridCol w:w="734"/>
        <w:gridCol w:w="1415"/>
        <w:gridCol w:w="381"/>
        <w:gridCol w:w="112"/>
        <w:gridCol w:w="112"/>
        <w:gridCol w:w="112"/>
        <w:gridCol w:w="425"/>
        <w:gridCol w:w="1453"/>
        <w:gridCol w:w="220"/>
        <w:gridCol w:w="112"/>
        <w:gridCol w:w="112"/>
        <w:gridCol w:w="112"/>
        <w:gridCol w:w="403"/>
        <w:gridCol w:w="1179"/>
        <w:gridCol w:w="309"/>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36,557 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5"/>
        <w:gridCol w:w="1398"/>
        <w:gridCol w:w="376"/>
        <w:gridCol w:w="112"/>
        <w:gridCol w:w="112"/>
        <w:gridCol w:w="112"/>
        <w:gridCol w:w="421"/>
        <w:gridCol w:w="1440"/>
        <w:gridCol w:w="218"/>
        <w:gridCol w:w="112"/>
        <w:gridCol w:w="112"/>
        <w:gridCol w:w="112"/>
        <w:gridCol w:w="399"/>
        <w:gridCol w:w="1167"/>
        <w:gridCol w:w="3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require significant judgment or estimation. </w:t>
      </w:r>
      <w:r>
        <w:rPr>
          <w:rFonts w:ascii="Times New Roman;sans-serif" w:hAnsi="Times New Roman;sans-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ans-serif" w:hAnsi="Times New Roman;sans-serif"/>
          <w:b w:val="false"/>
          <w:color w:val="000000"/>
          <w:sz w:val="20"/>
        </w:rPr>
        <w:t xml:space="preserve">The valuation of the Company's contingent consideration is considered to be a Level 2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rPr>
        <w:t xml:space="preserve">value measurement. </w:t>
      </w:r>
      <w:r>
        <w:rPr>
          <w:rFonts w:ascii="Times New Roman;sans-serif" w:hAnsi="Times New Roman;sans-serif"/>
          <w:b w:val="false"/>
          <w:color w:val="000000"/>
          <w:sz w:val="20"/>
          <w:shd w:fill="FFFFFF" w:val="clear"/>
        </w:rPr>
        <w:t xml:space="preserve">Changes in the fair value of contingent earnout shares are included within loss (gain)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March 31, 2024, which will expire in November 2024. The liability for the Company’s warrants is included in other long-term liabilities on the condensed consolidated balance sheets. </w:t>
      </w:r>
      <w:r>
        <w:rPr>
          <w:rFonts w:ascii="Times New Roman;sans-serif" w:hAnsi="Times New Roman;sans-serif"/>
          <w:b w:val="false"/>
          <w:color w:val="000000"/>
          <w:sz w:val="20"/>
          <w:shd w:fill="FFFFFF" w:val="clear"/>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w:t>
      </w:r>
      <w:r>
        <w:rPr>
          <w:rFonts w:ascii="Times New Roman;sans-serif" w:hAnsi="Times New Roman;sans-serif"/>
          <w:b w:val="false"/>
          <w:color w:val="000000"/>
          <w:sz w:val="20"/>
          <w:shd w:fill="FFFFFF" w:val="clear"/>
        </w:rPr>
        <w:t xml:space="preserve">Class </w:t>
      </w:r>
      <w:r>
        <w:rPr>
          <w:rFonts w:ascii="Times New Roman;sans-serif" w:hAnsi="Times New Roman;sans-serif"/>
          <w:b w:val="false"/>
          <w:color w:val="000000"/>
          <w:sz w:val="20"/>
        </w:rPr>
        <w:t xml:space="preserve">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shd w:fill="FFFFFF" w:val="clear"/>
        </w:rPr>
        <w:t xml:space="preserve">Changes in the fair value of the warrants are included within gain on change in fair value of warrants on the accompanying condensed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shd w:fill="FFFFFF" w:val="clear"/>
        </w:rPr>
        <w:t xml:space="preserve">of the warrants </w:t>
      </w:r>
      <w:r>
        <w:rPr>
          <w:rFonts w:ascii="Times New Roman;sans-serif" w:hAnsi="Times New Roman;sans-serif"/>
          <w:b w:val="false"/>
          <w:color w:val="000000"/>
          <w:sz w:val="20"/>
        </w:rPr>
        <w:t>for the three months ended March 31, 2024 and 2023.</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shd w:fill="FFFFFF" w:val="clear"/>
        </w:rPr>
        <w:t>March 31, 2024, the Company acquired a total of 12,004,014 shares under the plan at a total purchase price of $124.2 million, of which 594,817 shares at a total purchase price of $6.1 million were acquired during the three</w:t>
      </w:r>
      <w:r>
        <w:rPr>
          <w:color w:val="000000"/>
        </w:rPr>
        <w:t xml:space="preserve"> </w:t>
      </w:r>
      <w:r>
        <w:rPr>
          <w:rFonts w:ascii="Times New Roman;sans-serif" w:hAnsi="Times New Roman;sans-serif"/>
          <w:b w:val="false"/>
          <w:color w:val="000000"/>
          <w:sz w:val="20"/>
        </w:rPr>
        <w:t>months ended March 31, 2024</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319,731 restricted stock units (“RSUs”) to the Board of Directors and certain eligible employees during the first quarter of 2024, which will vest over a period of 3 to 4 years for employees and by the end of 2024 for the Board of Directors. The Company also issued 149,381 performance-based restricted stock units (“PSUs”) to certain eligible employees during the first quarter of 2024,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$5.3 million.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stock options, RSUs and PSUs, was $2.4 million and $1.7 million for the three months ended March 31, 2024 and 2023, respectively. Stock-based compensation expense is included within </w:t>
      </w:r>
      <w:r>
        <w:rPr>
          <w:rFonts w:ascii="Times New Roman;sans-serif" w:hAnsi="Times New Roman;sans-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$4.8 million and $6.0 million for the three months ended March 31, 2024 and 2023,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its provision for income taxes during interim reporting periods by applying an estimate of the annual effective tax rate to its year-to-date pretax book income or loss. The effective tax rate (income taxes as a percentage of income before income taxes) was 39.1% and 39.5% for the three months ended March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Commitments and Contingencies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TextBody"/>
        <w:bidi w:val="0"/>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(the “IGB”).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Pre-trial discovery is ongoing as of the date of this report. Mr. Rowell's claims and the Company's claims are both being litigated in this lawsuit, while the original lawsuit remains pending against the other defendants.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and for the remaining months of 2022. The Company continued to negotiate with and voluntarily make the appropriate payments to the municipality during 2023 and 2024.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results for both the three months ended March 31, 2024 and 2023 included a loss totaling $0.1 million related to these matters, which is included within general and administrative expenses </w:t>
      </w:r>
      <w:r>
        <w:rPr>
          <w:rFonts w:ascii="Times New Roman;sans-serif" w:hAnsi="Times New Roman;sans-serif"/>
          <w:b w:val="false"/>
          <w:color w:val="000000"/>
          <w:sz w:val="20"/>
          <w:shd w:fill="FFFFFF" w:val="clear"/>
        </w:rPr>
        <w:t>in the condensed consolidated statements of operations and other comprehensive incom</w:t>
      </w:r>
      <w:r>
        <w:rPr>
          <w:rFonts w:ascii="Times New Roman;sans-serif" w:hAnsi="Times New Roman;sans-serif"/>
          <w:b w:val="false"/>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e3ac993cf6be409593ecc31fcbe95abd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Earnings Per Share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shd w:fill="FFFFFF" w:val="clear"/>
        </w:rPr>
        <w:t>(“EPS”)</w:t>
      </w:r>
      <w:r>
        <w:rPr>
          <w:color w:val="000000"/>
        </w:rPr>
        <w:t xml:space="preserve"> </w:t>
      </w:r>
      <w:r>
        <w:rPr>
          <w:rFonts w:ascii="Times New Roman;sans-serif" w:hAnsi="Times New Roman;sans-serif"/>
          <w:b w:val="false"/>
          <w:color w:val="000000"/>
          <w:sz w:val="20"/>
        </w:rPr>
        <w:t>were as follows for the three months ended March 31 (in thousands, except per share amounts):</w:t>
      </w:r>
    </w:p>
    <w:tbl>
      <w:tblPr>
        <w:tblW w:w="7884" w:type="dxa"/>
        <w:jc w:val="center"/>
        <w:tblInd w:w="0" w:type="dxa"/>
        <w:tblLayout w:type="fixed"/>
        <w:tblCellMar>
          <w:top w:w="28" w:type="dxa"/>
          <w:left w:w="28" w:type="dxa"/>
          <w:bottom w:w="28" w:type="dxa"/>
          <w:right w:w="28" w:type="dxa"/>
        </w:tblCellMar>
      </w:tblPr>
      <w:tblGrid>
        <w:gridCol w:w="1880"/>
        <w:gridCol w:w="1652"/>
        <w:gridCol w:w="1672"/>
        <w:gridCol w:w="211"/>
        <w:gridCol w:w="616"/>
        <w:gridCol w:w="109"/>
        <w:gridCol w:w="109"/>
        <w:gridCol w:w="109"/>
        <w:gridCol w:w="109"/>
        <w:gridCol w:w="211"/>
        <w:gridCol w:w="616"/>
        <w:gridCol w:w="109"/>
        <w:gridCol w:w="109"/>
        <w:gridCol w:w="109"/>
        <w:gridCol w:w="109"/>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4,339,250 and 4,907,216 as of March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2023. This discussion and analysis should also be read in conjunction with “Management’s Discussion and Analysis of Financial Condition and Results of Operations”, set forth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distributed gaming operator in the United States (“U.S.”) and a preferred partner for local business owners in the markets we serve. We offer turnkey, full-service gaming solutions to bars, restaurants, convenience stores, truck stops, and fraternal and veteran establishments across the country.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as a distributed gaming operator in the following states:    </w:t>
      </w:r>
    </w:p>
    <w:tbl>
      <w:tblPr>
        <w:tblW w:w="10205"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646"/>
        <w:gridCol w:w="646"/>
        <w:gridCol w:w="648"/>
        <w:gridCol w:w="109"/>
        <w:gridCol w:w="109"/>
        <w:gridCol w:w="109"/>
        <w:gridCol w:w="477"/>
        <w:gridCol w:w="477"/>
        <w:gridCol w:w="482"/>
        <w:gridCol w:w="109"/>
        <w:gridCol w:w="109"/>
        <w:gridCol w:w="109"/>
        <w:gridCol w:w="1458"/>
        <w:gridCol w:w="1458"/>
        <w:gridCol w:w="207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ans-serif" w:hAnsi="Times New Roman;sans-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Large truck stops (Up to 10 gaming terminals)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Business locations licensed to sell alcoholic beverages for on-premises consumption only, including locations restricted to offering a maximum of 20 gaming terminals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Designs and manufactures gaming terminals and software that are sold to Montana, South Dakota, West Virginia, and Louisiana</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Develops proprietary gaming terminals and related software as well as other ancillary equipment for our distributed gaming routes in Montana, Nevada, Nebraska and Georgia</w:t>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Games are generally limited to 15 or fewer gaming terminals with no other forms of gaming activity permitted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9"/>
        <w:gridCol w:w="385"/>
        <w:gridCol w:w="392"/>
        <w:gridCol w:w="109"/>
        <w:gridCol w:w="109"/>
        <w:gridCol w:w="109"/>
        <w:gridCol w:w="600"/>
        <w:gridCol w:w="600"/>
        <w:gridCol w:w="602"/>
        <w:gridCol w:w="109"/>
        <w:gridCol w:w="109"/>
        <w:gridCol w:w="109"/>
        <w:gridCol w:w="460"/>
        <w:gridCol w:w="460"/>
        <w:gridCol w:w="464"/>
        <w:gridCol w:w="109"/>
        <w:gridCol w:w="109"/>
        <w:gridCol w:w="109"/>
        <w:gridCol w:w="1407"/>
        <w:gridCol w:w="1407"/>
        <w:gridCol w:w="2008"/>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ans-serif" w:hAnsi="Times New Roman;sans-serif"/>
                <w:b w:val="false"/>
                <w:color w:val="000000"/>
                <w:sz w:val="20"/>
              </w:rPr>
              <w:t>Operate gaming terminals which are skill-based coin-operated amusement machines with winnings paid in points that may be redeemed for noncash merchandise, prizes, toys, gift cards, or novelties</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gaming terminals at qualified truck stops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We are live with a partner truck stop </w:t>
            </w:r>
          </w:p>
        </w:tc>
      </w:tr>
    </w:tbl>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interest rate uncertainty, persistent inflation and actual or perceived instability in the U.S. and global banking systems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observed material impacts in our business or outlook, outside of observed increases in our costs related to higher wages and increased interest expense on our debt. In 2023, we accelerated certain of our capital expenditures related to gaming machines and related components to manage our supply chain.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primarily represents fees charged for the withdrawal of funds from our redemption devices and stand-alone ATMs and is recognized at the time of the ATM transaction.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 xml:space="preserve">Cost of revenue consists of (i) taxes on net gaming revenue that is payable to the appropriate jurisdiction, (ii) licenses, permits and other fees required for the operation of gaming terminals and other equipment, (iii) location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which is governed by local governing bodies and location contracts, (iv) ATM and amusement commissions payable to locations, and (v) ATM and amusement fees.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manufacturing goods sold. </w:t>
      </w:r>
      <w:r>
        <w:rPr>
          <w:rFonts w:ascii="Times New Roman;sans-serif" w:hAnsi="Times New Roman;sans-serif"/>
          <w:b w:val="false"/>
          <w:color w:val="000000"/>
          <w:sz w:val="20"/>
        </w:rPr>
        <w:t>Cost of manufacturing goods sold consists of costs associated with the sale of gaming terminals and related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payroll and related expense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The following table summarizes our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March 31, 2024 and 2023:</w:t>
      </w:r>
    </w:p>
    <w:tbl>
      <w:tblPr>
        <w:tblW w:w="10205" w:type="dxa"/>
        <w:jc w:val="center"/>
        <w:tblInd w:w="0" w:type="dxa"/>
        <w:tblLayout w:type="fixed"/>
        <w:tblCellMar>
          <w:top w:w="28" w:type="dxa"/>
          <w:left w:w="28" w:type="dxa"/>
          <w:bottom w:w="28" w:type="dxa"/>
          <w:right w:w="28" w:type="dxa"/>
        </w:tblCellMar>
      </w:tblPr>
      <w:tblGrid>
        <w:gridCol w:w="1853"/>
        <w:gridCol w:w="1472"/>
        <w:gridCol w:w="1482"/>
        <w:gridCol w:w="211"/>
        <w:gridCol w:w="826"/>
        <w:gridCol w:w="109"/>
        <w:gridCol w:w="109"/>
        <w:gridCol w:w="109"/>
        <w:gridCol w:w="109"/>
        <w:gridCol w:w="211"/>
        <w:gridCol w:w="826"/>
        <w:gridCol w:w="109"/>
        <w:gridCol w:w="109"/>
        <w:gridCol w:w="109"/>
        <w:gridCol w:w="109"/>
        <w:gridCol w:w="212"/>
        <w:gridCol w:w="666"/>
        <w:gridCol w:w="109"/>
        <w:gridCol w:w="109"/>
        <w:gridCol w:w="109"/>
        <w:gridCol w:w="109"/>
        <w:gridCol w:w="307"/>
        <w:gridCol w:w="247"/>
        <w:gridCol w:w="584"/>
      </w:tblGrid>
      <w:tr>
        <w:trPr/>
        <w:tc>
          <w:tcPr>
            <w:tcW w:w="185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the three months ended March 31, 2024 were $301.8 million, an increase of $8.6 million, or 2.9%, compared to the prior-year period. This increase was primarily driven by higher net gaming revenue of $8.8 million, which reflected an increase in gaming locations and terminals. Net revenues by state are presented below (in thousands):</w:t>
      </w:r>
    </w:p>
    <w:tbl>
      <w:tblPr>
        <w:tblW w:w="7470"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29"/>
        <w:gridCol w:w="672"/>
        <w:gridCol w:w="118"/>
        <w:gridCol w:w="115"/>
        <w:gridCol w:w="115"/>
        <w:gridCol w:w="115"/>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March 31, 2024 was $209.2 million, an increase of $5.6 million, or 2.8%, compared to the prior-year period, driven by higher net gaming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three months ended March 31, 2024 was $1.2 million, a decrease of $0.2 million, or 17.7%, compared to the prior-year period due to lower costs associated with software sales.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March 31, 2024 were $47.6 million, an increase of $4.6 million, or 10.7%, compared to the prior-year period. The increase was attributable to higher payroll-related costs, as we continue to grow our operations, as well as higher stock-based compensation expense and parts and repair expense.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for the three months ended March 31, 2024 was $10.4 million, an increase of $1.4 million, or 15.1%, compared to the prior-year period due to an increased number of gaming terminals.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three months ended March 31, 2024 were $5.4 million, an increase of $0.2 million, or 3.7%, compared to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for the three months ended March 31, 2024 were $2.4 million, a decrease of $0.8 million, or 25.4%, compared to the prior-year period. The decrease was primarily attributable to lower non-recurring expenses and lower fair value adjustments associated with the revaluation of contingent consideration liabilities.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three months ended March 31, 2024 was $8.7 million, an increase of $0.8 million, or 9.8%, compared to the prior-year period primarily due to higher interest rates, partially offset by a decrease in average outstanding debt and the benefit realized on our interest rate caplets. For the three months ended March 31, 2024, the weighted average interest rate, excluding the impact of our interest rate caplets, was approximately 7.7% compared to a rate of approximately 6.8% for the prior-year period</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Loss on the change in fair value of contingent earnout shares for the three months ended March 31, 2024 was $4.7 million, an increase of $0.1 million, or 2.5%, compared to the prior-</w:t>
      </w:r>
      <w:r>
        <w:rPr>
          <w:rFonts w:ascii="Times New Roman;sans-serif" w:hAnsi="Times New Roman;sans-serif"/>
          <w:b w:val="false"/>
          <w:color w:val="000000"/>
          <w:sz w:val="20"/>
          <w:shd w:fill="FFFFFF" w:val="clear"/>
        </w:rPr>
        <w:t xml:space="preserve">year period.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March 31, 2024 was $4.8 million, a decrease of $1.2 million, or 20.6%, compared to the prior-year period. The effective tax rate for the three months ended March 31, 2024 was 39.1% compared to 39.5%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Location hold-per-day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5744" w:type="dxa"/>
        <w:jc w:val="center"/>
        <w:tblInd w:w="0" w:type="dxa"/>
        <w:tblLayout w:type="fixed"/>
        <w:tblCellMar>
          <w:top w:w="28" w:type="dxa"/>
          <w:left w:w="28" w:type="dxa"/>
          <w:bottom w:w="28" w:type="dxa"/>
          <w:right w:w="28" w:type="dxa"/>
        </w:tblCellMar>
      </w:tblPr>
      <w:tblGrid>
        <w:gridCol w:w="314"/>
        <w:gridCol w:w="276"/>
        <w:gridCol w:w="281"/>
        <w:gridCol w:w="308"/>
        <w:gridCol w:w="308"/>
        <w:gridCol w:w="176"/>
        <w:gridCol w:w="160"/>
        <w:gridCol w:w="160"/>
        <w:gridCol w:w="160"/>
        <w:gridCol w:w="308"/>
        <w:gridCol w:w="308"/>
        <w:gridCol w:w="176"/>
        <w:gridCol w:w="109"/>
        <w:gridCol w:w="109"/>
        <w:gridCol w:w="109"/>
        <w:gridCol w:w="250"/>
        <w:gridCol w:w="250"/>
        <w:gridCol w:w="251"/>
        <w:gridCol w:w="174"/>
        <w:gridCol w:w="174"/>
        <w:gridCol w:w="174"/>
        <w:gridCol w:w="285"/>
        <w:gridCol w:w="240"/>
        <w:gridCol w:w="68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our primary locations:</w:t>
      </w:r>
    </w:p>
    <w:tbl>
      <w:tblPr>
        <w:tblW w:w="6072" w:type="dxa"/>
        <w:jc w:val="center"/>
        <w:tblInd w:w="0" w:type="dxa"/>
        <w:tblLayout w:type="fixed"/>
        <w:tblCellMar>
          <w:top w:w="28" w:type="dxa"/>
          <w:left w:w="28" w:type="dxa"/>
          <w:bottom w:w="28" w:type="dxa"/>
          <w:right w:w="28" w:type="dxa"/>
        </w:tblCellMar>
      </w:tblPr>
      <w:tblGrid>
        <w:gridCol w:w="314"/>
        <w:gridCol w:w="276"/>
        <w:gridCol w:w="281"/>
        <w:gridCol w:w="360"/>
        <w:gridCol w:w="361"/>
        <w:gridCol w:w="176"/>
        <w:gridCol w:w="160"/>
        <w:gridCol w:w="160"/>
        <w:gridCol w:w="160"/>
        <w:gridCol w:w="360"/>
        <w:gridCol w:w="361"/>
        <w:gridCol w:w="176"/>
        <w:gridCol w:w="109"/>
        <w:gridCol w:w="109"/>
        <w:gridCol w:w="109"/>
        <w:gridCol w:w="308"/>
        <w:gridCol w:w="308"/>
        <w:gridCol w:w="251"/>
        <w:gridCol w:w="174"/>
        <w:gridCol w:w="174"/>
        <w:gridCol w:w="174"/>
        <w:gridCol w:w="292"/>
        <w:gridCol w:w="235"/>
        <w:gridCol w:w="68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pPr>
      <w:r>
        <w:rPr>
          <w:rFonts w:ascii="Times New Roman;sans-serif" w:hAnsi="Times New Roman;sans-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following table sets forth information with respect to our location hold-per-day</w:t>
      </w:r>
      <w:r>
        <w:rPr>
          <w:color w:val="000000"/>
          <w:shd w:fill="FFFFFF" w:val="clear"/>
        </w:rPr>
        <w:t xml:space="preserve"> </w:t>
      </w:r>
      <w:r>
        <w:rPr>
          <w:rFonts w:ascii="Times New Roman;sans-serif" w:hAnsi="Times New Roman;sans-serif"/>
          <w:b w:val="false"/>
          <w:color w:val="000000"/>
          <w:sz w:val="20"/>
        </w:rPr>
        <w:t>in our primary locations:</w:t>
      </w:r>
    </w:p>
    <w:tbl>
      <w:tblPr>
        <w:tblW w:w="6555" w:type="dxa"/>
        <w:jc w:val="center"/>
        <w:tblInd w:w="0" w:type="dxa"/>
        <w:tblLayout w:type="fixed"/>
        <w:tblCellMar>
          <w:top w:w="28" w:type="dxa"/>
          <w:left w:w="28" w:type="dxa"/>
          <w:bottom w:w="28" w:type="dxa"/>
          <w:right w:w="28" w:type="dxa"/>
        </w:tblCellMar>
      </w:tblPr>
      <w:tblGrid>
        <w:gridCol w:w="314"/>
        <w:gridCol w:w="276"/>
        <w:gridCol w:w="281"/>
        <w:gridCol w:w="310"/>
        <w:gridCol w:w="684"/>
        <w:gridCol w:w="160"/>
        <w:gridCol w:w="160"/>
        <w:gridCol w:w="160"/>
        <w:gridCol w:w="160"/>
        <w:gridCol w:w="310"/>
        <w:gridCol w:w="684"/>
        <w:gridCol w:w="160"/>
        <w:gridCol w:w="109"/>
        <w:gridCol w:w="109"/>
        <w:gridCol w:w="109"/>
        <w:gridCol w:w="284"/>
        <w:gridCol w:w="589"/>
        <w:gridCol w:w="147"/>
        <w:gridCol w:w="128"/>
        <w:gridCol w:w="128"/>
        <w:gridCol w:w="128"/>
        <w:gridCol w:w="240"/>
        <w:gridCol w:w="240"/>
        <w:gridCol w:w="68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are non-GAAP financial measures, but are key metrics management uses to monitor ongoing core operations. 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492"/>
        <w:gridCol w:w="1287"/>
        <w:gridCol w:w="1303"/>
        <w:gridCol w:w="211"/>
        <w:gridCol w:w="721"/>
        <w:gridCol w:w="109"/>
        <w:gridCol w:w="109"/>
        <w:gridCol w:w="109"/>
        <w:gridCol w:w="109"/>
        <w:gridCol w:w="211"/>
        <w:gridCol w:w="721"/>
        <w:gridCol w:w="109"/>
        <w:gridCol w:w="109"/>
        <w:gridCol w:w="109"/>
        <w:gridCol w:w="109"/>
        <w:gridCol w:w="212"/>
        <w:gridCol w:w="671"/>
        <w:gridCol w:w="110"/>
        <w:gridCol w:w="110"/>
        <w:gridCol w:w="110"/>
        <w:gridCol w:w="110"/>
        <w:gridCol w:w="308"/>
        <w:gridCol w:w="308"/>
        <w:gridCol w:w="528"/>
        <w:gridCol w:w="109"/>
        <w:gridCol w:w="109"/>
        <w:gridCol w:w="109"/>
        <w:gridCol w:w="109"/>
        <w:gridCol w:w="109"/>
        <w:gridCol w:w="109"/>
        <w:gridCol w:w="109"/>
        <w:gridCol w:w="157"/>
      </w:tblGrid>
      <w:tr>
        <w:trPr/>
        <w:tc>
          <w:tcPr>
            <w:tcW w:w="149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Amortization of intangible assets and route and customer acquisition costs </w:t>
            </w:r>
            <w:r>
              <w:rPr>
                <w:rFonts w:ascii="Times New Roman;sans-serif" w:hAnsi="Times New Roman;sans-serif"/>
                <w:b w:val="false"/>
                <w:color w:val="000000"/>
                <w:sz w:val="11"/>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1"/>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Loss on change in fair value of contingent earnout shares </w:t>
            </w:r>
            <w:r>
              <w:rPr>
                <w:rFonts w:ascii="Times New Roman;sans-serif" w:hAnsi="Times New Roman;sans-serif"/>
                <w:b w:val="false"/>
                <w:color w:val="000000"/>
                <w:sz w:val="10"/>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expenses, net </w:t>
            </w:r>
            <w:r>
              <w:rPr>
                <w:rFonts w:ascii="Times New Roman;sans-serif" w:hAnsi="Times New Roman;sans-serif"/>
                <w:b w:val="false"/>
                <w:color w:val="000000"/>
                <w:sz w:val="11"/>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Tax effect of adjustments </w:t>
            </w:r>
            <w:r>
              <w:rPr>
                <w:rFonts w:ascii="Times New Roman;sans-serif" w:hAnsi="Times New Roman;sans-serif"/>
                <w:b w:val="false"/>
                <w:color w:val="000000"/>
                <w:sz w:val="11"/>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Emerging markets </w:t>
            </w:r>
            <w:r>
              <w:rPr>
                <w:rFonts w:ascii="Times New Roman;sans-serif" w:hAnsi="Times New Roman;sans-serif"/>
                <w:b w:val="false"/>
                <w:color w:val="000000"/>
                <w:sz w:val="11"/>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hanging="36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We amortize the upfront cash payment over the life of the contract, including expected renewals, beginning on the date the location goes live, and recognize non-cash amortization charges with respect to such items. Future or deferred cash payments, which may occur based on terms of the underlying contract, are generally lower in the aggregate as compared to the established practice of providing higher upfront payments, and are also capitalized and amortized over the remaining life of the contract. Future cash payments do not include cash costs associated with renewing customer contracts as we do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Stock-based compensation consists of options, restricted stock units, and performance-based restricted stock units.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Loss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expenses, net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Calculated by excluding the impact of the non-GAAP adjustments from the current period tax provision calculations.</w:t>
      </w:r>
    </w:p>
    <w:p>
      <w:pPr>
        <w:pStyle w:val="TextBody"/>
        <w:bidi w:val="0"/>
        <w:spacing w:lineRule="auto" w:line="345" w:before="0" w:after="0"/>
        <w:ind w:left="0" w:right="0" w:hanging="360"/>
        <w:jc w:val="both"/>
        <w:rPr/>
      </w:pPr>
      <w:r>
        <w:rPr>
          <w:rFonts w:ascii="Times New Roman;sans-serif" w:hAnsi="Times New Roman;sans-serif"/>
          <w:b w:val="false"/>
          <w:color w:val="000000"/>
          <w:sz w:val="10"/>
        </w:rPr>
        <w:t>(6)</w:t>
      </w:r>
      <w:r>
        <w:rPr>
          <w:rFonts w:ascii="Times New Roman;sans-serif" w:hAnsi="Times New Roman;sans-serif"/>
          <w:b w:val="false"/>
          <w:color w:val="000000"/>
          <w:sz w:val="16"/>
        </w:rPr>
        <w:t xml:space="preserve">Emerging markets consist of the results, on an Adjusted EBITDA basis, for non-core jurisdictions where our operations are developing. Markets are no longer considered emerging when we have installed or acquired at least 500 gaming terminals in the jurisdiction, or when 24 months have elapsed from the date we first install or acquire gaming terminals in the jurisdiction, whichever occurs first. We currently view Pennsylvania as an emerging market. Prior to January 2024, Iowa was considered an emerging market. Prior to April 2023, Nebraska was considered an emerging market.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three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2024, was </w:t>
      </w:r>
      <w:r>
        <w:rPr>
          <w:rFonts w:ascii="Times New Roman;sans-serif" w:hAnsi="Times New Roman;sans-serif"/>
          <w:b w:val="false"/>
          <w:color w:val="000000"/>
          <w:sz w:val="20"/>
        </w:rPr>
        <w:t>$46.2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and was essentially flat </w:t>
      </w:r>
      <w:r>
        <w:rPr>
          <w:rFonts w:ascii="Times New Roman;sans-serif" w:hAnsi="Times New Roman;sans-serif"/>
          <w:b w:val="false"/>
          <w:color w:val="000000"/>
          <w:sz w:val="20"/>
          <w:shd w:fill="FFFFFF" w:val="clear"/>
        </w:rPr>
        <w:t xml:space="preserve">compared to the prior-year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the Credit Agreement (as defined below) will be sufficient to meet our capital requirements for the next twelve months. Our primary short-term cash needs are paying operating expenses and contingent earnout payments, purchases of property and equipment, servicing outstanding indebtedness, and funding our Board of Directors approved share repurchase program and near term acquisitions. 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we had $253.9 million in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$150.0 million revolving credit facility, including a letter of credit facility with a $10.0 million sublimit and a swing line </w:t>
      </w:r>
      <w:r>
        <w:rPr>
          <w:rFonts w:ascii="Times New Roman;sans-serif" w:hAnsi="Times New Roman;sans-serif"/>
          <w:b w:val="false"/>
          <w:color w:val="000000"/>
          <w:sz w:val="20"/>
        </w:rPr>
        <w:t xml:space="preserve">facility with a $10.0 million sublimit,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a $350.0 million initial term loan facility, and</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$400.0 million delayed draw term loan facility, which is available for borrowing until October 22, 2024. </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of the Credit Agreement is October 22, 2026. </w:t>
      </w:r>
    </w:p>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there remained $299 million of availability under the Credit Agreement and the weighted-average interest rate on our borrowings under the Credit Agreement was approximately 7.7%.</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We were in compliance with all debt covenants under the Credit Agreement as of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and expect to remain in compliance</w:t>
      </w:r>
      <w:r>
        <w:rPr>
          <w:color w:val="000000"/>
        </w:rPr>
        <w:t xml:space="preserve"> </w:t>
      </w:r>
      <w:r>
        <w:rPr>
          <w:rFonts w:ascii="Times New Roman;sans-serif" w:hAnsi="Times New Roman;sans-serif"/>
          <w:b w:val="false"/>
          <w:color w:val="000000"/>
          <w:sz w:val="20"/>
        </w:rPr>
        <w:t xml:space="preserve">for the next 12 months.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LIBOR/SOFR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We recognized an </w:t>
      </w:r>
      <w:r>
        <w:rPr>
          <w:rFonts w:ascii="Times New Roman;sans-serif" w:hAnsi="Times New Roman;sans-serif"/>
          <w:b w:val="false"/>
          <w:color w:val="000000"/>
          <w:sz w:val="20"/>
        </w:rPr>
        <w:t>unrealized gain,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$1.1 million for the three months ended </w:t>
      </w:r>
      <w:r>
        <w:rPr>
          <w:rFonts w:ascii="Times New Roman;sans-serif" w:hAnsi="Times New Roman;sans-serif"/>
          <w:b w:val="false"/>
          <w:color w:val="000000"/>
          <w:sz w:val="20"/>
          <w:shd w:fill="FFFFFF" w:val="clear"/>
        </w:rPr>
        <w:t>March 31, 2024 a</w:t>
      </w:r>
      <w:r>
        <w:rPr>
          <w:rFonts w:ascii="Times New Roman;sans-serif" w:hAnsi="Times New Roman;sans-serif"/>
          <w:b w:val="false"/>
          <w:color w:val="000000"/>
          <w:sz w:val="20"/>
        </w:rPr>
        <w:t>nd an unrealized loss $2.2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for the three months ended March 31, 2023.</w:t>
      </w:r>
      <w:r>
        <w:rPr>
          <w:color w:val="000000"/>
          <w:shd w:fill="FFFFFF" w:val="clear"/>
        </w:rPr>
        <w:t xml:space="preserve"> </w:t>
      </w:r>
      <w:r>
        <w:rPr>
          <w:rFonts w:ascii="Times New Roman;sans-serif" w:hAnsi="Times New Roman;sans-serif"/>
          <w:b w:val="false"/>
          <w:color w:val="000000"/>
          <w:sz w:val="20"/>
          <w:shd w:fill="FFFFFF" w:val="clear"/>
        </w:rPr>
        <w:t xml:space="preserve">We also recognized interest income on the caplets of $2.6 million and $1.9 million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 xml:space="preserve">March 31, 2024 and 2023, respectively, which are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8829" w:type="dxa"/>
        <w:jc w:val="center"/>
        <w:tblInd w:w="0" w:type="dxa"/>
        <w:tblLayout w:type="fixed"/>
        <w:tblCellMar>
          <w:top w:w="28" w:type="dxa"/>
          <w:left w:w="28" w:type="dxa"/>
          <w:bottom w:w="28" w:type="dxa"/>
          <w:right w:w="28" w:type="dxa"/>
        </w:tblCellMar>
      </w:tblPr>
      <w:tblGrid>
        <w:gridCol w:w="1256"/>
        <w:gridCol w:w="1103"/>
        <w:gridCol w:w="1106"/>
        <w:gridCol w:w="211"/>
        <w:gridCol w:w="721"/>
        <w:gridCol w:w="109"/>
        <w:gridCol w:w="109"/>
        <w:gridCol w:w="109"/>
        <w:gridCol w:w="109"/>
        <w:gridCol w:w="211"/>
        <w:gridCol w:w="721"/>
        <w:gridCol w:w="109"/>
        <w:gridCol w:w="109"/>
        <w:gridCol w:w="109"/>
        <w:gridCol w:w="109"/>
        <w:gridCol w:w="214"/>
        <w:gridCol w:w="703"/>
        <w:gridCol w:w="110"/>
        <w:gridCol w:w="110"/>
        <w:gridCol w:w="110"/>
        <w:gridCol w:w="110"/>
        <w:gridCol w:w="293"/>
        <w:gridCol w:w="293"/>
        <w:gridCol w:w="68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net cash provided by operating activities was $28.8 million, a decrease of $9.2 million compared to the prior-year period due primarily to lower working capital adjustments.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used in investing activities was $25.9 million, an increase of $2.3 million compared to the prior-year period and was primarily attributable to more cash used for advances against a portion of the purchase price on pending business and asset acquisitions. We anticipate our capital expenditures will be approximately $55–65 million in 2024.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used in financing activities was $10.5 million, an increase of $0.6 million compared to the prior-year period. The change reflects an increase in stock repurchases, partially offset by lower net repayments on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2023,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$542.5 million as of March 31, 2024. If the underlying interest rates were to increase by 1.0%, or 100 basis points, the increase in interest expense on our floating rate debt would negatively impact future earnings and cash flows by approximately $2.4 million annually, assuming the balance outstanding under the credit facility remained at $542.5 million. </w:t>
      </w:r>
      <w:r>
        <w:rPr>
          <w:rFonts w:ascii="Times New Roman;sans-serif" w:hAnsi="Times New Roman;sans-serif"/>
          <w:b w:val="false"/>
          <w:color w:val="000000"/>
          <w:sz w:val="20"/>
          <w:shd w:fill="FFFFFF" w:val="clear"/>
        </w:rPr>
        <w:t>In order to protect against higher interest rates in the future on our credit facility, we hedged the variability of the cash flows attributable to the changes in the 1-month LIBOR/SOFR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LIBOR/SOFR interest rate exceeded 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filing of this Form 10-Q for the quarter ended March 31, 2024,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our disclosure controls and procedures were effective at the reasonable assurance level as of March 31, 2024. </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during the quarter ended March 31, 2024, in our internal control over financial reporting that have materially affected, or are reasonably likely to materially affect, our internal control over financial reporting.</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discussion in Note 16,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2023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the risk factors described in Item 1A. “Risk Factors” in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our Board of Directors approved a share repurchase program of up to $200 million shares of our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us to acquire any particular amount of shares, and the repurchase program may be suspended or discontinued at any time at our discretion.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 repurchases were made under our publicly announced program, and there are no other programs under which we repurchase shares. Repurchases under our program, during applicable restricted trading windows that we periodically establish, are executed under the terms of a pre-set trading plan meeting the requirements of Rule 10b5-1(c) of the Securities Exchange Act of 1934, as amended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share repurchases made during the first quarter of 2024:</w:t>
      </w:r>
    </w:p>
    <w:tbl>
      <w:tblPr>
        <w:tblW w:w="10205" w:type="dxa"/>
        <w:jc w:val="center"/>
        <w:tblInd w:w="0" w:type="dxa"/>
        <w:tblLayout w:type="fixed"/>
        <w:tblCellMar>
          <w:top w:w="28" w:type="dxa"/>
          <w:left w:w="28" w:type="dxa"/>
          <w:bottom w:w="28" w:type="dxa"/>
          <w:right w:w="28" w:type="dxa"/>
        </w:tblCellMar>
      </w:tblPr>
      <w:tblGrid>
        <w:gridCol w:w="678"/>
        <w:gridCol w:w="548"/>
        <w:gridCol w:w="554"/>
        <w:gridCol w:w="109"/>
        <w:gridCol w:w="109"/>
        <w:gridCol w:w="109"/>
        <w:gridCol w:w="580"/>
        <w:gridCol w:w="580"/>
        <w:gridCol w:w="582"/>
        <w:gridCol w:w="109"/>
        <w:gridCol w:w="109"/>
        <w:gridCol w:w="109"/>
        <w:gridCol w:w="495"/>
        <w:gridCol w:w="495"/>
        <w:gridCol w:w="497"/>
        <w:gridCol w:w="109"/>
        <w:gridCol w:w="109"/>
        <w:gridCol w:w="109"/>
        <w:gridCol w:w="1233"/>
        <w:gridCol w:w="1233"/>
        <w:gridCol w:w="1749"/>
      </w:tblGrid>
      <w:tr>
        <w:trPr/>
        <w:tc>
          <w:tcPr>
            <w:tcW w:w="6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$78.9</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$76.4</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$75.8</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594,817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Andrew Rubenstein, our President and Chief Executive Officer, entered into a pre-arranged written stock sale plan in accordance with Rule 10b5-1 (the “Rubenstein Rule 10b5-1 Plan”) under the Exchange Act, for the sale of shares of our Class A-1 common stock. The Rubenstein Rule 10b5-1 Plan was entered into during an open trading window in accordance with our insider trading policy and is intended to satisfy the affirmative defense of Rule 10b5-1(c) under the Exchange Act. The Rubenstein Rule 10b5-1 Plan provides for the potential sale of up to 580,000 shares of our Class A-1 common stock, so long as the market price of our Class A-1 common stock is higher than certain minimum threshold prices specified in the Rubenstein Rule 10b5-1 Plan between June 14, 2024 and December 31, 2024.</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Rubenstein Rule 10b5-1 Plan included a representation from Mr. Rubenstein to the broker administering the Rubenstein Rule 10b5-1 Plan that he was not in possession of any material nonpublic information regarding us or our securities subject to the Rubenstein Rule 10b5-1 Plan at the time the Rubenstein Rule 10b5-1 Plan was entered into. A similar representation was made to us in a certification Mr. Rubenstein provided to us in connection with the adoption of the Rubenstein Rule 10b5-1 Plan under our insider trading policy. Those representations were made as of the date of adoption of the Rubenstein Rule 10b5-1 Plan or the certification, as applicable, and speak only as of those dates. In making those representations, there is no assurance with respect to any material nonpublic information of which the officer was unaware, or with respect to any material nonpublic information acquired by the officer or us after the applicable date of the representation.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executed, transactions under the Rubenstein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Rubenstein or our other officers or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before="18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950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431"/>
        <w:gridCol w:w="2431"/>
        <w:gridCol w:w="344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3312024.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3312024.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3312024.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33124.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3ac993cf6be409593ecc31fcbe95ab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10" w:type="dxa"/>
        <w:jc w:val="center"/>
        <w:tblInd w:w="0" w:type="dxa"/>
        <w:tblLayout w:type="fixed"/>
        <w:tblCellMar>
          <w:top w:w="28" w:type="dxa"/>
          <w:left w:w="28" w:type="dxa"/>
          <w:bottom w:w="28" w:type="dxa"/>
          <w:right w:w="28" w:type="dxa"/>
        </w:tblCellMar>
      </w:tblPr>
      <w:tblGrid>
        <w:gridCol w:w="591"/>
        <w:gridCol w:w="520"/>
        <w:gridCol w:w="523"/>
        <w:gridCol w:w="457"/>
        <w:gridCol w:w="457"/>
        <w:gridCol w:w="457"/>
        <w:gridCol w:w="644"/>
        <w:gridCol w:w="644"/>
        <w:gridCol w:w="91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401"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299"/>
        <w:gridCol w:w="1299"/>
        <w:gridCol w:w="184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280"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264"/>
        <w:gridCol w:w="1264"/>
        <w:gridCol w:w="17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March 31, 2024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2024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March 31, 2024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2024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16726</Words>
  <Characters>93224</Characters>
  <CharactersWithSpaces>108780</CharactersWithSpaces>
  <Paragraphs>1983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