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2712024.xml.htm"/>
      <w:bookmarkStart w:id="1" w:name="kswkform3_179271202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Arntzen Steven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 ENTERTAINMENT, INC.</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 TOWER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BURR RIDGE</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Accel Entertainment, Inc.</w:t>
              </w:r>
            </w:hyperlink>
            <w:r>
              <w:rPr/>
              <w:t xml:space="preserve"> [ </w:t>
            </w:r>
            <w:r>
              <w:rPr>
                <w:rFonts w:ascii="Times;serif" w:hAnsi="Times;serif"/>
                <w:color w:val="0000FF"/>
                <w:sz w:val="24"/>
                <w:shd w:fill="FFFFFF" w:val="clear"/>
              </w:rPr>
              <w:t>ACEL</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A-1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269,586</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02/25/2027</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A-1 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19,281</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100% of the RSUs will vest on February 25, 2027, subject to the Reporting Person's continued service to the Issuer on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Issuer's Class A-1 common stock upon settlement for no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Derek Harmer, As Attorney-In-Fact for Steven Arntzen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rntzen-section16poa_202.htm"/>
      <w:bookmarkStart w:id="3" w:name="ksarntzensection16poa_202"/>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The undersigned hereby constitutes and appoints Scott Levin, Brett Summerer, Derek Harmer and John Lee, as long as they are providing services to Accel Entertainment, Inc. or its related entities (the "Company"), or any of them, the undersigned's true and lawful attorney-in-fact to: 1) execute for and on behalf of the undersigned, in the undersigned's capacity as an officer and/or director of the Company, Forms 3, 4 and 5 in accordance with Section 16(a) of the Securities Exchange Act of 1934, as amended (the "Exchange Act"), and the rules and regulations thereunder; 2) 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 3)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or superseded by the undersigned in a signed writing delivered to the foregoing attorneys-in-fact. IN WITNESS WHEREOF, the undersigned has caused this Power of Attorney to be executed as of this 21st day of October 2026. /s/ Steven W. Arntzen Steven W. Arntzen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61365" TargetMode="External"/><Relationship Id="rId3" Type="http://schemas.openxmlformats.org/officeDocument/2006/relationships/hyperlink" Target="http://www.sec.gov/cgi-bin/browse-edgar?action=getcompany&amp;CIK=000169899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1049</Words>
  <Characters>5614</Characters>
  <CharactersWithSpaces>6608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arntzen-section16poa_202</dc:title>
</cp:coreProperties>
</file>