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12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60" w:after="283"/>
        <w:jc w:val="center"/>
        <w:rPr>
          <w:color w:val="000000"/>
        </w:rPr>
      </w:pPr>
      <w:r>
        <w:rPr>
          <w:color w:val="000000"/>
        </w:rPr>
        <w:t>☒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 the quarterly period ended June 30,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120" w:after="283"/>
        <w:ind w:left="0" w:right="0" w:firstLine="90"/>
        <w:jc w:val="center"/>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 the transition period from _______ to 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Commission File Number 001-38136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32"/>
        </w:rPr>
        <w:t>Accel Entertainment, Inc.</w:t>
      </w:r>
      <w:r>
        <w:rPr>
          <w:color w:val="000000"/>
        </w:rPr>
        <w:t xml:space="preserve">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02" w:type="dxa"/>
        <w:jc w:val="center"/>
        <w:tblInd w:w="0" w:type="dxa"/>
        <w:tblLayout w:type="fixed"/>
        <w:tblCellMar>
          <w:top w:w="28" w:type="dxa"/>
          <w:left w:w="28" w:type="dxa"/>
          <w:bottom w:w="28" w:type="dxa"/>
          <w:right w:w="28" w:type="dxa"/>
        </w:tblCellMar>
      </w:tblPr>
      <w:tblGrid>
        <w:gridCol w:w="449"/>
        <w:gridCol w:w="396"/>
        <w:gridCol w:w="396"/>
        <w:gridCol w:w="396"/>
        <w:gridCol w:w="396"/>
        <w:gridCol w:w="409"/>
        <w:gridCol w:w="455"/>
        <w:gridCol w:w="455"/>
        <w:gridCol w:w="650"/>
      </w:tblGrid>
      <w:tr>
        <w:trPr/>
        <w:tc>
          <w:tcPr>
            <w:tcW w:w="4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Delaware</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98-1350261</w:t>
            </w:r>
          </w:p>
        </w:tc>
      </w:tr>
      <w:tr>
        <w:trPr/>
        <w:tc>
          <w:tcPr>
            <w:tcW w:w="244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140 Tower Drive</w:t>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 xml:space="preserve">Burr Ridge, Illinois 60527 </w:t>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(Zip Code)</w:t>
            </w:r>
          </w:p>
        </w:tc>
      </w:tr>
    </w:tbl>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 xml:space="preserve">(630) 972-2235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503" w:type="dxa"/>
        <w:jc w:val="center"/>
        <w:tblInd w:w="0" w:type="dxa"/>
        <w:tblLayout w:type="fixed"/>
        <w:tblCellMar>
          <w:top w:w="28" w:type="dxa"/>
          <w:left w:w="28" w:type="dxa"/>
          <w:bottom w:w="28" w:type="dxa"/>
          <w:right w:w="28" w:type="dxa"/>
        </w:tblCellMar>
      </w:tblPr>
      <w:tblGrid>
        <w:gridCol w:w="1394"/>
        <w:gridCol w:w="1222"/>
        <w:gridCol w:w="1239"/>
        <w:gridCol w:w="444"/>
        <w:gridCol w:w="444"/>
        <w:gridCol w:w="446"/>
        <w:gridCol w:w="970"/>
        <w:gridCol w:w="970"/>
        <w:gridCol w:w="1374"/>
      </w:tblGrid>
      <w:tr>
        <w:trPr/>
        <w:tc>
          <w:tcPr>
            <w:tcW w:w="139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A-1 Common Stock, par value $.0001 per share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ACEL</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New York Stock Exchange</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Indicate by check mark whether the registrant is a shell company (as defined in Rule 12b-2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1, 2025, there were 84,293,802 shares outstanding of the registrant’s Class A-1 Common Stock, par value $.0001 per share.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 ENDED JUNE 30, 2025 </w: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4"/>
        <w:gridCol w:w="266"/>
        <w:gridCol w:w="269"/>
        <w:gridCol w:w="3024"/>
        <w:gridCol w:w="2981"/>
        <w:gridCol w:w="2987"/>
        <w:gridCol w:w="109"/>
        <w:gridCol w:w="109"/>
        <w:gridCol w:w="156"/>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0">
              <w:r>
                <w:rPr>
                  <w:rStyle w:val="InternetLink"/>
                  <w:rFonts w:ascii="Times New Roman;serif" w:hAnsi="Times New Roman;serif"/>
                  <w:b/>
                  <w:strike w:val="false"/>
                  <w:dstrike w:val="false"/>
                  <w:color w:val="000000"/>
                  <w:sz w:val="20"/>
                  <w:u w:val="none"/>
                  <w:effect w:val="none"/>
                </w:rPr>
                <w:t>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0">
              <w:r>
                <w:rPr>
                  <w:rStyle w:val="InternetLink"/>
                  <w:rFonts w:ascii="Times New Roman;serif" w:hAnsi="Times New Roman;serif"/>
                  <w:b w:val="false"/>
                  <w:strike w:val="false"/>
                  <w:dstrike w:val="false"/>
                  <w:color w:val="0000FF"/>
                  <w:sz w:val="20"/>
                  <w:u w:val="none"/>
                  <w:effect w:val="none"/>
                </w:rPr>
                <w:t>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
              <w:r>
                <w:rPr>
                  <w:rStyle w:val="InternetLink"/>
                  <w:rFonts w:ascii="Times New Roman;serif" w:hAnsi="Times New Roman;serif"/>
                  <w:b w:val="false"/>
                  <w:strike w:val="false"/>
                  <w:dstrike w:val="false"/>
                  <w:color w:val="000000"/>
                  <w:sz w:val="20"/>
                  <w:u w:val="none"/>
                  <w:effect w:val="none"/>
                </w:rPr>
                <w:t>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
              <w:r>
                <w:rPr>
                  <w:rStyle w:val="InternetLink"/>
                  <w:rFonts w:ascii="Times New Roman;serif" w:hAnsi="Times New Roman;serif"/>
                  <w:b w:val="false"/>
                  <w:strike w:val="false"/>
                  <w:dstrike w:val="false"/>
                  <w:color w:val="0000FF"/>
                  <w:sz w:val="20"/>
                  <w:u w:val="none"/>
                  <w:effect w:val="none"/>
                </w:rPr>
                <w:t>1</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and Comprehensive Income (Unaudited) for the three and six months ended June 30, 2025 and 2024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6">
              <w:r>
                <w:rPr>
                  <w:rStyle w:val="InternetLink"/>
                  <w:rFonts w:ascii="Times New Roman;serif" w:hAnsi="Times New Roman;serif"/>
                  <w:b w:val="false"/>
                  <w:strike w:val="false"/>
                  <w:dstrike w:val="false"/>
                  <w:color w:val="0000FF"/>
                  <w:sz w:val="20"/>
                  <w:u w:val="none"/>
                  <w:effect w:val="none"/>
                </w:rPr>
                <w:t>1</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 as of June 30, 2025 and December 31, 2024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9">
              <w:r>
                <w:rPr>
                  <w:rStyle w:val="InternetLink"/>
                  <w:rFonts w:ascii="Times New Roman;serif" w:hAnsi="Times New Roman;serif"/>
                  <w:b w:val="false"/>
                  <w:strike w:val="false"/>
                  <w:dstrike w:val="false"/>
                  <w:color w:val="0000FF"/>
                  <w:sz w:val="20"/>
                  <w:u w:val="none"/>
                  <w:effect w:val="none"/>
                </w:rPr>
                <w:t>2</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22">
              <w:r>
                <w:rPr>
                  <w:rStyle w:val="InternetLink"/>
                  <w:rFonts w:ascii="Times New Roman;serif" w:hAnsi="Times New Roman;serif"/>
                  <w:b w:val="false"/>
                  <w:strike w:val="false"/>
                  <w:dstrike w:val="false"/>
                  <w:color w:val="000000"/>
                  <w:sz w:val="20"/>
                  <w:u w:val="none"/>
                  <w:effect w:val="none"/>
                </w:rPr>
                <w:t>Condensed Consolidated Statements of Stockholders’ Equity</w:t>
              </w:r>
            </w:hyperlink>
            <w:r>
              <w:rPr>
                <w:rFonts w:ascii="Times New Roman;serif" w:hAnsi="Times New Roman;serif"/>
                <w:b w:val="false"/>
                <w:color w:val="000000"/>
                <w:sz w:val="20"/>
              </w:rPr>
              <w:t xml:space="preserve"> (Unaudited) for the three and six months ended June 30, 2025 and 2024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2">
              <w:r>
                <w:rPr>
                  <w:rStyle w:val="InternetLink"/>
                  <w:rFonts w:ascii="Times New Roman;serif" w:hAnsi="Times New Roman;serif"/>
                  <w:b w:val="false"/>
                  <w:strike w:val="false"/>
                  <w:dstrike w:val="false"/>
                  <w:color w:val="0000FF"/>
                  <w:sz w:val="20"/>
                  <w:u w:val="none"/>
                  <w:effect w:val="none"/>
                </w:rPr>
                <w:t>3</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 for the six months ended June 30, 2025 and 2024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5">
              <w:r>
                <w:rPr>
                  <w:rStyle w:val="InternetLink"/>
                  <w:rFonts w:ascii="Times New Roman;serif" w:hAnsi="Times New Roman;serif"/>
                  <w:b w:val="false"/>
                  <w:strike w:val="false"/>
                  <w:dstrike w:val="false"/>
                  <w:color w:val="0000FF"/>
                  <w:sz w:val="20"/>
                  <w:u w:val="none"/>
                  <w:effect w:val="none"/>
                </w:rPr>
                <w:t>4</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 (Unaudited)</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8">
              <w:r>
                <w:rPr>
                  <w:rStyle w:val="InternetLink"/>
                  <w:rFonts w:ascii="Times New Roman;serif" w:hAnsi="Times New Roman;serif"/>
                  <w:b w:val="false"/>
                  <w:strike w:val="false"/>
                  <w:dstrike w:val="false"/>
                  <w:color w:val="0000FF"/>
                  <w:sz w:val="20"/>
                  <w:u w:val="none"/>
                  <w:effect w:val="none"/>
                </w:rPr>
                <w:t>6</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88">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88">
              <w:r>
                <w:rPr>
                  <w:rStyle w:val="InternetLink"/>
                  <w:rFonts w:ascii="Times New Roman;serif" w:hAnsi="Times New Roman;serif"/>
                  <w:b w:val="false"/>
                  <w:strike w:val="false"/>
                  <w:dstrike w:val="false"/>
                  <w:color w:val="0000FF"/>
                  <w:sz w:val="20"/>
                  <w:u w:val="none"/>
                  <w:effect w:val="none"/>
                </w:rPr>
                <w:t>27</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18">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18">
              <w:r>
                <w:rPr>
                  <w:rStyle w:val="InternetLink"/>
                  <w:rFonts w:ascii="Times New Roman;serif" w:hAnsi="Times New Roman;serif"/>
                  <w:b w:val="false"/>
                  <w:strike w:val="false"/>
                  <w:dstrike w:val="false"/>
                  <w:color w:val="0000FF"/>
                  <w:sz w:val="20"/>
                  <w:u w:val="none"/>
                  <w:effect w:val="none"/>
                </w:rPr>
                <w:t>42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1">
              <w:r>
                <w:rPr>
                  <w:rStyle w:val="InternetLink"/>
                  <w:rFonts w:ascii="Times New Roman;serif" w:hAnsi="Times New Roman;serif"/>
                  <w:b w:val="false"/>
                  <w:strike w:val="false"/>
                  <w:dstrike w:val="false"/>
                  <w:color w:val="000000"/>
                  <w:sz w:val="20"/>
                  <w:u w:val="none"/>
                  <w:effect w:val="non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1">
              <w:r>
                <w:rPr>
                  <w:rStyle w:val="InternetLink"/>
                  <w:rFonts w:ascii="Times New Roman;serif" w:hAnsi="Times New Roman;serif"/>
                  <w:b w:val="false"/>
                  <w:strike w:val="false"/>
                  <w:dstrike w:val="false"/>
                  <w:color w:val="0000FF"/>
                  <w:sz w:val="20"/>
                  <w:u w:val="none"/>
                  <w:effect w:val="none"/>
                </w:rPr>
                <w:t>42</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4">
              <w:r>
                <w:rPr>
                  <w:rStyle w:val="InternetLink"/>
                  <w:rFonts w:ascii="Times New Roman;serif" w:hAnsi="Times New Roman;serif"/>
                  <w:b/>
                  <w:strike w:val="false"/>
                  <w:dstrike w:val="false"/>
                  <w:color w:val="000000"/>
                  <w:sz w:val="20"/>
                  <w:u w:val="none"/>
                  <w:effect w:val="non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4">
              <w:r>
                <w:rPr>
                  <w:rStyle w:val="InternetLink"/>
                  <w:rFonts w:ascii="Times New Roman;serif" w:hAnsi="Times New Roman;serif"/>
                  <w:b w:val="false"/>
                  <w:strike w:val="false"/>
                  <w:dstrike w:val="false"/>
                  <w:color w:val="0000FF"/>
                  <w:sz w:val="20"/>
                  <w:u w:val="none"/>
                  <w:effect w:val="none"/>
                </w:rPr>
                <w:t>43</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7">
              <w:r>
                <w:rPr>
                  <w:rStyle w:val="InternetLink"/>
                  <w:rFonts w:ascii="Times New Roman;serif" w:hAnsi="Times New Roman;serif"/>
                  <w:b w:val="false"/>
                  <w:strike w:val="false"/>
                  <w:dstrike w:val="false"/>
                  <w:color w:val="000000"/>
                  <w:sz w:val="20"/>
                  <w:u w:val="none"/>
                  <w:effect w:val="non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7">
              <w:r>
                <w:rPr>
                  <w:rStyle w:val="InternetLink"/>
                  <w:rFonts w:ascii="Times New Roman;serif" w:hAnsi="Times New Roman;serif"/>
                  <w:b w:val="false"/>
                  <w:strike w:val="false"/>
                  <w:dstrike w:val="false"/>
                  <w:color w:val="0000FF"/>
                  <w:sz w:val="20"/>
                  <w:u w:val="none"/>
                  <w:effect w:val="none"/>
                </w:rPr>
                <w:t>43</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0">
              <w:r>
                <w:rPr>
                  <w:rStyle w:val="InternetLink"/>
                  <w:rFonts w:ascii="Times New Roman;serif" w:hAnsi="Times New Roman;serif"/>
                  <w:b w:val="false"/>
                  <w:strike w:val="false"/>
                  <w:dstrike w:val="false"/>
                  <w:color w:val="000000"/>
                  <w:sz w:val="20"/>
                  <w:u w:val="none"/>
                  <w:effect w:val="non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0">
              <w:r>
                <w:rPr>
                  <w:rStyle w:val="InternetLink"/>
                  <w:rFonts w:ascii="Times New Roman;serif" w:hAnsi="Times New Roman;serif"/>
                  <w:b w:val="false"/>
                  <w:strike w:val="false"/>
                  <w:dstrike w:val="false"/>
                  <w:color w:val="0000FF"/>
                  <w:sz w:val="20"/>
                  <w:u w:val="none"/>
                  <w:effect w:val="none"/>
                </w:rPr>
                <w:t>43</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3">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3">
              <w:r>
                <w:rPr>
                  <w:rStyle w:val="InternetLink"/>
                  <w:rFonts w:ascii="Times New Roman;serif" w:hAnsi="Times New Roman;serif"/>
                  <w:b w:val="false"/>
                  <w:strike w:val="false"/>
                  <w:dstrike w:val="false"/>
                  <w:color w:val="0000FF"/>
                  <w:sz w:val="20"/>
                  <w:u w:val="none"/>
                  <w:effect w:val="none"/>
                </w:rPr>
                <w:t>43</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6">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6">
              <w:r>
                <w:rPr>
                  <w:rStyle w:val="InternetLink"/>
                  <w:rFonts w:ascii="Times New Roman;serif" w:hAnsi="Times New Roman;serif"/>
                  <w:b w:val="false"/>
                  <w:strike w:val="false"/>
                  <w:dstrike w:val="false"/>
                  <w:color w:val="0000FF"/>
                  <w:sz w:val="20"/>
                  <w:u w:val="none"/>
                  <w:effect w:val="none"/>
                </w:rPr>
                <w:t>44</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9">
              <w:r>
                <w:rPr>
                  <w:rStyle w:val="InternetLink"/>
                  <w:rFonts w:ascii="Times New Roman;serif" w:hAnsi="Times New Roman;serif"/>
                  <w:b w:val="false"/>
                  <w:strike w:val="false"/>
                  <w:dstrike w:val="false"/>
                  <w:color w:val="000000"/>
                  <w:sz w:val="20"/>
                  <w:u w:val="none"/>
                  <w:effect w:val="none"/>
                </w:rPr>
                <w:t>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9">
              <w:r>
                <w:rPr>
                  <w:rStyle w:val="InternetLink"/>
                  <w:rFonts w:ascii="Times New Roman;serif" w:hAnsi="Times New Roman;serif"/>
                  <w:b w:val="false"/>
                  <w:strike w:val="false"/>
                  <w:dstrike w:val="false"/>
                  <w:color w:val="0000FF"/>
                  <w:sz w:val="20"/>
                  <w:u w:val="none"/>
                  <w:effect w:val="none"/>
                </w:rPr>
                <w:t>44</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a1bbe62dbe4bb4a9e64dc7eff97e26_142">
              <w:r>
                <w:rPr>
                  <w:rStyle w:val="InternetLink"/>
                  <w:rFonts w:ascii="Times New Roman;serif" w:hAnsi="Times New Roman;serif"/>
                  <w:b w:val="false"/>
                  <w:strike w:val="false"/>
                  <w:dstrike w:val="false"/>
                  <w:color w:val="0000FF"/>
                  <w:sz w:val="20"/>
                  <w:u w:val="none"/>
                  <w:effect w:val="none"/>
                </w:rPr>
                <w:t>44</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48">
              <w:r>
                <w:rPr>
                  <w:rStyle w:val="InternetLink"/>
                  <w:rFonts w:ascii="Times New Roman;serif" w:hAnsi="Times New Roman;serif"/>
                  <w:b w:val="false"/>
                  <w:strike w:val="false"/>
                  <w:dstrike w:val="false"/>
                  <w:color w:val="000000"/>
                  <w:sz w:val="20"/>
                  <w:u w:val="none"/>
                  <w:effect w:val="none"/>
                </w:rPr>
                <w:t>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a1bbe62dbe4bb4a9e64dc7eff97e26_148">
              <w:r>
                <w:rPr>
                  <w:rStyle w:val="InternetLink"/>
                  <w:rFonts w:ascii="Times New Roman;serif" w:hAnsi="Times New Roman;serif"/>
                  <w:b w:val="false"/>
                  <w:strike w:val="false"/>
                  <w:dstrike w:val="false"/>
                  <w:color w:val="0000FF"/>
                  <w:sz w:val="20"/>
                  <w:u w:val="none"/>
                  <w:effect w:val="none"/>
                </w:rPr>
                <w:t>45</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51">
              <w:r>
                <w:rPr>
                  <w:rStyle w:val="InternetLink"/>
                  <w:rFonts w:ascii="Times New Roman;serif" w:hAnsi="Times New Roman;serif"/>
                  <w:b w:val="false"/>
                  <w:strike w:val="false"/>
                  <w:dstrike w:val="false"/>
                  <w:color w:val="000000"/>
                  <w:sz w:val="20"/>
                  <w:u w:val="none"/>
                  <w:effect w:val="non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51">
              <w:r>
                <w:rPr>
                  <w:rStyle w:val="InternetLink"/>
                  <w:rFonts w:ascii="Times New Roman;serif" w:hAnsi="Times New Roman;serif"/>
                  <w:b w:val="false"/>
                  <w:strike w:val="false"/>
                  <w:dstrike w:val="false"/>
                  <w:color w:val="0000FF"/>
                  <w:sz w:val="20"/>
                  <w:u w:val="none"/>
                  <w:effect w:val="non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(Unaudited)</w:t>
      </w:r>
    </w:p>
    <w:tbl>
      <w:tblPr>
        <w:tblW w:w="10205" w:type="dxa"/>
        <w:jc w:val="center"/>
        <w:tblInd w:w="0" w:type="dxa"/>
        <w:tblLayout w:type="fixed"/>
        <w:tblCellMar>
          <w:top w:w="28" w:type="dxa"/>
          <w:left w:w="28" w:type="dxa"/>
          <w:bottom w:w="28" w:type="dxa"/>
          <w:right w:w="28" w:type="dxa"/>
        </w:tblCellMar>
      </w:tblPr>
      <w:tblGrid>
        <w:gridCol w:w="1851"/>
        <w:gridCol w:w="1367"/>
        <w:gridCol w:w="137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5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gaming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Amusement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fees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goods sold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change in fair value of contingent earnout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before income tax expense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Net income attributed to redeemable 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Accel Entertainment,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(loss) gain on interest rate caplets (net of income tax (benefit) expense of $(312), $(403), $(738), and $2 respectively)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Less: Comprehensive income attributable to redeemable 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Accel Entertainment,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ind w:left="0" w:right="0" w:firstLine="36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124"/>
        <w:gridCol w:w="2169"/>
        <w:gridCol w:w="2187"/>
        <w:gridCol w:w="196"/>
        <w:gridCol w:w="871"/>
        <w:gridCol w:w="109"/>
        <w:gridCol w:w="109"/>
        <w:gridCol w:w="109"/>
        <w:gridCol w:w="109"/>
        <w:gridCol w:w="196"/>
        <w:gridCol w:w="871"/>
        <w:gridCol w:w="155"/>
      </w:tblGrid>
      <w:tr>
        <w:trPr/>
        <w:tc>
          <w:tcPr>
            <w:tcW w:w="3124"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par value and share amounts)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281,305 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caplets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326,152 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307,997 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Route and customer acquisition costs,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Location contracts acquired,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202,618 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noncurrent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414,249 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1,056,256 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1,048,398 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Liabilities, Temporary equity,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debt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route and customer acquisition costs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location gaming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state gaming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related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consideration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118,353 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net of current maturities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560,936 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Route and customer acquisition costs payable, less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Consideration payable, less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earnout share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liabilities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liability,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47,372 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long-term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670,738 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Temporary equity - Redeemable 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par value of $0.0001; 1,000,000 shares authorized; 0 shares issued and outstanding at June 30, 2025 and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A-1 Common Stock, par value $0.0001; 250,000,000 shares authorized; 96,289,273 shares issued and 84,471,410 shares outstanding at June 30, 2025; 95,865,026 shares issued and 85,670,255 shares outstanding at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221,625 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(105,485)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134,736 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255,029 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Total liabilities, temporary equity,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1,056,256 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1,048,398 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635" w:type="dxa"/>
        <w:jc w:val="center"/>
        <w:tblInd w:w="0" w:type="dxa"/>
        <w:tblLayout w:type="fixed"/>
        <w:tblCellMar>
          <w:top w:w="28" w:type="dxa"/>
          <w:left w:w="28" w:type="dxa"/>
          <w:bottom w:w="28" w:type="dxa"/>
          <w:right w:w="28" w:type="dxa"/>
        </w:tblCellMar>
      </w:tblPr>
      <w:tblGrid>
        <w:gridCol w:w="591"/>
        <w:gridCol w:w="282"/>
        <w:gridCol w:w="283"/>
        <w:gridCol w:w="259"/>
        <w:gridCol w:w="736"/>
        <w:gridCol w:w="146"/>
        <w:gridCol w:w="109"/>
        <w:gridCol w:w="109"/>
        <w:gridCol w:w="109"/>
        <w:gridCol w:w="109"/>
        <w:gridCol w:w="109"/>
        <w:gridCol w:w="109"/>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88"/>
        <w:gridCol w:w="488"/>
        <w:gridCol w:w="186"/>
        <w:gridCol w:w="109"/>
        <w:gridCol w:w="109"/>
        <w:gridCol w:w="109"/>
        <w:gridCol w:w="196"/>
        <w:gridCol w:w="751"/>
        <w:gridCol w:w="109"/>
        <w:gridCol w:w="109"/>
        <w:gridCol w:w="109"/>
        <w:gridCol w:w="109"/>
        <w:gridCol w:w="269"/>
        <w:gridCol w:w="765"/>
        <w:gridCol w:w="152"/>
        <w:gridCol w:w="109"/>
        <w:gridCol w:w="109"/>
        <w:gridCol w:w="109"/>
        <w:gridCol w:w="196"/>
        <w:gridCol w:w="736"/>
        <w:gridCol w:w="109"/>
        <w:gridCol w:w="109"/>
        <w:gridCol w:w="109"/>
        <w:gridCol w:w="109"/>
        <w:gridCol w:w="196"/>
        <w:gridCol w:w="73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shares)</w:t>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Temporary equity -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Stockholders’</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January 1, 2025</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85,670,255 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(10,194,771)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(988,678)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(988,678)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caplets, net of taxes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84,927,240 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(11,183,449)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(634,414)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(634,414)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caplets, net of taxes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84,471,410 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(11,817,863)</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3560" w:type="dxa"/>
        <w:jc w:val="center"/>
        <w:tblInd w:w="0" w:type="dxa"/>
        <w:tblLayout w:type="fixed"/>
        <w:tblCellMar>
          <w:top w:w="28" w:type="dxa"/>
          <w:left w:w="28" w:type="dxa"/>
          <w:bottom w:w="28" w:type="dxa"/>
          <w:right w:w="28" w:type="dxa"/>
        </w:tblCellMar>
      </w:tblPr>
      <w:tblGrid>
        <w:gridCol w:w="516"/>
        <w:gridCol w:w="282"/>
        <w:gridCol w:w="283"/>
        <w:gridCol w:w="314"/>
        <w:gridCol w:w="651"/>
        <w:gridCol w:w="176"/>
        <w:gridCol w:w="109"/>
        <w:gridCol w:w="109"/>
        <w:gridCol w:w="109"/>
        <w:gridCol w:w="109"/>
        <w:gridCol w:w="109"/>
        <w:gridCol w:w="109"/>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88"/>
        <w:gridCol w:w="488"/>
        <w:gridCol w:w="186"/>
        <w:gridCol w:w="109"/>
        <w:gridCol w:w="109"/>
        <w:gridCol w:w="109"/>
        <w:gridCol w:w="196"/>
        <w:gridCol w:w="751"/>
        <w:gridCol w:w="109"/>
        <w:gridCol w:w="109"/>
        <w:gridCol w:w="109"/>
        <w:gridCol w:w="109"/>
        <w:gridCol w:w="269"/>
        <w:gridCol w:w="765"/>
        <w:gridCol w:w="152"/>
        <w:gridCol w:w="109"/>
        <w:gridCol w:w="109"/>
        <w:gridCol w:w="109"/>
        <w:gridCol w:w="196"/>
        <w:gridCol w:w="736"/>
        <w:gridCol w:w="109"/>
        <w:gridCol w:w="109"/>
        <w:gridCol w:w="109"/>
        <w:gridCol w:w="109"/>
        <w:gridCol w:w="196"/>
        <w:gridCol w:w="73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shares)</w:t>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Temporary equity -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January 1, 2024</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84,123,385 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(10,893,575)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(594,817)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(594,817)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caplets, net of taxes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March 31, 2024</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83,778,268 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(11,488,392)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(905,932)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(905,932)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caplets, net of taxes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82,958,153 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(12,394,324)</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97"/>
        <w:gridCol w:w="1876"/>
        <w:gridCol w:w="1880"/>
        <w:gridCol w:w="331"/>
        <w:gridCol w:w="1244"/>
        <w:gridCol w:w="184"/>
        <w:gridCol w:w="184"/>
        <w:gridCol w:w="184"/>
        <w:gridCol w:w="184"/>
        <w:gridCol w:w="331"/>
        <w:gridCol w:w="1244"/>
        <w:gridCol w:w="266"/>
      </w:tblGrid>
      <w:tr>
        <w:trPr/>
        <w:tc>
          <w:tcPr>
            <w:tcW w:w="229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ACCEL ENTERTAINMENT, INC.</w:t>
              <w:br/>
              <w:t>CONDENSED CONSOLIDATED STATEMENTS OF CASH FLOWS</w:t>
              <w:br/>
              <w:t>(Unaudited)</w:t>
            </w:r>
          </w:p>
        </w:tc>
      </w:tr>
      <w:tr>
        <w:trPr/>
        <w:tc>
          <w:tcPr>
            <w:tcW w:w="6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4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21,875 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22,002 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25,396 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21,228 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 and 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11,027 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Loss (gain) on change in fair value of contingent earnout shares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on write-off of route and customer acquisition costs and 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Remeasurement of contingent consideration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Payments on consideration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Accretion of interest on route and customer acquisition costs payable, contingent consideration, and contingent stock consideration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Prepaid expenses, deposits and other current assets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(7,475)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related expenses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64,557 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57,614 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(52,797)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(38,147)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settlement of convertible notes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Deposits against a portion of the purchase price on a pending business acquisition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(9,043)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Acquisition of indefinite-lived operating license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(9,450)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Investment in unconsolidated affiliate</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and asset acquisitions, net of cash acquired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(17,464)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(59,963)</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(69,324)</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7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debt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debt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(64,225)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repurchase of common stock</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interest rate caplets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stock-based awards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consideration payable</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stock-based payments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cash (used in) provided by financing activities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(21,269)</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decrease in cash and cash equivalents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(16,675)</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(6,688)</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281,305 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261,611 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264,630 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254,923 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38"/>
        <w:gridCol w:w="1524"/>
        <w:gridCol w:w="1513"/>
        <w:gridCol w:w="467"/>
        <w:gridCol w:w="1543"/>
        <w:gridCol w:w="259"/>
        <w:gridCol w:w="259"/>
        <w:gridCol w:w="259"/>
        <w:gridCol w:w="259"/>
        <w:gridCol w:w="467"/>
        <w:gridCol w:w="1543"/>
        <w:gridCol w:w="374"/>
      </w:tblGrid>
      <w:tr>
        <w:trPr/>
        <w:tc>
          <w:tcPr>
            <w:tcW w:w="173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ACCEL ENTERTAINMENT, INC.</w:t>
              <w:br/>
              <w:t>CONDENSED CONSOLIDATED STATEMENTS OF CASH FLOWS - (Continued)</w:t>
              <w:br/>
              <w:t>(Unaudited)</w:t>
            </w:r>
          </w:p>
        </w:tc>
      </w:tr>
      <w:tr>
        <w:trPr/>
        <w:tc>
          <w:tcPr>
            <w:tcW w:w="4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5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2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for:</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 net</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16,010 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15,918 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15,523 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11,214 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schedules of noncash investing and financing activities:</w:t>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 accounts payable and accrued liabilities</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7,706 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10,382 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on interest rate caplets</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and assets:</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identifiable net assets acquired</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19,566 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consideration payable</w:t>
            </w:r>
          </w:p>
        </w:tc>
        <w:tc>
          <w:tcPr>
            <w:tcW w:w="2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(2,102)</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purchase price</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17,464 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 Description of Business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Accel Entertainment, Inc. (and together with its subsidiaries, </w:t>
      </w:r>
      <w:r>
        <w:rPr>
          <w:rFonts w:ascii="Times New Roman;serif" w:hAnsi="Times New Roman;serif"/>
          <w:b w:val="false"/>
          <w:color w:val="000000"/>
          <w:sz w:val="20"/>
          <w:shd w:fill="FFFFFF" w:val="clear"/>
        </w:rPr>
        <w:t xml:space="preserve">the </w:t>
      </w:r>
      <w:r>
        <w:rPr>
          <w:color w:val="000000"/>
        </w:rPr>
        <w:t>“</w:t>
      </w:r>
      <w:r>
        <w:rPr>
          <w:rFonts w:ascii="Times New Roman;serif" w:hAnsi="Times New Roman;serif"/>
          <w:b w:val="false"/>
          <w:color w:val="000000"/>
          <w:sz w:val="20"/>
          <w:shd w:fill="FFFFFF" w:val="clear"/>
        </w:rPr>
        <w:t>Company</w:t>
      </w:r>
      <w:r>
        <w:rPr>
          <w:color w:val="000000"/>
        </w:rPr>
        <w:t xml:space="preserve">” </w:t>
      </w:r>
      <w:r>
        <w:rPr>
          <w:rFonts w:ascii="Times New Roman;serif" w:hAnsi="Times New Roman;serif"/>
          <w:b w:val="false"/>
          <w:color w:val="000000"/>
          <w:sz w:val="20"/>
        </w:rPr>
        <w:t>or “Accel”)</w:t>
      </w:r>
      <w:r>
        <w:rPr>
          <w:color w:val="000000"/>
          <w:shd w:fill="FFFFFF" w:val="clear"/>
        </w:rPr>
        <w:t xml:space="preserve"> </w:t>
      </w:r>
      <w:r>
        <w:rPr>
          <w:rFonts w:ascii="Times New Roman;serif" w:hAnsi="Times New Roman;serif"/>
          <w:b w:val="false"/>
          <w:color w:val="000000"/>
          <w:sz w:val="20"/>
          <w:shd w:fill="FFFFFF" w:val="clear"/>
        </w:rPr>
        <w:t>is a leading distributed gaming operator in the United States (“U.S.”), as well as a developer of brick-and-mortar casinos that serve local gaming markets and horse racing venues. The Company has operations in Illinois, Montana, Nevada, Nebraska, Georgia, Iowa, Louisiana and Pennsylvania. The Company is subject to the various regulations in the states in which it operates, as well as various other federal, state and local laws and regulations.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business primarily consists of the installation, maintenance, operation and servicing of gaming terminals and related equipment, redemption devices that disburse winnings and contain automated teller machine (“ATM”) functionality, and amusement devices in authorized non-casino locations such as bars, restaurants, convenience stores, truck stops, and fraternal and veteran establishments as well as casinos and horse racing venues. The Company also operates stand-alone ATMs in gaming and non-gaming locations and designs and manufactures gaming terminals and related equipment.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Summary of Significant Accounting Policies</w:t>
      </w:r>
    </w:p>
    <w:p>
      <w:pPr>
        <w:pStyle w:val="TextBody"/>
        <w:bidi w:val="0"/>
        <w:spacing w:lineRule="auto" w:line="345" w:before="160" w:after="283"/>
        <w:jc w:val="both"/>
        <w:rPr/>
      </w:pPr>
      <w:r>
        <w:rPr>
          <w:rFonts w:ascii="Times New Roman;serif" w:hAnsi="Times New Roman;serif"/>
          <w:b/>
          <w:color w:val="000000"/>
          <w:sz w:val="20"/>
          <w:shd w:fill="FFFFFF" w:val="clear"/>
        </w:rPr>
        <w:t>Basis of presentation and preparation</w:t>
      </w:r>
      <w:r>
        <w:rPr>
          <w:rFonts w:ascii="Times New Roman;serif" w:hAnsi="Times New Roman;serif"/>
          <w:b w:val="false"/>
          <w:color w:val="000000"/>
          <w:sz w:val="20"/>
          <w:shd w:fill="FFFFFF" w:val="clear"/>
        </w:rPr>
        <w:t xml:space="preserve">: The condensed consolidated financial statements and accompanying notes were prepared in conformity with U.S. generally accepted accounting principles (“GAAP”) and the rules and regulations of the Securities and Exchange Commission (“SEC”). </w:t>
      </w:r>
      <w:r>
        <w:rPr>
          <w:rFonts w:ascii="Times New Roman;serif" w:hAnsi="Times New Roman;serif"/>
          <w:b w:val="false"/>
          <w:color w:val="000000"/>
          <w:sz w:val="20"/>
        </w:rPr>
        <w:t xml:space="preserve">The condensed consolidated financial statements include the accounts of the Company and of its wholly-owned subsidiaries. All significant intercompany balances and transactions have been eliminated in consolidation.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2024 </w:t>
      </w:r>
      <w:r>
        <w:rPr>
          <w:rFonts w:ascii="Times New Roman;serif" w:hAnsi="Times New Roman;serif"/>
          <w:b w:val="false"/>
          <w:color w:val="000000"/>
          <w:sz w:val="20"/>
          <w:shd w:fill="FFFFFF" w:val="clear"/>
        </w:rPr>
        <w:t>(the “Form 10-K”)</w:t>
      </w:r>
      <w:r>
        <w:rPr>
          <w:rFonts w:ascii="Times New Roman;serif" w:hAnsi="Times New Roman;serif"/>
          <w:b w:val="false"/>
          <w:color w:val="000000"/>
          <w:sz w:val="20"/>
        </w:rPr>
        <w:t xml:space="preserve">.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 </w:t>
      </w:r>
    </w:p>
    <w:p>
      <w:pPr>
        <w:pStyle w:val="TextBody"/>
        <w:bidi w:val="0"/>
        <w:spacing w:lineRule="auto" w:line="345" w:before="160" w:after="283"/>
        <w:jc w:val="both"/>
        <w:rPr/>
      </w:pPr>
      <w:r>
        <w:rPr>
          <w:rFonts w:ascii="Times New Roman;serif" w:hAnsi="Times New Roman;serif"/>
          <w:b/>
          <w:color w:val="000000"/>
          <w:sz w:val="20"/>
          <w:shd w:fill="FFFFFF" w:val="clear"/>
        </w:rPr>
        <w:t>Use of estimates</w:t>
      </w:r>
      <w:r>
        <w:rPr>
          <w:rFonts w:ascii="Times New Roman;serif" w:hAnsi="Times New Roman;serif"/>
          <w:b w:val="false"/>
          <w:color w:val="000000"/>
          <w:sz w:val="20"/>
          <w:shd w:fill="FFFFFF" w:val="clear"/>
        </w:rPr>
        <w:t>: The preparation of the condensed consolidated financial statements requires management to make estimates and assumptions that affect i) the reported amounts of assets and liabilities, ii) disclosure of contingent assets and liabilities at the date of the condensed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and asset acquisitions, the selection of useful lives for depreciable and amortizable assets in conjunction with business and asset acquisitions, the valuation of level 3 investments, the valuation of contingent earnout shares, the valuation of interest rate caplets, contingencies, and the expected term of share-based compensation awards and stock price volatility when computing stock-based compensation expense. Actual results may differ from those estimates.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erif" w:hAnsi="Times New Roman;serif"/>
          <w:b/>
          <w:color w:val="000000"/>
          <w:sz w:val="20"/>
          <w:shd w:fill="FFFFFF" w:val="clear"/>
        </w:rPr>
        <w:t>Equity method investments:</w:t>
      </w:r>
      <w:r>
        <w:rPr>
          <w:color w:val="000000"/>
          <w:shd w:fill="FFFFFF" w:val="clear"/>
        </w:rPr>
        <w:t xml:space="preserve"> </w:t>
      </w:r>
      <w:r>
        <w:rPr>
          <w:rFonts w:ascii="Times New Roman;serif" w:hAnsi="Times New Roman;serif"/>
          <w:b w:val="false"/>
          <w:color w:val="000000"/>
          <w:sz w:val="20"/>
          <w:shd w:fill="FFFFFF" w:val="clear"/>
        </w:rPr>
        <w:t xml:space="preserve">In the normal course of business, the Company makes investments in companies that will allow it to expand the Company’s core business and enter new markets. In certain instances, such investments with less than 100% ownership may be considered a variable interest entity (“VIE”). The Company’s management assesses whether it has the power to direct activities that most significantly impact the economic performance of the entity and has an obligation to absorb losses or the right to receive benefits from the entity. The activities that the Company believes most significantly impact the economic performance of its VIEs include the unilateral ability to approve the annual budget, to terminate key management and to approve entering into agreements with providers, among others. If the Company determines it has an investment in a VIE, the next step is to determine whether the Company is the primary beneficiary of the VIE, which would require the Company to consolidate the investment. In assessing whether it has a </w:t>
      </w:r>
      <w:r>
        <w:rPr>
          <w:rFonts w:ascii="Times New Roman;serif" w:hAnsi="Times New Roman;serif"/>
          <w:b w:val="false"/>
          <w:color w:val="000000"/>
          <w:sz w:val="20"/>
        </w:rPr>
        <w:t>controlling financial interest, the Company’s management assesses, among other factors,</w:t>
      </w:r>
      <w:r>
        <w:rPr>
          <w:color w:val="000000"/>
          <w:shd w:fill="FFFFFF" w:val="clear"/>
        </w:rPr>
        <w:t xml:space="preserve"> </w:t>
      </w:r>
      <w:r>
        <w:rPr>
          <w:rFonts w:ascii="Times New Roman;serif" w:hAnsi="Times New Roman;serif"/>
          <w:b w:val="false"/>
          <w:color w:val="000000"/>
          <w:sz w:val="20"/>
          <w:shd w:fill="FFFFFF" w:val="clear"/>
        </w:rPr>
        <w:t xml:space="preserve">the Company’s risk of loss, its investment percentage and its ability to control the operations of the investment. If the Company determines it is not the primary beneficiary, it will account for the investment under the equity method of accounting. </w:t>
      </w:r>
    </w:p>
    <w:p>
      <w:pPr>
        <w:pStyle w:val="TextBody"/>
        <w:bidi w:val="0"/>
        <w:spacing w:lineRule="auto" w:line="345" w:before="180" w:after="283"/>
        <w:jc w:val="both"/>
        <w:rPr/>
      </w:pPr>
      <w:r>
        <w:rPr>
          <w:rFonts w:ascii="Times New Roman;serif" w:hAnsi="Times New Roman;serif"/>
          <w:b w:val="false"/>
          <w:color w:val="000000"/>
          <w:sz w:val="20"/>
        </w:rPr>
        <w:t xml:space="preserve">The Company accounts for its investments in unconsolidated affiliates, which do not meet the controlling financial interest consolidation criteria of the authoritative accounting guidance for VIEs, under the equity method of accounting. Under the equity method of accounting, </w:t>
      </w:r>
      <w:r>
        <w:rPr>
          <w:rFonts w:ascii="Times New Roman;serif" w:hAnsi="Times New Roman;serif"/>
          <w:b w:val="false"/>
          <w:color w:val="000000"/>
          <w:sz w:val="20"/>
          <w:shd w:fill="FFFFFF" w:val="clear"/>
        </w:rPr>
        <w:t xml:space="preserve">the Company records its share of net income or loss from equity method investments within (income) loss from unconsolidated affiliates in the condensed consolidated statements of operations and comprehensive income based on the most recently available financials after a lag of one quarter. The Company also adjusts the carrying value of its investments in unconsolidated affiliates based on its share of net income or loss from equity method investments. </w:t>
      </w:r>
    </w:p>
    <w:p>
      <w:pPr>
        <w:pStyle w:val="TextBody"/>
        <w:bidi w:val="0"/>
        <w:spacing w:lineRule="auto" w:line="345" w:before="160" w:after="283"/>
        <w:jc w:val="both"/>
        <w:rPr/>
      </w:pPr>
      <w:r>
        <w:rPr>
          <w:rFonts w:ascii="Times New Roman;serif" w:hAnsi="Times New Roman;serif"/>
          <w:b w:val="false"/>
          <w:color w:val="000000"/>
          <w:sz w:val="20"/>
          <w:shd w:fill="FFFFFF" w:val="clear"/>
        </w:rPr>
        <w:t xml:space="preserve">On June 17, 2024, the Company invested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 xml:space="preserve">in HBC Gaming LLC (“HBC”), in exchange for a </w:t>
      </w:r>
      <w:r>
        <w:rPr>
          <w:rFonts w:ascii="Times New Roman;serif" w:hAnsi="Times New Roman;serif"/>
          <w:b w:val="false"/>
          <w:color w:val="000000"/>
          <w:sz w:val="20"/>
        </w:rPr>
        <w:t>5%</w:t>
      </w:r>
      <w:r>
        <w:rPr>
          <w:color w:val="000000"/>
          <w:shd w:fill="FFFFFF" w:val="clear"/>
        </w:rPr>
        <w:t xml:space="preserve"> </w:t>
      </w:r>
      <w:r>
        <w:rPr>
          <w:rFonts w:ascii="Times New Roman;serif" w:hAnsi="Times New Roman;serif"/>
          <w:b w:val="false"/>
          <w:color w:val="000000"/>
          <w:sz w:val="20"/>
          <w:shd w:fill="FFFFFF" w:val="clear"/>
        </w:rPr>
        <w:t xml:space="preserve">equity interest. HBC is a local entertainment company based in Hampton, New Hampshire that specializes in providing a variety of gaming services to its customers. The Company’s </w:t>
      </w:r>
      <w:r>
        <w:rPr>
          <w:rFonts w:ascii="Times New Roman;serif" w:hAnsi="Times New Roman;serif"/>
          <w:b w:val="false"/>
          <w:color w:val="000000"/>
          <w:sz w:val="20"/>
        </w:rPr>
        <w:t>5%</w:t>
      </w:r>
      <w:r>
        <w:rPr>
          <w:color w:val="000000"/>
          <w:shd w:fill="FFFFFF" w:val="clear"/>
        </w:rPr>
        <w:t xml:space="preserve"> </w:t>
      </w:r>
      <w:r>
        <w:rPr>
          <w:rFonts w:ascii="Times New Roman;serif" w:hAnsi="Times New Roman;serif"/>
          <w:b w:val="false"/>
          <w:color w:val="000000"/>
          <w:sz w:val="20"/>
          <w:shd w:fill="FFFFFF" w:val="clear"/>
        </w:rPr>
        <w:t xml:space="preserve">investment qualifies for equity method accounting. The Company recorded its initial investment of </w:t>
      </w:r>
      <w:r>
        <w:rPr>
          <w:rFonts w:ascii="Times New Roman;serif" w:hAnsi="Times New Roman;serif"/>
          <w:b w:val="false"/>
          <w:color w:val="000000"/>
          <w:sz w:val="20"/>
        </w:rPr>
        <w:t>$5.0 million within other assets on th</w:t>
      </w:r>
      <w:r>
        <w:rPr>
          <w:rFonts w:ascii="Times New Roman;serif" w:hAnsi="Times New Roman;serif"/>
          <w:b w:val="false"/>
          <w:color w:val="000000"/>
          <w:sz w:val="20"/>
          <w:shd w:fill="FFFFFF" w:val="clear"/>
        </w:rPr>
        <w:t xml:space="preserve">e condensed consolidated balance sheets. The Company also has obligations to fund additional equity investments in the event certain construction and development milestones are met in an amount up to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shd w:fill="FFFFFF" w:val="clear"/>
        </w:rPr>
        <w:t xml:space="preserve">ownership of HBC, on an undiluted basis, at an additional cost of up to </w:t>
      </w:r>
      <w:r>
        <w:rPr>
          <w:rFonts w:ascii="Times New Roman;serif" w:hAnsi="Times New Roman;serif"/>
          <w:b w:val="false"/>
          <w:color w:val="000000"/>
          <w:sz w:val="20"/>
        </w:rPr>
        <w:t>$6.5 million</w:t>
      </w:r>
      <w:r>
        <w:rPr>
          <w:rFonts w:ascii="Times New Roman;serif" w:hAnsi="Times New Roman;serif"/>
          <w:b w:val="false"/>
          <w:color w:val="000000"/>
          <w:sz w:val="20"/>
          <w:shd w:fill="FFFFFF" w:val="clear"/>
        </w:rPr>
        <w:t>.</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The Company recorded a loss from unconsolidated affiliates of less than </w:t>
      </w:r>
      <w:r>
        <w:rPr>
          <w:rFonts w:ascii="Times New Roman;serif" w:hAnsi="Times New Roman;serif"/>
          <w:b w:val="false"/>
          <w:color w:val="000000"/>
          <w:sz w:val="20"/>
        </w:rPr>
        <w:t xml:space="preserve">$0.1 million for the three and six months ended </w:t>
      </w:r>
      <w:r>
        <w:rPr>
          <w:rFonts w:ascii="Times New Roman;serif" w:hAnsi="Times New Roman;serif"/>
          <w:b w:val="false"/>
          <w:color w:val="000000"/>
          <w:sz w:val="20"/>
          <w:shd w:fill="FFFFFF" w:val="clear"/>
        </w:rPr>
        <w:t>June 30, 2025.</w:t>
      </w:r>
    </w:p>
    <w:p>
      <w:pPr>
        <w:pStyle w:val="TextBody"/>
        <w:bidi w:val="0"/>
        <w:spacing w:lineRule="auto" w:line="345" w:before="160" w:after="283"/>
        <w:jc w:val="both"/>
        <w:rPr/>
      </w:pPr>
      <w:r>
        <w:rPr>
          <w:rFonts w:ascii="Times New Roman;serif" w:hAnsi="Times New Roman;serif"/>
          <w:b/>
          <w:color w:val="000000"/>
          <w:sz w:val="20"/>
          <w:shd w:fill="FFFFFF" w:val="clear"/>
        </w:rPr>
        <w:t>Revenue recognition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Company primarily generates revenues from the following types of services: gaming terminals, amusements, and ATMs. The Company also generates manufacturing revenue from the sale of gaming terminals and associated software, as well as revenue from its casino &amp; racing operations. Revenue is disaggregated by type of revenue and is presented on the face of the condensed consolidated statements of operations and comprehensive income.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erif" w:hAnsi="Times New Roman;serif"/>
          <w:b w:val="false"/>
          <w:color w:val="000000"/>
          <w:sz w:val="20"/>
          <w:shd w:fill="FFFFFF" w:val="clear"/>
        </w:rPr>
        <w:t xml:space="preserve">Total net revenues for the three and six months ended </w:t>
      </w:r>
      <w:r>
        <w:rPr>
          <w:rFonts w:ascii="Times New Roman;serif" w:hAnsi="Times New Roman;serif"/>
          <w:b w:val="false"/>
          <w:color w:val="000000"/>
          <w:sz w:val="20"/>
        </w:rPr>
        <w:t>June 30,</w:t>
      </w:r>
      <w:r>
        <w:rPr>
          <w:color w:val="000000"/>
          <w:shd w:fill="FFFFFF" w:val="clear"/>
        </w:rPr>
        <w:t xml:space="preserve"> </w:t>
      </w:r>
      <w:r>
        <w:rPr>
          <w:rFonts w:ascii="Times New Roman;serif" w:hAnsi="Times New Roman;serif"/>
          <w:b w:val="false"/>
          <w:color w:val="000000"/>
          <w:sz w:val="20"/>
          <w:shd w:fill="FFFFFF" w:val="clear"/>
        </w:rPr>
        <w:t>2025 and 2024 is disaggregated in the following table by the primary states in which the Company operates.</w:t>
      </w:r>
    </w:p>
    <w:tbl>
      <w:tblPr>
        <w:tblW w:w="8046"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112"/>
        <w:gridCol w:w="112"/>
        <w:gridCol w:w="112"/>
        <w:gridCol w:w="112"/>
        <w:gridCol w:w="218"/>
        <w:gridCol w:w="854"/>
        <w:gridCol w:w="112"/>
        <w:gridCol w:w="109"/>
        <w:gridCol w:w="109"/>
        <w:gridCol w:w="109"/>
        <w:gridCol w:w="211"/>
        <w:gridCol w:w="82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478,913 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659,821 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611,230 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jc w:val="both"/>
        <w:rPr/>
      </w:pPr>
      <w:r>
        <w:rPr>
          <w:rFonts w:ascii="Times New Roman;serif" w:hAnsi="Times New Roman;serif"/>
          <w:b/>
          <w:color w:val="000000"/>
          <w:sz w:val="20"/>
          <w:shd w:fill="FFFFFF" w:val="clear"/>
        </w:rPr>
        <w:t>Recent accounting pronouncements</w:t>
      </w:r>
      <w:r>
        <w:rPr>
          <w:rFonts w:ascii="Times New Roman;serif" w:hAnsi="Times New Roman;serif"/>
          <w:b w:val="false"/>
          <w:i/>
          <w:color w:val="000000"/>
          <w:sz w:val="20"/>
          <w:shd w:fill="FFFFFF" w:val="clear"/>
        </w:rPr>
        <w:t>: </w:t>
      </w:r>
      <w:r>
        <w:rPr>
          <w:rFonts w:ascii="Times New Roman;serif" w:hAnsi="Times New Roman;serif"/>
          <w:b w:val="false"/>
          <w:color w:val="000000"/>
          <w:sz w:val="20"/>
          <w:shd w:fill="FFFFFF" w:val="clear"/>
        </w:rPr>
        <w:t xml:space="preserve">In May 2025, the Financial Accounting Standards Board </w:t>
      </w:r>
      <w:r>
        <w:rPr>
          <w:rFonts w:ascii="Times New Roman;serif" w:hAnsi="Times New Roman;serif"/>
          <w:b w:val="false"/>
          <w:color w:val="000000"/>
          <w:sz w:val="20"/>
        </w:rPr>
        <w:t>(“FASB”) is</w:t>
      </w:r>
      <w:r>
        <w:rPr>
          <w:rFonts w:ascii="Times New Roman;serif" w:hAnsi="Times New Roman;serif"/>
          <w:b w:val="false"/>
          <w:color w:val="000000"/>
          <w:sz w:val="20"/>
          <w:shd w:fill="FFFFFF" w:val="clear"/>
        </w:rPr>
        <w:t>sued Accounting Standards Update (</w:t>
      </w:r>
      <w:r>
        <w:rPr>
          <w:color w:val="000000"/>
        </w:rPr>
        <w:t>“</w:t>
      </w:r>
      <w:r>
        <w:rPr>
          <w:rFonts w:ascii="Times New Roman;serif" w:hAnsi="Times New Roman;serif"/>
          <w:b w:val="false"/>
          <w:color w:val="000000"/>
          <w:sz w:val="20"/>
        </w:rPr>
        <w:t xml:space="preserve">ASU”) 2025-03, </w:t>
      </w:r>
      <w:r>
        <w:rPr>
          <w:rFonts w:ascii="Times New Roman;serif" w:hAnsi="Times New Roman;serif"/>
          <w:b w:val="false"/>
          <w:i/>
          <w:color w:val="000000"/>
          <w:sz w:val="20"/>
        </w:rPr>
        <w:t xml:space="preserve">Business Combinations (Topic 805) and Consolidation (Topic 810): Determining the Accounting Acquirer in the Acquisition of a Variable Interest Entity, </w:t>
      </w:r>
      <w:r>
        <w:rPr>
          <w:rFonts w:ascii="Times New Roman;serif" w:hAnsi="Times New Roman;serif"/>
          <w:b w:val="false"/>
          <w:color w:val="000000"/>
          <w:sz w:val="20"/>
          <w:shd w:fill="FFFFFF" w:val="clear"/>
        </w:rPr>
        <w:t>which provides enhanced comparability of financial statements across entities engaging in acquisition transactions effected primarily by exchanging equity interests when the legal acquiree meets the definition of a business. The ASU is effective for fiscal years beginning after December 15, 2026, and interim periods within those annual reporting periods. Entities must adopt the changes prospectively to any acquisition transaction that occurs after the initial application date. The Company is currently evaluating the potential effect that this ASU will have on its financial statement disclosures.</w:t>
      </w:r>
    </w:p>
    <w:p>
      <w:pPr>
        <w:pStyle w:val="TextBody"/>
        <w:bidi w:val="0"/>
        <w:spacing w:lineRule="auto" w:line="345" w:before="160" w:after="283"/>
        <w:jc w:val="both"/>
        <w:rPr/>
      </w:pPr>
      <w:r>
        <w:rPr>
          <w:rFonts w:ascii="Times New Roman;serif" w:hAnsi="Times New Roman;serif"/>
          <w:b w:val="false"/>
          <w:color w:val="000000"/>
          <w:sz w:val="20"/>
          <w:shd w:fill="FFFFFF" w:val="clear"/>
        </w:rPr>
        <w:t xml:space="preserve">In May 2025, the FASB issued ASU 2025-04, </w:t>
      </w:r>
      <w:r>
        <w:rPr>
          <w:rFonts w:ascii="Times New Roman;serif" w:hAnsi="Times New Roman;serif"/>
          <w:b w:val="false"/>
          <w:i/>
          <w:color w:val="000000"/>
          <w:sz w:val="20"/>
          <w:shd w:fill="FFFFFF" w:val="clear"/>
        </w:rPr>
        <w:t>Compensation—Stock Compensation (Topic 718) and Revenue from Contracts with Customers (Topic 606): Clarifications to Share-Based Consideration Payable to a Customer</w:t>
      </w:r>
      <w:r>
        <w:rPr>
          <w:rFonts w:ascii="Times New Roman;serif" w:hAnsi="Times New Roman;serif"/>
          <w:b w:val="false"/>
          <w:color w:val="000000"/>
          <w:sz w:val="20"/>
          <w:shd w:fill="FFFFFF" w:val="clear"/>
        </w:rPr>
        <w:t>, which provides enhanced definitions and treatment of share-based consideration payable to a customer (including share-based consideration payable to other parties that purchase the grantor’s goods or services from the grantor’s customers) with a service condition. The ASU is effective for fiscal years beginning after December 15, 2026, and interim periods within those annual reporting periods. Entities must adopt the changes either 1) modified retrospectively to financial statements issued for reporting periods after the effective date of this update or 2) retrospectively to any or all prior periods presented in the financial statements. The Company is currently evaluating the potential effect that this ASU will have on its financial statement disclosures.</w:t>
      </w:r>
    </w:p>
    <w:p>
      <w:pPr>
        <w:pStyle w:val="TextBody"/>
        <w:bidi w:val="0"/>
        <w:spacing w:lineRule="auto" w:line="345" w:before="160" w:after="283"/>
        <w:jc w:val="both"/>
        <w:rPr/>
      </w:pPr>
      <w:r>
        <w:rPr>
          <w:rFonts w:ascii="Times New Roman;serif" w:hAnsi="Times New Roman;serif"/>
          <w:b w:val="false"/>
          <w:color w:val="000000"/>
          <w:sz w:val="20"/>
          <w:shd w:fill="FFFFFF" w:val="clear"/>
        </w:rPr>
        <w:t xml:space="preserve">In November 2024, the FASB issued ASU 2024-03, </w:t>
      </w:r>
      <w:r>
        <w:rPr>
          <w:rFonts w:ascii="Times New Roman;serif" w:hAnsi="Times New Roman;serif"/>
          <w:b w:val="false"/>
          <w:i/>
          <w:color w:val="000000"/>
          <w:sz w:val="20"/>
          <w:shd w:fill="FFFFFF" w:val="clear"/>
        </w:rPr>
        <w:t>Income Statement - Reporting Comprehensive Income (Subtopic 220-40)</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Disaggregation of Income Statement Expenses,</w:t>
      </w:r>
      <w:r>
        <w:rPr>
          <w:color w:val="000000"/>
          <w:shd w:fill="FFFFFF" w:val="clear"/>
        </w:rPr>
        <w:t xml:space="preserve"> </w:t>
      </w:r>
      <w:r>
        <w:rPr>
          <w:rFonts w:ascii="Times New Roman;serif" w:hAnsi="Times New Roman;serif"/>
          <w:b w:val="false"/>
          <w:color w:val="000000"/>
          <w:sz w:val="20"/>
          <w:shd w:fill="FFFFFF" w:val="clear"/>
        </w:rPr>
        <w:t xml:space="preserve">which requires public entities to disclose information about certain costs and expenses. The amendments in this ASU improve financial reporting by requiring additional disclosure of information and specific expense categories in the notes to the financial statements at interim and annual periods. The ASU is effective for fiscal years beginning after December 15, 2026, and interim periods within annual reporting periods beginning after December 15, 2027. Entities must adopt the changes either 1) prospectively to financial statements issued for reporting periods after the effective date of this update or 2) retrospectively to any or all prior periods presented in the financial statements. The Company is currently evaluating the potential effect that this ASU will have on its financial statement disclosures. </w:t>
      </w:r>
    </w:p>
    <w:p>
      <w:pPr>
        <w:pStyle w:val="TextBody"/>
        <w:bidi w:val="0"/>
        <w:spacing w:lineRule="auto" w:line="345" w:before="160" w:after="283"/>
        <w:jc w:val="both"/>
        <w:rPr/>
      </w:pPr>
      <w:r>
        <w:rPr>
          <w:rFonts w:ascii="Times New Roman;serif" w:hAnsi="Times New Roman;serif"/>
          <w:b w:val="false"/>
          <w:color w:val="000000"/>
          <w:sz w:val="20"/>
          <w:shd w:fill="FFFFFF" w:val="clear"/>
        </w:rPr>
        <w:t xml:space="preserve">In November 2024, the FASB issued ASU 2024-04, </w:t>
      </w:r>
      <w:r>
        <w:rPr>
          <w:rFonts w:ascii="Times New Roman;serif" w:hAnsi="Times New Roman;serif"/>
          <w:b w:val="false"/>
          <w:i/>
          <w:color w:val="000000"/>
          <w:sz w:val="20"/>
          <w:shd w:fill="FFFFFF" w:val="clear"/>
        </w:rPr>
        <w:t>Debt - Debt with Conversion and Other Options (Subtopic 470-20)</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Induced Conversion of Convertible Debt Instruments,</w:t>
      </w:r>
      <w:r>
        <w:rPr>
          <w:color w:val="000000"/>
          <w:shd w:fill="FFFFFF" w:val="clear"/>
        </w:rPr>
        <w:t xml:space="preserve"> </w:t>
      </w:r>
      <w:r>
        <w:rPr>
          <w:rFonts w:ascii="Times New Roman;serif" w:hAnsi="Times New Roman;serif"/>
          <w:b w:val="false"/>
          <w:color w:val="000000"/>
          <w:sz w:val="20"/>
          <w:shd w:fill="FFFFFF" w:val="clear"/>
        </w:rPr>
        <w:t xml:space="preserve">which requires public entities that settle convertible debt instruments for which the conversion privileges were changed to induce conversion and enhances current guidance on induced conversions applies only to conversions that include the issuance of all equity securities issuable pursuant to the conversion privileges provided in the terms of the debt at issuance. The ASU is effective for fiscal years beginning after December 15, 2025, and interim periods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annual reporting periods. Entities must adopt the changes either (1) prospectively to financial statements issued for reporting periods after the effective date of this update or (2) retrospectively to any or all prior periods presented in the financial statements. The Company is currently evaluating the potential effect that this ASU will have on its financial statement disclosures.</w:t>
      </w:r>
    </w:p>
    <w:p>
      <w:pPr>
        <w:pStyle w:val="TextBody"/>
        <w:bidi w:val="0"/>
        <w:spacing w:lineRule="auto" w:line="345" w:before="160" w:after="283"/>
        <w:jc w:val="both"/>
        <w:rPr/>
      </w:pPr>
      <w:r>
        <w:rPr>
          <w:rFonts w:ascii="Times New Roman;serif" w:hAnsi="Times New Roman;serif"/>
          <w:b w:val="false"/>
          <w:color w:val="000000"/>
          <w:sz w:val="20"/>
          <w:shd w:fill="FFFFFF" w:val="clear"/>
        </w:rPr>
        <w:t xml:space="preserve">On December 14, 2023, the FASB issued ASU 2023-09, </w:t>
      </w:r>
      <w:r>
        <w:rPr>
          <w:rFonts w:ascii="Times New Roman;serif" w:hAnsi="Times New Roman;serif"/>
          <w:b w:val="false"/>
          <w:i/>
          <w:color w:val="000000"/>
          <w:sz w:val="20"/>
          <w:shd w:fill="FFFFFF" w:val="clear"/>
        </w:rPr>
        <w:t>Income Taxes (Topic 740): Improvements to Income Tax Disclosures</w:t>
      </w:r>
      <w:r>
        <w:rPr>
          <w:rFonts w:ascii="Times New Roman;serif" w:hAnsi="Times New Roman;serif"/>
          <w:b w:val="false"/>
          <w:color w:val="000000"/>
          <w:sz w:val="20"/>
          <w:shd w:fill="FFFFFF" w:val="clear"/>
        </w:rPr>
        <w:t>. The ASU requires disaggregated information about a reporting entity’s effective tax rate reconciliation as well as information on income taxes paid disaggregated by jurisdiction. The new requirements will be effective for annual periods beginning after December 15, 2024, and will be applied on a prospective basis with the option to apply the standard retrospectively. The Company is currently evaluating the potential effect that this ASU will have on its financial statement disclosures.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Other recently issued accounting standards or pronouncements have been excluded because they are either not relevant to the Company, or are not expected to have, or did not have, a material effect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Inventories</w:t>
      </w:r>
    </w:p>
    <w:p>
      <w:pPr>
        <w:pStyle w:val="TextBody"/>
        <w:bidi w:val="0"/>
        <w:spacing w:lineRule="auto" w:line="288" w:before="240" w:after="283"/>
        <w:jc w:val="left"/>
        <w:rPr/>
      </w:pPr>
      <w:r>
        <w:rPr>
          <w:rFonts w:ascii="Times New Roman;serif" w:hAnsi="Times New Roman;serif"/>
          <w:b w:val="false"/>
          <w:color w:val="000000"/>
          <w:sz w:val="20"/>
          <w:shd w:fill="FFFFFF" w:val="clear"/>
        </w:rPr>
        <w:t>Inventories consist of the following as of</w:t>
      </w:r>
      <w:r>
        <w:rPr>
          <w:color w:val="000000"/>
        </w:rPr>
        <w:t xml:space="preserve"> </w:t>
      </w:r>
      <w:r>
        <w:rPr>
          <w:rFonts w:ascii="Times New Roman;serif" w:hAnsi="Times New Roman;serif"/>
          <w:b w:val="false"/>
          <w:color w:val="000000"/>
          <w:sz w:val="20"/>
          <w:shd w:fill="FFFFFF" w:val="clear"/>
        </w:rPr>
        <w:t>June 30, 2025</w:t>
      </w:r>
      <w:r>
        <w:rPr>
          <w:color w:val="000000"/>
        </w:rPr>
        <w:t xml:space="preserve"> </w:t>
      </w:r>
      <w:r>
        <w:rPr>
          <w:rFonts w:ascii="Times New Roman;serif" w:hAnsi="Times New Roman;serif"/>
          <w:b w:val="false"/>
          <w:color w:val="000000"/>
          <w:sz w:val="20"/>
        </w:rPr>
        <w:t>and December 31, 2024</w:t>
      </w:r>
      <w:r>
        <w:rPr>
          <w:color w:val="000000"/>
          <w:shd w:fill="FFFFFF" w:val="clear"/>
        </w:rPr>
        <w:t xml:space="preserve"> </w:t>
      </w:r>
      <w:r>
        <w:rPr>
          <w:rFonts w:ascii="Times New Roman;serif" w:hAnsi="Times New Roman;serif"/>
          <w:b w:val="false"/>
          <w:color w:val="000000"/>
          <w:sz w:val="20"/>
          <w:shd w:fill="FFFFFF" w:val="clear"/>
        </w:rPr>
        <w:t>(in thousands):</w:t>
      </w:r>
    </w:p>
    <w:tbl>
      <w:tblPr>
        <w:tblW w:w="6586" w:type="dxa"/>
        <w:jc w:val="center"/>
        <w:tblInd w:w="0" w:type="dxa"/>
        <w:tblLayout w:type="fixed"/>
        <w:tblCellMar>
          <w:top w:w="28" w:type="dxa"/>
          <w:left w:w="28" w:type="dxa"/>
          <w:bottom w:w="28" w:type="dxa"/>
          <w:right w:w="28" w:type="dxa"/>
        </w:tblCellMar>
      </w:tblPr>
      <w:tblGrid>
        <w:gridCol w:w="1287"/>
        <w:gridCol w:w="1132"/>
        <w:gridCol w:w="1135"/>
        <w:gridCol w:w="211"/>
        <w:gridCol w:w="616"/>
        <w:gridCol w:w="109"/>
        <w:gridCol w:w="109"/>
        <w:gridCol w:w="109"/>
        <w:gridCol w:w="109"/>
        <w:gridCol w:w="380"/>
        <w:gridCol w:w="1110"/>
        <w:gridCol w:w="279"/>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manufacturing supplies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As of June 30, 2025 and December 31,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no write down of inventory was determined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Investment in Convertible Notes</w:t>
      </w:r>
    </w:p>
    <w:p>
      <w:pPr>
        <w:pStyle w:val="TextBody"/>
        <w:bidi w:val="0"/>
        <w:spacing w:lineRule="auto" w:line="345" w:before="180" w:after="283"/>
        <w:ind w:left="0" w:right="0" w:firstLine="360"/>
        <w:jc w:val="both"/>
        <w:rPr/>
      </w:pPr>
      <w:r>
        <w:rPr>
          <w:rFonts w:ascii="Times New Roman;serif" w:hAnsi="Times New Roman;serif"/>
          <w:b w:val="false"/>
          <w:color w:val="000000"/>
          <w:sz w:val="20"/>
        </w:rPr>
        <w:t>On May 31, 2023, the Company and Gold Rush Amusements, Inc. (“Gold Rush”), another terminal operator in Illinois, entered into a settlement agreement which resolved any and all lawsuits and all outstanding obligations under the Company’s investment in Gold Rush’s convertible notes. The Company received the remaining $1.5 million due under the settlement agreement</w:t>
      </w:r>
      <w:r>
        <w:rPr>
          <w:color w:val="000000"/>
          <w:shd w:fill="FFFFFF" w:val="clear"/>
        </w:rPr>
        <w:t xml:space="preserve"> </w:t>
      </w:r>
      <w:r>
        <w:rPr>
          <w:rFonts w:ascii="Times New Roman;serif" w:hAnsi="Times New Roman;serif"/>
          <w:b w:val="false"/>
          <w:color w:val="000000"/>
          <w:sz w:val="20"/>
          <w:shd w:fill="FFFFFF" w:val="clear"/>
        </w:rPr>
        <w:t>i</w:t>
      </w:r>
      <w:r>
        <w:rPr>
          <w:rFonts w:ascii="Times New Roman;serif" w:hAnsi="Times New Roman;serif"/>
          <w:b w:val="false"/>
          <w:color w:val="000000"/>
          <w:sz w:val="20"/>
        </w:rPr>
        <w:t xml:space="preserve">n April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Property and equipment consist of the following as of</w:t>
      </w:r>
      <w:r>
        <w:rPr>
          <w:color w:val="000000"/>
        </w:rPr>
        <w:t xml:space="preserve"> </w:t>
      </w:r>
      <w:r>
        <w:rPr>
          <w:rFonts w:ascii="Times New Roman;serif" w:hAnsi="Times New Roman;serif"/>
          <w:b w:val="false"/>
          <w:color w:val="000000"/>
          <w:sz w:val="20"/>
          <w:shd w:fill="FFFFFF" w:val="clear"/>
        </w:rPr>
        <w:t>June 30, 2025,</w:t>
      </w:r>
      <w:r>
        <w:rPr>
          <w:color w:val="000000"/>
        </w:rPr>
        <w:t xml:space="preserve"> </w:t>
      </w:r>
      <w:r>
        <w:rPr>
          <w:rFonts w:ascii="Times New Roman;serif" w:hAnsi="Times New Roman;serif"/>
          <w:b w:val="false"/>
          <w:color w:val="000000"/>
          <w:sz w:val="20"/>
        </w:rPr>
        <w:t>and December 31, 2024</w:t>
      </w:r>
      <w:r>
        <w:rPr>
          <w:color w:val="000000"/>
          <w:shd w:fill="FFFFFF" w:val="clear"/>
        </w:rPr>
        <w:t xml:space="preserve"> </w:t>
      </w:r>
      <w:r>
        <w:rPr>
          <w:rFonts w:ascii="Times New Roman;serif" w:hAnsi="Times New Roman;serif"/>
          <w:b w:val="false"/>
          <w:color w:val="000000"/>
          <w:sz w:val="20"/>
          <w:shd w:fill="FFFFFF" w:val="clear"/>
        </w:rPr>
        <w:t>(in thousands):</w:t>
      </w:r>
    </w:p>
    <w:tbl>
      <w:tblPr>
        <w:tblW w:w="6827" w:type="dxa"/>
        <w:jc w:val="center"/>
        <w:tblInd w:w="0" w:type="dxa"/>
        <w:tblLayout w:type="fixed"/>
        <w:tblCellMar>
          <w:top w:w="28" w:type="dxa"/>
          <w:left w:w="28" w:type="dxa"/>
          <w:bottom w:w="28" w:type="dxa"/>
          <w:right w:w="28" w:type="dxa"/>
        </w:tblCellMar>
      </w:tblPr>
      <w:tblGrid>
        <w:gridCol w:w="1467"/>
        <w:gridCol w:w="1287"/>
        <w:gridCol w:w="1296"/>
        <w:gridCol w:w="211"/>
        <w:gridCol w:w="826"/>
        <w:gridCol w:w="109"/>
        <w:gridCol w:w="109"/>
        <w:gridCol w:w="109"/>
        <w:gridCol w:w="109"/>
        <w:gridCol w:w="231"/>
        <w:gridCol w:w="905"/>
        <w:gridCol w:w="168"/>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Gaming terminals, software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415,003 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Amusement, ATM and other equipment</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29,174 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589,430 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546,995 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(238,998)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307,997 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erif" w:hAnsi="Times New Roman;serif"/>
          <w:b w:val="false"/>
          <w:color w:val="000000"/>
          <w:sz w:val="20"/>
          <w:shd w:fill="FFFFFF" w:val="clear"/>
        </w:rPr>
        <w:t xml:space="preserve">Depreciation and amortization of property and equipment was $13.1 million and </w:t>
      </w:r>
      <w:r>
        <w:rPr>
          <w:rFonts w:ascii="Times New Roman;serif" w:hAnsi="Times New Roman;serif"/>
          <w:b w:val="false"/>
          <w:color w:val="000000"/>
          <w:sz w:val="20"/>
        </w:rPr>
        <w:t xml:space="preserve">$25.4 million for the three and six months ended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respectively</w:t>
      </w:r>
      <w:r>
        <w:rPr>
          <w:rFonts w:ascii="Times New Roman;serif" w:hAnsi="Times New Roman;serif"/>
          <w:b w:val="false"/>
          <w:color w:val="000000"/>
          <w:sz w:val="20"/>
          <w:shd w:fill="FFFFFF" w:val="clear"/>
        </w:rPr>
        <w:t xml:space="preserve">. In comparison, depreciation and amortization of property and equipment was </w:t>
      </w:r>
      <w:r>
        <w:rPr>
          <w:rFonts w:ascii="Times New Roman;serif" w:hAnsi="Times New Roman;serif"/>
          <w:b w:val="false"/>
          <w:color w:val="000000"/>
          <w:sz w:val="20"/>
        </w:rPr>
        <w:t>$10.8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$21.2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2024</w:t>
      </w:r>
      <w:r>
        <w:rPr>
          <w:rFonts w:ascii="Times New Roman;serif" w:hAnsi="Times New Roman;serif"/>
          <w:b w:val="false"/>
          <w:color w:val="000000"/>
          <w:sz w:val="20"/>
          <w:shd w:fill="FFFFFF" w:val="clear"/>
        </w:rPr>
        <w:t xml:space="preserv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Route and Customer Acquisition Costs</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The Company enters into contracts with third parties and its gaming locations to install and operate gaming terminals. Payments are due when gaming operations commence and then on a periodic basis for a specified period of time thereafter. Gross payments due, based on the number of live locations, were approximately $15.1 million and $11.2 million as of June 30,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2024, respectively. Payments are due over varying terms of the individual agreements and are discounted at the Company’s incremental borrowing rate associated with its long-term debt at the time the contract is acquired. The net present value of payments due was $12.6 million and $9.4 million as of June 30,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December 31, 2024, respectively, of which approximately $2.6 million and </w:t>
      </w:r>
      <w:r>
        <w:rPr>
          <w:rFonts w:ascii="Times New Roman;serif" w:hAnsi="Times New Roman;serif"/>
          <w:b w:val="false"/>
          <w:color w:val="000000"/>
          <w:sz w:val="20"/>
        </w:rPr>
        <w:t xml:space="preserve">$2.2 million </w:t>
      </w:r>
      <w:r>
        <w:rPr>
          <w:rFonts w:ascii="Times New Roman;serif" w:hAnsi="Times New Roman;serif"/>
          <w:b w:val="false"/>
          <w:color w:val="000000"/>
          <w:sz w:val="20"/>
          <w:shd w:fill="FFFFFF" w:val="clear"/>
        </w:rPr>
        <w:t>was included in current liabilities in the accompanying condensed consolidated balance sheets as of June 30, 2025</w:t>
      </w:r>
      <w:r>
        <w:rPr>
          <w:color w:val="000000"/>
        </w:rPr>
        <w:t xml:space="preserve"> </w:t>
      </w:r>
      <w:r>
        <w:rPr>
          <w:rFonts w:ascii="Times New Roman;serif" w:hAnsi="Times New Roman;serif"/>
          <w:b w:val="false"/>
          <w:color w:val="000000"/>
          <w:sz w:val="20"/>
          <w:shd w:fill="FFFFFF" w:val="clear"/>
        </w:rPr>
        <w:t>and December 31, 2024, respectively. The route and customer acquisition cost asset was comprised of upfront payments made on the contracts of $28.1 million and $22.3 million as of June 30,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December 31, 2024, respectively. The Company has upfront payments of commissions paid to the third parties for the acquisition of the customer contracts that are subject to a clawback provision if the customer cancels the contract prior to completion. The payments subject to a clawback were $3.6 million and </w:t>
      </w:r>
      <w:r>
        <w:rPr>
          <w:rFonts w:ascii="Times New Roman;serif" w:hAnsi="Times New Roman;serif"/>
          <w:b w:val="false"/>
          <w:color w:val="000000"/>
          <w:sz w:val="20"/>
        </w:rPr>
        <w:t>$1.2 million</w:t>
      </w:r>
      <w:r>
        <w:rPr>
          <w:color w:val="000000"/>
          <w:shd w:fill="FFFFFF" w:val="clear"/>
        </w:rPr>
        <w:t xml:space="preserve"> </w:t>
      </w:r>
      <w:r>
        <w:rPr>
          <w:rFonts w:ascii="Times New Roman;serif" w:hAnsi="Times New Roman;serif"/>
          <w:b w:val="false"/>
          <w:color w:val="000000"/>
          <w:sz w:val="20"/>
          <w:shd w:fill="FFFFFF" w:val="clear"/>
        </w:rPr>
        <w:t>as of June 30,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2024, respectively.</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Route and customer acquisition costs consisted of the following as of June 30, 2025 and December 31, 2024 (in thousands):</w:t>
      </w:r>
    </w:p>
    <w:tbl>
      <w:tblPr>
        <w:tblW w:w="6167" w:type="dxa"/>
        <w:jc w:val="center"/>
        <w:tblInd w:w="0" w:type="dxa"/>
        <w:tblLayout w:type="fixed"/>
        <w:tblCellMar>
          <w:top w:w="28" w:type="dxa"/>
          <w:left w:w="28" w:type="dxa"/>
          <w:bottom w:w="28" w:type="dxa"/>
          <w:right w:w="28" w:type="dxa"/>
        </w:tblCellMar>
      </w:tblPr>
      <w:tblGrid>
        <w:gridCol w:w="1260"/>
        <w:gridCol w:w="1111"/>
        <w:gridCol w:w="1123"/>
        <w:gridCol w:w="211"/>
        <w:gridCol w:w="721"/>
        <w:gridCol w:w="109"/>
        <w:gridCol w:w="109"/>
        <w:gridCol w:w="109"/>
        <w:gridCol w:w="109"/>
        <w:gridCol w:w="253"/>
        <w:gridCol w:w="867"/>
        <w:gridCol w:w="185"/>
      </w:tblGrid>
      <w:tr>
        <w:trPr/>
        <w:tc>
          <w:tcPr>
            <w:tcW w:w="12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39,204 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Route and customer acquisition costs,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erif" w:hAnsi="Times New Roman;serif"/>
          <w:b w:val="false"/>
          <w:color w:val="000000"/>
          <w:sz w:val="20"/>
        </w:rPr>
        <w:t xml:space="preserve">Amortization expense of route and customer acquisition costs was $0.7 million and $1.3 million for the three and six months ended </w:t>
      </w:r>
      <w:r>
        <w:rPr>
          <w:rFonts w:ascii="Times New Roman;serif" w:hAnsi="Times New Roman;serif"/>
          <w:b w:val="false"/>
          <w:color w:val="000000"/>
          <w:sz w:val="20"/>
          <w:shd w:fill="FFFFFF" w:val="clear"/>
        </w:rPr>
        <w:t xml:space="preserve">June 30, 2025, respectively. In comparison, amortization expense of route and customer costs was </w:t>
      </w:r>
      <w:r>
        <w:rPr>
          <w:rFonts w:ascii="Times New Roman;serif" w:hAnsi="Times New Roman;serif"/>
          <w:b w:val="false"/>
          <w:color w:val="000000"/>
          <w:sz w:val="20"/>
        </w:rPr>
        <w:t>$0.6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$1.1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2024</w:t>
      </w:r>
      <w:r>
        <w:rPr>
          <w:rFonts w:ascii="Times New Roman;serif" w:hAnsi="Times New Roman;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Location Contracts Acquired</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Location contract assets acquired in business acquisitions are recorded at fair value based on an income approach. Location contracts acquired consisted of the following as of June 30, 2025 and December 31, 2024 (in thousands):</w:t>
      </w:r>
    </w:p>
    <w:tbl>
      <w:tblPr>
        <w:tblW w:w="5506" w:type="dxa"/>
        <w:jc w:val="center"/>
        <w:tblInd w:w="0" w:type="dxa"/>
        <w:tblLayout w:type="fixed"/>
        <w:tblCellMar>
          <w:top w:w="28" w:type="dxa"/>
          <w:left w:w="28" w:type="dxa"/>
          <w:bottom w:w="28" w:type="dxa"/>
          <w:right w:w="28" w:type="dxa"/>
        </w:tblCellMar>
      </w:tblPr>
      <w:tblGrid>
        <w:gridCol w:w="984"/>
        <w:gridCol w:w="868"/>
        <w:gridCol w:w="877"/>
        <w:gridCol w:w="211"/>
        <w:gridCol w:w="826"/>
        <w:gridCol w:w="109"/>
        <w:gridCol w:w="109"/>
        <w:gridCol w:w="109"/>
        <w:gridCol w:w="109"/>
        <w:gridCol w:w="231"/>
        <w:gridCol w:w="905"/>
        <w:gridCol w:w="168"/>
      </w:tblGrid>
      <w:tr>
        <w:trPr/>
        <w:tc>
          <w:tcPr>
            <w:tcW w:w="98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(128,285)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contracts acquired,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202,618 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erif" w:hAnsi="Times New Roman;serif"/>
          <w:b w:val="false"/>
          <w:color w:val="000000"/>
          <w:sz w:val="20"/>
          <w:shd w:fill="FFFFFF" w:val="clear"/>
        </w:rPr>
        <w:t xml:space="preserve">Amortization expense of location contracts acquired was </w:t>
      </w:r>
      <w:r>
        <w:rPr>
          <w:rFonts w:ascii="Times New Roman;serif" w:hAnsi="Times New Roman;serif"/>
          <w:b w:val="false"/>
          <w:color w:val="000000"/>
          <w:sz w:val="20"/>
        </w:rPr>
        <w:t xml:space="preserve">$5.0 million and $10.1 million for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 xml:space="preserve">months ended June 30, 2025, respectively. </w:t>
      </w:r>
      <w:r>
        <w:rPr>
          <w:rFonts w:ascii="Times New Roman;serif" w:hAnsi="Times New Roman;serif"/>
          <w:b w:val="false"/>
          <w:color w:val="000000"/>
          <w:sz w:val="20"/>
          <w:shd w:fill="FFFFFF" w:val="clear"/>
        </w:rPr>
        <w:t xml:space="preserve">In comparison, amortization expense for location contracts acquired was </w:t>
      </w:r>
      <w:r>
        <w:rPr>
          <w:rFonts w:ascii="Times New Roman;serif" w:hAnsi="Times New Roman;serif"/>
          <w:b w:val="false"/>
          <w:color w:val="000000"/>
          <w:sz w:val="20"/>
        </w:rPr>
        <w:t>$4.4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$8.7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2024</w:t>
      </w:r>
      <w:r>
        <w:rPr>
          <w:rFonts w:ascii="Times New Roman;serif" w:hAnsi="Times New Roman;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Goodwill and Other Intangible Assets</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The Company had goodwill of $116.3 million as of both June 30, 2025 and </w:t>
      </w:r>
      <w:r>
        <w:rPr>
          <w:rFonts w:ascii="Times New Roman;serif" w:hAnsi="Times New Roman;serif"/>
          <w:b w:val="false"/>
          <w:color w:val="000000"/>
          <w:sz w:val="20"/>
          <w:shd w:fill="FFFFFF" w:val="clear"/>
        </w:rPr>
        <w:t>December 31, 2024, respectively,</w:t>
      </w:r>
      <w:r>
        <w:rPr>
          <w:color w:val="000000"/>
        </w:rPr>
        <w:t xml:space="preserve"> </w:t>
      </w:r>
      <w:r>
        <w:rPr>
          <w:rFonts w:ascii="Times New Roman;serif" w:hAnsi="Times New Roman;serif"/>
          <w:b w:val="false"/>
          <w:color w:val="000000"/>
          <w:sz w:val="20"/>
        </w:rPr>
        <w:t xml:space="preserve">of which $37.2 million was deductible for tax purposes as of June 30, 2025.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annually or when triggering events occur. There were no indicators of impairment of goodwill as of June 30, 2025.</w:t>
      </w:r>
    </w:p>
    <w:p>
      <w:pPr>
        <w:pStyle w:val="TextBody"/>
        <w:bidi w:val="0"/>
        <w:spacing w:lineRule="auto" w:line="345" w:before="180" w:after="283"/>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intangible assets, net consist of definite-lived trade names, customer relationships, software applications and indefinite-lived operating licenses. Other intangible assets are amortized over their estimated 7 to 20-year useful lives.</w:t>
      </w:r>
    </w:p>
    <w:p>
      <w:pPr>
        <w:pStyle w:val="TextBody"/>
        <w:bidi w:val="0"/>
        <w:spacing w:lineRule="auto" w:line="345" w:before="180" w:after="283"/>
        <w:jc w:val="both"/>
        <w:rPr>
          <w:rFonts w:ascii="Times New Roman;serif" w:hAnsi="Times New Roman;serif"/>
          <w:b w:val="false"/>
          <w:color w:val="000000"/>
          <w:sz w:val="20"/>
        </w:rPr>
      </w:pPr>
      <w:r>
        <w:rPr>
          <w:rFonts w:ascii="Times New Roman;serif" w:hAnsi="Times New Roman;serif"/>
          <w:b w:val="false"/>
          <w:color w:val="000000"/>
          <w:sz w:val="20"/>
        </w:rPr>
        <w:t>Other intangible assets consist of the following as of June 30, 2025 and December 31, 2024 (in thousands):</w:t>
      </w:r>
    </w:p>
    <w:tbl>
      <w:tblPr>
        <w:tblW w:w="10205" w:type="dxa"/>
        <w:jc w:val="center"/>
        <w:tblInd w:w="0" w:type="dxa"/>
        <w:tblLayout w:type="fixed"/>
        <w:tblCellMar>
          <w:top w:w="28" w:type="dxa"/>
          <w:left w:w="28" w:type="dxa"/>
          <w:bottom w:w="28" w:type="dxa"/>
          <w:right w:w="28" w:type="dxa"/>
        </w:tblCellMar>
      </w:tblPr>
      <w:tblGrid>
        <w:gridCol w:w="399"/>
        <w:gridCol w:w="351"/>
        <w:gridCol w:w="353"/>
        <w:gridCol w:w="350"/>
        <w:gridCol w:w="350"/>
        <w:gridCol w:w="351"/>
        <w:gridCol w:w="109"/>
        <w:gridCol w:w="109"/>
        <w:gridCol w:w="109"/>
        <w:gridCol w:w="201"/>
        <w:gridCol w:w="665"/>
        <w:gridCol w:w="112"/>
        <w:gridCol w:w="109"/>
        <w:gridCol w:w="109"/>
        <w:gridCol w:w="109"/>
        <w:gridCol w:w="237"/>
        <w:gridCol w:w="695"/>
        <w:gridCol w:w="133"/>
        <w:gridCol w:w="109"/>
        <w:gridCol w:w="109"/>
        <w:gridCol w:w="109"/>
        <w:gridCol w:w="200"/>
        <w:gridCol w:w="661"/>
        <w:gridCol w:w="111"/>
        <w:gridCol w:w="109"/>
        <w:gridCol w:w="109"/>
        <w:gridCol w:w="109"/>
        <w:gridCol w:w="201"/>
        <w:gridCol w:w="665"/>
        <w:gridCol w:w="112"/>
        <w:gridCol w:w="109"/>
        <w:gridCol w:w="109"/>
        <w:gridCol w:w="109"/>
        <w:gridCol w:w="237"/>
        <w:gridCol w:w="695"/>
        <w:gridCol w:w="133"/>
        <w:gridCol w:w="109"/>
        <w:gridCol w:w="109"/>
        <w:gridCol w:w="109"/>
        <w:gridCol w:w="200"/>
        <w:gridCol w:w="660"/>
        <w:gridCol w:w="171"/>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Applications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Licenses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62,207 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(7,109)</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Amortization expense of other intangible assets was </w:t>
      </w:r>
      <w:r>
        <w:rPr>
          <w:rFonts w:ascii="Times New Roman;serif" w:hAnsi="Times New Roman;serif"/>
          <w:b w:val="false"/>
          <w:color w:val="000000"/>
          <w:sz w:val="20"/>
        </w:rPr>
        <w:t>$0.6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$1.2 million for both the three and six months ended June 30, 2025, and 2024, respectively.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a one-time payment of $9.5 million was required to open the casino at Fairmount Park - Casino &amp; Racing (“Fairmount”). This payment, which represents a one-time gaming license fee to register the gaming positions in the casino, was recorded as an indefinite-lived operating license.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Indefinite-lived intangibles are tested for impairment annually or when triggering events occur. There were no indicators of impairment of indefinite-lived intangibles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Debt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debt as of June 30, 2025 and December 31, 2024, consisted of the following (in thousands):</w:t>
      </w:r>
    </w:p>
    <w:tbl>
      <w:tblPr>
        <w:tblW w:w="8124" w:type="dxa"/>
        <w:jc w:val="center"/>
        <w:tblInd w:w="0" w:type="dxa"/>
        <w:tblLayout w:type="fixed"/>
        <w:tblCellMar>
          <w:top w:w="28" w:type="dxa"/>
          <w:left w:w="28" w:type="dxa"/>
          <w:bottom w:w="28" w:type="dxa"/>
          <w:right w:w="28" w:type="dxa"/>
        </w:tblCellMar>
      </w:tblPr>
      <w:tblGrid>
        <w:gridCol w:w="1975"/>
        <w:gridCol w:w="1739"/>
        <w:gridCol w:w="1746"/>
        <w:gridCol w:w="211"/>
        <w:gridCol w:w="826"/>
        <w:gridCol w:w="109"/>
        <w:gridCol w:w="109"/>
        <w:gridCol w:w="109"/>
        <w:gridCol w:w="109"/>
        <w:gridCol w:w="211"/>
        <w:gridCol w:w="826"/>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 Remaining premium on interest rate caplets financed as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debt issuance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560,936 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2025, the weighted-average interest rate on the Company’s borrowings was approximately 6.5%.</w:t>
      </w:r>
    </w:p>
    <w:p>
      <w:pPr>
        <w:pStyle w:val="TextBody"/>
        <w:bidi w:val="0"/>
        <w:spacing w:lineRule="auto" w:line="34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caplets</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The Company manages its exposure to some of its interest rate risk through the use of interest rate caplets, which are derivative financial instruments. On January 12, 2022, the Company hedged the variability of the cash flows attributable to changes in the 1-month Secured Overnight Financing Rate (“SOFR”) interest rates on the first $300 million of the term loan under the Company’s existing credit agreement, as amended, by entering into a 4-year series of 48 deferred premium caplets (“caplets</w:t>
      </w:r>
      <w:r>
        <w:rPr>
          <w:color w:val="000000"/>
        </w:rPr>
        <w:t>”</w:t>
      </w:r>
      <w:r>
        <w:rPr>
          <w:rFonts w:ascii="Times New Roman;serif" w:hAnsi="Times New Roman;serif"/>
          <w:b w:val="false"/>
          <w:color w:val="000000"/>
          <w:sz w:val="20"/>
        </w:rPr>
        <w:t>), which are set to expire in January 2026.</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The Company recognized an </w:t>
      </w:r>
      <w:r>
        <w:rPr>
          <w:rFonts w:ascii="Times New Roman;serif" w:hAnsi="Times New Roman;serif"/>
          <w:b w:val="false"/>
          <w:color w:val="000000"/>
          <w:sz w:val="20"/>
        </w:rPr>
        <w:t>unrealized loss, net of taxes, o</w:t>
      </w:r>
      <w:r>
        <w:rPr>
          <w:rFonts w:ascii="Times New Roman;serif" w:hAnsi="Times New Roman;serif"/>
          <w:b w:val="false"/>
          <w:color w:val="000000"/>
          <w:sz w:val="20"/>
          <w:shd w:fill="FFFFFF" w:val="clear"/>
        </w:rPr>
        <w:t xml:space="preserve">n the change in fair value of the caplets of </w:t>
      </w:r>
      <w:r>
        <w:rPr>
          <w:rFonts w:ascii="Times New Roman;serif" w:hAnsi="Times New Roman;serif"/>
          <w:b w:val="false"/>
          <w:color w:val="000000"/>
          <w:sz w:val="20"/>
        </w:rPr>
        <w:t xml:space="preserve">$0.8 million and $2.0 million for the three and six months ended </w:t>
      </w:r>
      <w:r>
        <w:rPr>
          <w:rFonts w:ascii="Times New Roman;serif" w:hAnsi="Times New Roman;serif"/>
          <w:b w:val="false"/>
          <w:color w:val="000000"/>
          <w:sz w:val="20"/>
          <w:shd w:fill="FFFFFF" w:val="clear"/>
        </w:rPr>
        <w:t xml:space="preserve">June 30, 2025, respectively. In comparison, the Company recognized </w:t>
      </w:r>
      <w:r>
        <w:rPr>
          <w:rFonts w:ascii="Times New Roman;serif" w:hAnsi="Times New Roman;serif"/>
          <w:b w:val="false"/>
          <w:color w:val="000000"/>
          <w:sz w:val="20"/>
        </w:rPr>
        <w:t xml:space="preserve">an unrealized loss, net of taxes,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$1.1 million and an unrealized gain of less than $0.1 million for the three and six months ended June 30, 2024, respectively.</w:t>
      </w:r>
      <w:r>
        <w:rPr>
          <w:color w:val="000000"/>
          <w:shd w:fill="FFFFFF" w:val="clear"/>
        </w:rPr>
        <w:t xml:space="preserve"> </w:t>
      </w:r>
      <w:r>
        <w:rPr>
          <w:rFonts w:ascii="Times New Roman;serif" w:hAnsi="Times New Roman;serif"/>
          <w:b w:val="false"/>
          <w:color w:val="000000"/>
          <w:sz w:val="20"/>
          <w:shd w:fill="FFFFFF" w:val="clear"/>
        </w:rPr>
        <w:t xml:space="preserve">For more information on how the Company determines the fair value of the caplets, see </w:t>
      </w:r>
      <w:r>
        <w:rPr>
          <w:rFonts w:ascii="Times New Roman;serif" w:hAnsi="Times New Roman;serif"/>
          <w:b w:val="false"/>
          <w:color w:val="000000"/>
          <w:sz w:val="20"/>
        </w:rPr>
        <w:t>Note 12. T</w:t>
      </w:r>
      <w:r>
        <w:rPr>
          <w:rFonts w:ascii="Times New Roman;serif" w:hAnsi="Times New Roman;serif"/>
          <w:b w:val="false"/>
          <w:color w:val="000000"/>
          <w:sz w:val="20"/>
          <w:shd w:fill="FFFFFF" w:val="clear"/>
        </w:rPr>
        <w:t xml:space="preserve">he Company also recognized interest income on the caplets of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$3.6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w:t>
      </w:r>
      <w:r>
        <w:rPr>
          <w:rFonts w:ascii="Times New Roman;serif" w:hAnsi="Times New Roman;serif"/>
          <w:b w:val="false"/>
          <w:color w:val="000000"/>
          <w:sz w:val="20"/>
        </w:rPr>
        <w:t xml:space="preserve">onths ended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respectively. In comparison, the Company recognized interest income on the caplets of </w:t>
      </w:r>
      <w:r>
        <w:rPr>
          <w:rFonts w:ascii="Times New Roman;serif" w:hAnsi="Times New Roman;serif"/>
          <w:b w:val="false"/>
          <w:color w:val="000000"/>
          <w:sz w:val="20"/>
        </w:rPr>
        <w:t>$2.5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$5.1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2024</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 xml:space="preserve">These amounts are </w:t>
      </w:r>
      <w:r>
        <w:rPr>
          <w:rFonts w:ascii="Times New Roman;serif" w:hAnsi="Times New Roman;serif"/>
          <w:b w:val="false"/>
          <w:color w:val="000000"/>
          <w:sz w:val="20"/>
          <w:shd w:fill="FFFFFF" w:val="clear"/>
        </w:rPr>
        <w:t xml:space="preserve">reflected in interest expense, net </w:t>
      </w:r>
      <w:r>
        <w:rPr>
          <w:rFonts w:ascii="Times New Roman;serif" w:hAnsi="Times New Roman;serif"/>
          <w:b w:val="false"/>
          <w:color w:val="000000"/>
          <w:sz w:val="20"/>
        </w:rPr>
        <w:t>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Business Acquisitions</w:t>
      </w:r>
    </w:p>
    <w:p>
      <w:pPr>
        <w:pStyle w:val="TextBody"/>
        <w:bidi w:val="0"/>
        <w:spacing w:lineRule="auto" w:line="345"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2024 Business Acquisitions</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Randy’s </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December 23, 2024, the Company completed its acquisition of certain assets of Randy’s Vending (“Randy’s”), an Illinois-based operator, for a total consideration transferred of $0.3 million, which included i) $0.1 million in cash at closing and ii) contingent purchase consideration with an estimated fair value of $0.2 million. </w:t>
      </w:r>
      <w:r>
        <w:rPr>
          <w:rFonts w:ascii="Times New Roman;serif" w:hAnsi="Times New Roman;serif"/>
          <w:b w:val="false"/>
          <w:color w:val="000000"/>
          <w:sz w:val="20"/>
          <w:shd w:fill="FFFFFF" w:val="clear"/>
        </w:rPr>
        <w:t xml:space="preserve">The acquisition was accounted for as an asset acquisition in accordance with Topic 805. </w:t>
      </w:r>
      <w:r>
        <w:rPr>
          <w:rFonts w:ascii="Times New Roman;serif" w:hAnsi="Times New Roman;serif"/>
          <w:b w:val="false"/>
          <w:color w:val="000000"/>
          <w:sz w:val="20"/>
        </w:rPr>
        <w:t xml:space="preserve">The purchase price was allocated to the following assets: i) amusement equipment totaling less than $0.1 million and ii) location contracts totaling $0.2 million. The results of operations for Randy’s are included in the </w:t>
      </w:r>
      <w:r>
        <w:rPr>
          <w:rFonts w:ascii="Times New Roman;serif" w:hAnsi="Times New Roman;serif"/>
          <w:b w:val="false"/>
          <w:color w:val="000000"/>
          <w:sz w:val="20"/>
          <w:shd w:fill="FFFFFF" w:val="clear"/>
        </w:rPr>
        <w:t>condensed</w:t>
      </w:r>
      <w:r>
        <w:rPr>
          <w:color w:val="000000"/>
        </w:rPr>
        <w:t xml:space="preserve"> </w:t>
      </w:r>
      <w:r>
        <w:rPr>
          <w:rFonts w:ascii="Times New Roman;serif" w:hAnsi="Times New Roman;serif"/>
          <w:b w:val="false"/>
          <w:color w:val="000000"/>
          <w:sz w:val="20"/>
        </w:rPr>
        <w:t>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Fairmount</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December 2, 2024, the Company completed its acquisition of </w:t>
      </w:r>
      <w:r>
        <w:rPr>
          <w:rFonts w:ascii="Times New Roman;serif" w:hAnsi="Times New Roman;serif"/>
          <w:b w:val="false"/>
          <w:color w:val="141414"/>
          <w:sz w:val="20"/>
        </w:rPr>
        <w:t xml:space="preserve">Fairmount in Collinsville, Illinois, for total stock consideration of approximately </w:t>
      </w:r>
      <w:r>
        <w:rPr>
          <w:rFonts w:ascii="Times New Roman;serif" w:hAnsi="Times New Roman;serif"/>
          <w:b w:val="false"/>
          <w:color w:val="000000"/>
          <w:sz w:val="20"/>
        </w:rPr>
        <w:t>$40.5 million. Consideration transferred was approximately 3.5 million</w:t>
      </w:r>
      <w:r>
        <w:rPr>
          <w:color w:val="141414"/>
        </w:rPr>
        <w:t xml:space="preserve"> </w:t>
      </w:r>
      <w:r>
        <w:rPr>
          <w:rFonts w:ascii="Times New Roman;serif" w:hAnsi="Times New Roman;serif"/>
          <w:b w:val="false"/>
          <w:color w:val="141414"/>
          <w:sz w:val="20"/>
        </w:rPr>
        <w:t xml:space="preserve">shares of the Company’s Class A-1 common stock and the value was based on a prior twenty-day trailing weighted average close price. </w:t>
      </w:r>
      <w:r>
        <w:rPr>
          <w:rFonts w:ascii="Times New Roman;serif" w:hAnsi="Times New Roman;serif"/>
          <w:b w:val="false"/>
          <w:color w:val="000000"/>
          <w:sz w:val="20"/>
        </w:rPr>
        <w:t>The acquisition was accounted for as a business combination in accordance with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final adjustments to working capital. The excess of the purchase price over the tangible and intangible assets acquired and liabilities assumed of $12.0 million has been recorded as goodwill. The Fairmount acquisition resulted in recorded goodwill as a result of a higher consideration paid driven by the maturity of Fairmount’s operations, industry and workforce. While management has integrated certain operations of Fairmount into its existing business structure, Fairmount is its own operating segment, casino and racing.</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following table summarizes the fair value of consideration transferred and the fair values of the assets acquired and liabilities assumed at the date of acquisition (in thousands):</w:t>
      </w:r>
    </w:p>
    <w:tbl>
      <w:tblPr>
        <w:tblW w:w="4926" w:type="dxa"/>
        <w:jc w:val="center"/>
        <w:tblInd w:w="0" w:type="dxa"/>
        <w:tblLayout w:type="fixed"/>
        <w:tblCellMar>
          <w:top w:w="28" w:type="dxa"/>
          <w:left w:w="28" w:type="dxa"/>
          <w:bottom w:w="28" w:type="dxa"/>
          <w:right w:w="28" w:type="dxa"/>
        </w:tblCellMar>
      </w:tblPr>
      <w:tblGrid>
        <w:gridCol w:w="1389"/>
        <w:gridCol w:w="1223"/>
        <w:gridCol w:w="1228"/>
        <w:gridCol w:w="211"/>
        <w:gridCol w:w="721"/>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treasury stock issued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contracts acquired,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The results of operations for Fairmount are included in the condensed consolidated financial statements of the Company from the date of acquisition. Fairmount’s results of operations included revenue of</w:t>
      </w:r>
      <w:r>
        <w:rPr>
          <w:color w:val="000000"/>
        </w:rPr>
        <w:t xml:space="preserve"> </w:t>
      </w:r>
      <w:r>
        <w:rPr>
          <w:rFonts w:ascii="Times New Roman;serif" w:hAnsi="Times New Roman;serif"/>
          <w:b w:val="false"/>
          <w:color w:val="000000"/>
          <w:sz w:val="20"/>
        </w:rPr>
        <w:t>$15.4 million and a net loss of $3.3 million for the six months ended June 30, 2025. The unaudited pro forma revenue and net income of Fairmount, as if this acquisition had occurred as of the beginning of the fiscal year prior to the fiscal year of acquisition, is not material to the condensed consolidated results of the Company for the six months ended June 30, 2025.</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Bayou </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November 21, 2024, the Company completed its acquisition of Bayou Gaming, Inc. (“Bayou”), a Louisiana-based operator and owner of multiple licensed video poker establishments, for a total purchase price of $0.5 million, which the Company paid in cash at closing. The acquisition was accounted for as an asset acquisition in accordance with Topic 805. The purchase price was allocated to the following assets: i) gaming and amusement equipment totaling $0.1 million and ii) location contracts totaling $0.4 million. The results of operations for Bayou are included in the </w:t>
      </w:r>
      <w:r>
        <w:rPr>
          <w:rFonts w:ascii="Times New Roman;serif" w:hAnsi="Times New Roman;serif"/>
          <w:b w:val="false"/>
          <w:color w:val="000000"/>
          <w:sz w:val="20"/>
          <w:shd w:fill="FFFFFF" w:val="clear"/>
        </w:rPr>
        <w:t>condensed</w:t>
      </w:r>
      <w:r>
        <w:rPr>
          <w:color w:val="000000"/>
        </w:rPr>
        <w:t xml:space="preserve"> </w:t>
      </w:r>
      <w:r>
        <w:rPr>
          <w:rFonts w:ascii="Times New Roman;serif" w:hAnsi="Times New Roman;serif"/>
          <w:b w:val="false"/>
          <w:color w:val="000000"/>
          <w:sz w:val="20"/>
        </w:rPr>
        <w:t>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Pelican</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November 21, 2024, the Company completed its acquisition of Pelican State Gaming, Inc. (“Pelican”), a Louisiana-based operator and owner of multiple licensed video poker establishments, for a total consideration of $1.8 million, which included i) $1.5 million paid in cash at closing and ii) contingent purchase consideration with an estimated fair value of $0.3 million. The acquisition was accounted for as an asset acquisition in accordance with Topic 805. The purchase price was allocated to the following assets: i) gaming and amusement assets totaling $0.3 million and ii) location contracts totaling $1.5 million. The results of operations for Pelican are included in the </w:t>
      </w:r>
      <w:r>
        <w:rPr>
          <w:rFonts w:ascii="Times New Roman;serif" w:hAnsi="Times New Roman;serif"/>
          <w:b w:val="false"/>
          <w:color w:val="000000"/>
          <w:sz w:val="20"/>
          <w:shd w:fill="FFFFFF" w:val="clear"/>
        </w:rPr>
        <w:t>condensed</w:t>
      </w:r>
      <w:r>
        <w:rPr>
          <w:color w:val="000000"/>
        </w:rPr>
        <w:t xml:space="preserve"> </w:t>
      </w:r>
      <w:r>
        <w:rPr>
          <w:rFonts w:ascii="Times New Roman;serif" w:hAnsi="Times New Roman;serif"/>
          <w:b w:val="false"/>
          <w:color w:val="000000"/>
          <w:sz w:val="20"/>
        </w:rPr>
        <w:t xml:space="preserve">consolidated financial statements of the Company from the date of acquisition and were not material.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Xtreme </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November 1, 2024, the Company completed its acquisition of certain assets of Xtreme ATM of Louisiana LLC, (“Xtreme”) for a total purchase price of $1.5 million, which the Company paid in cash at closing. The acquisition was accounted for as an asset acquisition in accordance with Topic 805. The purchase price was allocated to the following assets: i) location contract assets totaling $1.4 million and ii) redemption equipment totaling less than $0.1 million. The results of operations for Xtreme are included in the </w:t>
      </w:r>
      <w:r>
        <w:rPr>
          <w:rFonts w:ascii="Times New Roman;serif" w:hAnsi="Times New Roman;serif"/>
          <w:b w:val="false"/>
          <w:color w:val="000000"/>
          <w:sz w:val="20"/>
          <w:shd w:fill="FFFFFF" w:val="clear"/>
        </w:rPr>
        <w:t>condensed</w:t>
      </w:r>
      <w:r>
        <w:rPr>
          <w:color w:val="000000"/>
        </w:rPr>
        <w:t xml:space="preserve"> </w:t>
      </w:r>
      <w:r>
        <w:rPr>
          <w:rFonts w:ascii="Times New Roman;serif" w:hAnsi="Times New Roman;serif"/>
          <w:b w:val="false"/>
          <w:color w:val="000000"/>
          <w:sz w:val="20"/>
        </w:rPr>
        <w:t>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Toucan Gaming</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November 1, 2024, the Company completed its acquisition of 85% </w:t>
      </w:r>
      <w:r>
        <w:rPr>
          <w:rFonts w:ascii="Times New Roman;serif" w:hAnsi="Times New Roman;serif"/>
          <w:b w:val="false"/>
          <w:color w:val="000000"/>
          <w:sz w:val="20"/>
          <w:shd w:fill="FFFFFF" w:val="clear"/>
        </w:rPr>
        <w:t>of the ownership interests in both Toucan Gaming, LLC and LSM Gaming, LLC (collectively, “Toucan Gaming”)</w:t>
      </w:r>
      <w:r>
        <w:rPr>
          <w:color w:val="000000"/>
        </w:rPr>
        <w:t xml:space="preserve"> </w:t>
      </w:r>
      <w:r>
        <w:rPr>
          <w:rFonts w:ascii="Times New Roman;serif" w:hAnsi="Times New Roman;serif"/>
          <w:b w:val="false"/>
          <w:color w:val="000000"/>
          <w:sz w:val="20"/>
        </w:rPr>
        <w:t>for a total cash consideration of $41.6 million, of which $38.3 million was paid in cash (including $4.6 million that was paid in the prior year as an advance on the purchase price) and the remaining $3.3 million was recorded as consideration payable. The acquisition was accounted for as a business combination in accordance with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final adjustments to working capital. The excess of the purchase price over the tangible and intangible assets acquired and liabilities assumed of $2.1 million has been recorded as goodwill. The Toucan Gaming acquisition resulted in recorded goodwill as a result of a higher consideration paid driven by the maturity and quality of Toucan Gaming’s operations, industry and workforce. Management integrated Toucan Gaming into its existing business structure, which is comprised of a single reporting unit.</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following table summarizes the fair value of consideration transferred and the fair values of the assets acquired and liabilities assumed at the date of acquisition (in thousands):</w:t>
      </w:r>
    </w:p>
    <w:tbl>
      <w:tblPr>
        <w:tblW w:w="5661" w:type="dxa"/>
        <w:jc w:val="center"/>
        <w:tblInd w:w="0" w:type="dxa"/>
        <w:tblLayout w:type="fixed"/>
        <w:tblCellMar>
          <w:top w:w="28" w:type="dxa"/>
          <w:left w:w="28" w:type="dxa"/>
          <w:bottom w:w="28" w:type="dxa"/>
          <w:right w:w="28" w:type="dxa"/>
        </w:tblCellMar>
      </w:tblPr>
      <w:tblGrid>
        <w:gridCol w:w="1649"/>
        <w:gridCol w:w="1453"/>
        <w:gridCol w:w="1473"/>
        <w:gridCol w:w="211"/>
        <w:gridCol w:w="721"/>
        <w:gridCol w:w="154"/>
      </w:tblGrid>
      <w:tr>
        <w:trPr/>
        <w:tc>
          <w:tcPr>
            <w:tcW w:w="164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Consideration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contracts acquired,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 asset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maturities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net of current maturities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Temporary equity - redeemable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The results of operations for Toucan Gaming are included in the condensed consolidated financial statements of the Company from the date of acquisition. Toucan Gaming's </w:t>
      </w:r>
      <w:r>
        <w:rPr>
          <w:rFonts w:ascii="Times New Roman;serif" w:hAnsi="Times New Roman;serif"/>
          <w:b w:val="false"/>
          <w:color w:val="000000"/>
          <w:sz w:val="20"/>
        </w:rPr>
        <w:t>results of operations included revenue of $18.7 million and a net loss of $0.7 million for the six months ended June 30, 2025. The unaudited pro forma revenue and net income of Toucan Gaming, as if this acquisition had occurred as of the beginning of the fiscal year prior to the fiscal year of acquisition, is not material to the condensed consolidated results of the Company for the six months ended June 30, 2025.</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24th Street Station </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September 19, 2024, the Company completed its acquisition of 24th Street Station for a total purchase price of $0.8 million, which the Company paid in cash at closing. </w:t>
      </w:r>
      <w:r>
        <w:rPr>
          <w:rFonts w:ascii="Times New Roman;serif" w:hAnsi="Times New Roman;serif"/>
          <w:b w:val="false"/>
          <w:color w:val="000000"/>
          <w:sz w:val="20"/>
          <w:shd w:fill="FFFFFF" w:val="clear"/>
        </w:rPr>
        <w:t xml:space="preserve">The acquisition was accounted for as a business combination in accordance with Topic 805. </w:t>
      </w:r>
      <w:r>
        <w:rPr>
          <w:rFonts w:ascii="Times New Roman;serif" w:hAnsi="Times New Roman;serif"/>
          <w:b w:val="false"/>
          <w:color w:val="000000"/>
          <w:sz w:val="20"/>
        </w:rPr>
        <w:t>The purchase price was allocated to the following assets: i) indefinite-lived intangible assets totaling $0.7 million and ii) goodwill totaling $0.1 million. The results of operations for the 24th Street Station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Lucky 7s </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September 19, 2024, the Company completed its acquisition of Lucky 7s for a total purchase price of $0.8 million, which the Company paid in cash at closing. </w:t>
      </w:r>
      <w:r>
        <w:rPr>
          <w:rFonts w:ascii="Times New Roman;serif" w:hAnsi="Times New Roman;serif"/>
          <w:b w:val="false"/>
          <w:color w:val="000000"/>
          <w:sz w:val="20"/>
          <w:shd w:fill="FFFFFF" w:val="clear"/>
        </w:rPr>
        <w:t xml:space="preserve">The acquisition was accounted for as a business combination in accordance with Topic 805. </w:t>
      </w:r>
      <w:r>
        <w:rPr>
          <w:rFonts w:ascii="Times New Roman;serif" w:hAnsi="Times New Roman;serif"/>
          <w:b w:val="false"/>
          <w:color w:val="000000"/>
          <w:sz w:val="20"/>
        </w:rPr>
        <w:t xml:space="preserve">The purchase price was allocated to the following assets: i) indefinite-lived intangible assets totaling $0.7 million and ii) goodwill totaling $0.1 million. The results of operations for Lucky 7s are included in the condensed consolidated financial statements of the Company from the date of acquisition and were not material.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Jorgenson’s Lounge</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June 26, 2024, the Company acquired Jorgenson’s Lounge for a total purchase price of $1.1 million, which the Company paid in cash at closing. </w:t>
      </w:r>
      <w:r>
        <w:rPr>
          <w:rFonts w:ascii="Times New Roman;serif" w:hAnsi="Times New Roman;serif"/>
          <w:b w:val="false"/>
          <w:color w:val="000000"/>
          <w:sz w:val="20"/>
          <w:shd w:fill="FFFFFF" w:val="clear"/>
        </w:rPr>
        <w:t xml:space="preserve">The acquisition was accounted for as a business combination in accordance with Topic 805. </w:t>
      </w:r>
      <w:r>
        <w:rPr>
          <w:rFonts w:ascii="Times New Roman;serif" w:hAnsi="Times New Roman;serif"/>
          <w:b w:val="false"/>
          <w:color w:val="000000"/>
          <w:sz w:val="20"/>
        </w:rPr>
        <w:t>The purchase price was allocated to the following assets: i) indefinite-lived intangible assets totaling $0.8 million and ii) goodwill totaling $0.3 million. The results of operations for Jorgenson’s Lounge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Illinois Gaming Entertainment</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May 1, 2024, the Company acquired certain assets of Illinois Gaming Entertainment LLC (“IGE”), an Illinois-based terminal operator. The Company acquired 16 operational locations, as well as gaming equipment. </w:t>
      </w:r>
      <w:r>
        <w:rPr>
          <w:rFonts w:ascii="Times New Roman;serif" w:hAnsi="Times New Roman;serif"/>
          <w:b w:val="false"/>
          <w:color w:val="000000"/>
          <w:sz w:val="20"/>
          <w:shd w:fill="FFFFFF" w:val="clear"/>
        </w:rPr>
        <w:t xml:space="preserve">The acquisition was accounted for as an asset acquisition in accordance with Topic 805. </w:t>
      </w:r>
      <w:r>
        <w:rPr>
          <w:rFonts w:ascii="Times New Roman;serif" w:hAnsi="Times New Roman;serif"/>
          <w:b w:val="false"/>
          <w:color w:val="000000"/>
          <w:sz w:val="20"/>
        </w:rPr>
        <w:t>The aggregate purchase consideration transferred totaled $13.5 million, which included i) $11.4 million in cash at closing and ii) contingent purchase consideration with an estimated fair value of $2.1 million. The contingent purchase consideration represents three installments of $0.6 million which are due on the first, second and third anniversary of the acquisition with $0.7 million due on the fourth anniversary of the acquisition. All payments are subject to the acquired locations still being in operation on the respective anniversary dates. The first installment payment of $0.6 million was made in May 2025. The present value of the consideration payable was $2.1 million as of December 31, 2024</w:t>
      </w:r>
      <w:r>
        <w:rPr>
          <w:color w:val="000000"/>
          <w:shd w:fill="FFFFFF" w:val="clear"/>
        </w:rPr>
        <w:t xml:space="preserve"> </w:t>
      </w:r>
      <w:r>
        <w:rPr>
          <w:rFonts w:ascii="Times New Roman;serif" w:hAnsi="Times New Roman;serif"/>
          <w:b w:val="false"/>
          <w:color w:val="000000"/>
          <w:sz w:val="20"/>
          <w:shd w:fill="FFFFFF" w:val="clear"/>
        </w:rPr>
        <w:t xml:space="preserve">and is recorded in consideration payable on the condensed consolidated balance sheets. </w:t>
      </w:r>
      <w:r>
        <w:rPr>
          <w:rFonts w:ascii="Times New Roman;serif" w:hAnsi="Times New Roman;serif"/>
          <w:b w:val="false"/>
          <w:color w:val="000000"/>
          <w:sz w:val="20"/>
        </w:rPr>
        <w:t xml:space="preserve">The aggregate purchase consideration of $13.5 million was allocated to the following assets: i) location contracts totaling $11.6 million, ii) gaming equipment totaling $1.6 million and iii) redemption equipment totaling $0.3 million. The results of operations for IGE are included in the condensed consolidated financial statements of the Company from the date of acquisition and were not material. </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Great Lakes Vending</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February 22, 2024, the Company acquired certain assets of Great Lakes Vending Corporation (“GLV”), an Illinois-based terminal operator. The Company acquired one operational location, as well as gaming and redemption terminal equipment. </w:t>
      </w:r>
      <w:r>
        <w:rPr>
          <w:rFonts w:ascii="Times New Roman;serif" w:hAnsi="Times New Roman;serif"/>
          <w:b w:val="false"/>
          <w:color w:val="000000"/>
          <w:sz w:val="20"/>
          <w:shd w:fill="FFFFFF" w:val="clear"/>
        </w:rPr>
        <w:t xml:space="preserve">The acquisition was accounted for as an asset acquisition in accordance with Topic 805. </w:t>
      </w:r>
      <w:r>
        <w:rPr>
          <w:rFonts w:ascii="Times New Roman;serif" w:hAnsi="Times New Roman;serif"/>
          <w:b w:val="false"/>
          <w:color w:val="000000"/>
          <w:sz w:val="20"/>
        </w:rPr>
        <w:t>The total purchase price was approximately $1.3 million, which the Company paid in cash at closing. The total purchase price of $1.3 million was allocated to the following assets: i) location contracts totaling $1.2 million and ii) gaming and redemption equipment totaling $0.1 million. The results of operations for GLV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Doc &amp; Eddy’s</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January 10, 2024, the Company acquired Doc &amp; Eddy’s West (“D&amp;E”), a hospitality operation in Montana. </w:t>
      </w:r>
      <w:r>
        <w:rPr>
          <w:rFonts w:ascii="Times New Roman;serif" w:hAnsi="Times New Roman;serif"/>
          <w:b w:val="false"/>
          <w:color w:val="000000"/>
          <w:sz w:val="20"/>
          <w:shd w:fill="FFFFFF" w:val="clear"/>
        </w:rPr>
        <w:t xml:space="preserve">The acquisition was accounted for as an asset acquisition in accordance with Topic 805. </w:t>
      </w:r>
      <w:r>
        <w:rPr>
          <w:rFonts w:ascii="Times New Roman;serif" w:hAnsi="Times New Roman;serif"/>
          <w:b w:val="false"/>
          <w:color w:val="000000"/>
          <w:sz w:val="20"/>
        </w:rPr>
        <w:t>The total purchase price was approximately $2.3 million, which the Company paid in cash at closing, and was allocated to the following assets: i) buildings totaling $1.0 million, ii) indefinite long-lived assets totaling $0.9 million and iii) land totaling $0.4 million. The results of operations for D&amp;E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Consideration Payable</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a contingent consideration payable related to certain locations, as defined in each respective acquisition agreement, which are placed into operation during a specified period after the acquisition date. The fair value of contingent consideration is included in consideration payable on the condensed consolidated balance sheets as of June 30, 2025 and December 31, 2024. The contingent consideration accrued is measured at fair value on a recurring basis. The Company presents on its condensed consolidated statement of cash flows, payments for consideration payable within 90-days in investing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payments after 90-days and up to the acquisition date fair value in financing activities, and payments in excess of the acquisition date fair value in operating activities. </w:t>
      </w:r>
    </w:p>
    <w:p>
      <w:pPr>
        <w:pStyle w:val="TextBody"/>
        <w:bidi w:val="0"/>
        <w:spacing w:lineRule="auto" w:line="288"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 and long-term portions of consideration payable consist of the following as of June 30, 2025 and December 31, 2024 (in thousands):</w:t>
      </w:r>
    </w:p>
    <w:tbl>
      <w:tblPr>
        <w:tblW w:w="6785" w:type="dxa"/>
        <w:jc w:val="center"/>
        <w:tblInd w:w="0" w:type="dxa"/>
        <w:tblLayout w:type="fixed"/>
        <w:tblCellMar>
          <w:top w:w="28" w:type="dxa"/>
          <w:left w:w="28" w:type="dxa"/>
          <w:bottom w:w="28" w:type="dxa"/>
          <w:right w:w="28" w:type="dxa"/>
        </w:tblCellMar>
      </w:tblPr>
      <w:tblGrid>
        <w:gridCol w:w="613"/>
        <w:gridCol w:w="538"/>
        <w:gridCol w:w="544"/>
        <w:gridCol w:w="211"/>
        <w:gridCol w:w="616"/>
        <w:gridCol w:w="109"/>
        <w:gridCol w:w="109"/>
        <w:gridCol w:w="109"/>
        <w:gridCol w:w="109"/>
        <w:gridCol w:w="222"/>
        <w:gridCol w:w="759"/>
        <w:gridCol w:w="115"/>
        <w:gridCol w:w="109"/>
        <w:gridCol w:w="109"/>
        <w:gridCol w:w="109"/>
        <w:gridCol w:w="211"/>
        <w:gridCol w:w="616"/>
        <w:gridCol w:w="109"/>
        <w:gridCol w:w="109"/>
        <w:gridCol w:w="109"/>
        <w:gridCol w:w="109"/>
        <w:gridCol w:w="221"/>
        <w:gridCol w:w="757"/>
        <w:gridCol w:w="163"/>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Long-Term</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Fair Share Gaming</w:t>
            </w:r>
            <w:r>
              <w:rPr>
                <w:rFonts w:ascii="Times New Roman;serif" w:hAnsi="Times New Roman;serif"/>
                <w:b w:val="false"/>
                <w:color w:val="000000"/>
                <w:sz w:val="13"/>
              </w:rPr>
              <w: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Skyhigh</w:t>
            </w:r>
            <w:r>
              <w:rPr>
                <w:rFonts w:ascii="Times New Roman;serif" w:hAnsi="Times New Roman;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IVSM</w:t>
            </w:r>
            <w:r>
              <w:rPr>
                <w:rFonts w:ascii="Times New Roman;serif" w:hAnsi="Times New Roman;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IGE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Island</w:t>
            </w:r>
            <w:r>
              <w:rPr>
                <w:rFonts w:ascii="Times New Roman;serif" w:hAnsi="Times New Roman;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Randy’s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Toucan Gaming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Pelican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Acquisitions that occurred prior to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Contingent Earnout Share Liability</w:t>
      </w:r>
    </w:p>
    <w:p>
      <w:pPr>
        <w:pStyle w:val="TextBody"/>
        <w:bidi w:val="0"/>
        <w:spacing w:lineRule="auto" w:line="345" w:before="180" w:after="283"/>
        <w:ind w:left="0" w:right="0" w:firstLine="450"/>
        <w:jc w:val="both"/>
        <w:rPr/>
      </w:pPr>
      <w:r>
        <w:rPr>
          <w:rFonts w:ascii="Times New Roman;serif" w:hAnsi="Times New Roman;serif"/>
          <w:b w:val="false"/>
          <w:color w:val="222222"/>
          <w:sz w:val="20"/>
        </w:rPr>
        <w:t>P</w:t>
      </w:r>
      <w:r>
        <w:rPr>
          <w:rFonts w:ascii="Times New Roman;serif" w:hAnsi="Times New Roman;serif"/>
          <w:b w:val="false"/>
          <w:color w:val="000000"/>
          <w:sz w:val="20"/>
        </w:rPr>
        <w:t>ursuant to the terms of the Company’s Amended and Restated Certificate of Incorporation, the Company authorized and has available for issuance 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 The contingent earnout share liability is recorded at fair value. For more information on how the fair value is determined, see Note 12.</w:t>
      </w:r>
    </w:p>
    <w:p>
      <w:pPr>
        <w:pStyle w:val="TextBody"/>
        <w:bidi w:val="0"/>
        <w:spacing w:lineRule="auto" w:line="345"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on the closing sale price of Class A-1 common stock exceeding certain prices over certain trading periods. </w:t>
      </w:r>
    </w:p>
    <w:p>
      <w:pPr>
        <w:pStyle w:val="TextBody"/>
        <w:bidi w:val="0"/>
        <w:spacing w:lineRule="auto" w:line="345"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2020, the market condition for the settlement of Tranche I was satisfied. As a result, 1,666,636 shares of the 1,666,666 shares of Tranche I Class A-2 common stock were converted into Class A-1 common stock.</w:t>
      </w:r>
    </w:p>
    <w:p>
      <w:pPr>
        <w:pStyle w:val="TextBody"/>
        <w:bidi w:val="0"/>
        <w:spacing w:lineRule="auto" w:line="345"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 conditions for the remaining two Tranches are as follows:</w:t>
      </w:r>
    </w:p>
    <w:p>
      <w:pPr>
        <w:pStyle w:val="TextBody"/>
        <w:bidi w:val="0"/>
        <w:spacing w:lineRule="auto" w:line="345" w:before="180" w:after="283"/>
        <w:ind w:left="0" w:right="0" w:hanging="360"/>
        <w:jc w:val="both"/>
        <w:rPr/>
      </w:pPr>
      <w:r>
        <w:rPr>
          <w:color w:val="000000"/>
        </w:rPr>
        <w:t>•</w:t>
      </w:r>
      <w:r>
        <w:rPr>
          <w:rFonts w:ascii="Times New Roman;serif" w:hAnsi="Times New Roman;serif"/>
          <w:b w:val="false"/>
          <w:color w:val="000000"/>
          <w:sz w:val="20"/>
        </w:rPr>
        <w:t>Tranche II, equal to 1,666,667 shares of Class A-2 common stock, will be exchanged for Class A-1 common stock if the closing sale price of Class A-1 common stock on the New York Stock Exchange (“NYSE”) equals or exceeds $14.00 for at least twenty trading days in any consecutive thirty trading day period; and</w:t>
      </w:r>
    </w:p>
    <w:p>
      <w:pPr>
        <w:pStyle w:val="TextBody"/>
        <w:bidi w:val="0"/>
        <w:spacing w:lineRule="auto" w:line="345" w:before="180" w:after="283"/>
        <w:ind w:left="0" w:right="0" w:hanging="360"/>
        <w:jc w:val="both"/>
        <w:rPr/>
      </w:pPr>
      <w:r>
        <w:rPr>
          <w:color w:val="000000"/>
        </w:rPr>
        <w:t>•</w:t>
      </w:r>
      <w:r>
        <w:rPr>
          <w:rFonts w:ascii="Times New Roman;serif" w:hAnsi="Times New Roman;serif"/>
          <w:b w:val="false"/>
          <w:color w:val="000000"/>
          <w:sz w:val="20"/>
        </w:rPr>
        <w:t>Tranche III, equal to 1,666,667 shares of Class A-2 common stock, will be exchanged for Class A-1 common stock if the closing sale price of Class A-1 common stock on the NYSE equals or exceeds $16.00 for at least twenty trading days in any consecutive thirty trading day period.</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Fair Value Measurements</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ASC Topic 820, </w:t>
      </w:r>
      <w:r>
        <w:rPr>
          <w:rFonts w:ascii="Times New Roman;serif" w:hAnsi="Times New Roman;serif"/>
          <w:b w:val="false"/>
          <w:i/>
          <w:color w:val="000000"/>
          <w:sz w:val="20"/>
          <w:shd w:fill="FFFFFF" w:val="clear"/>
        </w:rPr>
        <w:t>Fair Value Measurements and Disclosures,</w:t>
      </w:r>
      <w:r>
        <w:rPr>
          <w:color w:val="000000"/>
          <w:shd w:fill="FFFFFF" w:val="clear"/>
        </w:rPr>
        <w:t xml:space="preserve"> </w:t>
      </w:r>
      <w:r>
        <w:rPr>
          <w:rFonts w:ascii="Times New Roman;serif" w:hAnsi="Times New Roman;serif"/>
          <w:b w:val="false"/>
          <w:color w:val="000000"/>
          <w:sz w:val="20"/>
          <w:shd w:fill="FFFFFF" w:val="clear"/>
        </w:rPr>
        <w:t>establishes a framework for measuring fair value and the corresponding disclosure requirements around fair value measurements. This topic applies to all financial instruments that are being measured and reported on a fair value basis.</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pStyle w:val="TextBody"/>
        <w:bidi w:val="0"/>
        <w:spacing w:lineRule="auto" w:line="345" w:before="160" w:after="283"/>
        <w:jc w:val="both"/>
        <w:rPr/>
      </w:pPr>
      <w:r>
        <w:rPr>
          <w:rFonts w:ascii="Times New Roman;serif" w:hAnsi="Times New Roman;serif"/>
          <w:b w:val="false"/>
          <w:color w:val="000000"/>
          <w:sz w:val="20"/>
          <w:u w:val="single"/>
          <w:shd w:fill="FFFFFF" w:val="clear"/>
        </w:rPr>
        <w:t>Level 1</w:t>
      </w:r>
      <w:r>
        <w:rPr>
          <w:rFonts w:ascii="Times New Roman;serif" w:hAnsi="Times New Roman;serif"/>
          <w:b w:val="false"/>
          <w:color w:val="000000"/>
          <w:sz w:val="20"/>
          <w:shd w:fill="FFFFFF" w:val="clear"/>
        </w:rPr>
        <w:t>: Valuations for assets and liabilities traded in active exchange markets, such as the NYSE. Level 1 also includes U.S. Treasury and federal agency securities and federal agency mortgage-backed securities, which are traded by dealers or brokers in active markets. Valuations are obtained from readily available pricing sources for market transactions involving identical assets or liabilities.</w:t>
      </w:r>
    </w:p>
    <w:p>
      <w:pPr>
        <w:pStyle w:val="TextBody"/>
        <w:bidi w:val="0"/>
        <w:spacing w:lineRule="auto" w:line="345" w:before="160" w:after="283"/>
        <w:jc w:val="both"/>
        <w:rPr/>
      </w:pPr>
      <w:r>
        <w:rPr>
          <w:rFonts w:ascii="Times New Roman;serif" w:hAnsi="Times New Roman;serif"/>
          <w:b w:val="false"/>
          <w:color w:val="000000"/>
          <w:sz w:val="20"/>
          <w:u w:val="single"/>
          <w:shd w:fill="FFFFFF" w:val="clear"/>
        </w:rPr>
        <w:t>Level 2</w:t>
      </w:r>
      <w:r>
        <w:rPr>
          <w:rFonts w:ascii="Times New Roman;serif" w:hAnsi="Times New Roman;serif"/>
          <w:b w:val="false"/>
          <w:color w:val="000000"/>
          <w:sz w:val="20"/>
          <w:shd w:fill="FFFFFF" w:val="clear"/>
        </w:rPr>
        <w:t>: Valuations for assets and liabilities traded in less active dealer or broker markets. Valuations are obtained from third-party pricing services for identical or similar assets or liabilities.</w:t>
      </w:r>
    </w:p>
    <w:p>
      <w:pPr>
        <w:pStyle w:val="TextBody"/>
        <w:bidi w:val="0"/>
        <w:spacing w:lineRule="auto" w:line="345" w:before="160" w:after="283"/>
        <w:jc w:val="both"/>
        <w:rPr/>
      </w:pPr>
      <w:r>
        <w:rPr>
          <w:rFonts w:ascii="Times New Roman;serif" w:hAnsi="Times New Roman;serif"/>
          <w:b w:val="false"/>
          <w:color w:val="000000"/>
          <w:sz w:val="20"/>
          <w:u w:val="single"/>
          <w:shd w:fill="FFFFFF" w:val="clear"/>
        </w:rPr>
        <w:t>Level 3</w:t>
      </w:r>
      <w:r>
        <w:rPr>
          <w:rFonts w:ascii="Times New Roman;serif" w:hAnsi="Times New Roman;serif"/>
          <w:b w:val="false"/>
          <w:color w:val="000000"/>
          <w:sz w:val="20"/>
          <w:shd w:fill="FFFFFF" w:val="clear"/>
        </w:rPr>
        <w:t>: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assumptions and projections in determining the fair value assigned to such assets or liabilities.</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Assets measured at fair value</w:t>
      </w:r>
    </w:p>
    <w:p>
      <w:pPr>
        <w:pStyle w:val="TextBody"/>
        <w:bidi w:val="0"/>
        <w:spacing w:lineRule="auto" w:line="345" w:before="180" w:after="283"/>
        <w:ind w:left="0" w:right="0" w:firstLine="27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summarize the Company’s assets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464"/>
        <w:gridCol w:w="409"/>
        <w:gridCol w:w="412"/>
        <w:gridCol w:w="374"/>
        <w:gridCol w:w="295"/>
        <w:gridCol w:w="241"/>
        <w:gridCol w:w="109"/>
        <w:gridCol w:w="109"/>
        <w:gridCol w:w="109"/>
        <w:gridCol w:w="822"/>
        <w:gridCol w:w="822"/>
        <w:gridCol w:w="824"/>
        <w:gridCol w:w="163"/>
        <w:gridCol w:w="163"/>
        <w:gridCol w:w="163"/>
        <w:gridCol w:w="742"/>
        <w:gridCol w:w="742"/>
        <w:gridCol w:w="743"/>
        <w:gridCol w:w="163"/>
        <w:gridCol w:w="163"/>
        <w:gridCol w:w="163"/>
        <w:gridCol w:w="585"/>
        <w:gridCol w:w="585"/>
        <w:gridCol w:w="840"/>
      </w:tblGrid>
      <w:tr>
        <w:trPr/>
        <w:tc>
          <w:tcPr>
            <w:tcW w:w="46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Active Markets for Identical Assets </w:t>
              <w:b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rate caplets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7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35"/>
        <w:gridCol w:w="384"/>
        <w:gridCol w:w="390"/>
        <w:gridCol w:w="401"/>
        <w:gridCol w:w="361"/>
        <w:gridCol w:w="362"/>
        <w:gridCol w:w="109"/>
        <w:gridCol w:w="109"/>
        <w:gridCol w:w="109"/>
        <w:gridCol w:w="802"/>
        <w:gridCol w:w="802"/>
        <w:gridCol w:w="804"/>
        <w:gridCol w:w="161"/>
        <w:gridCol w:w="161"/>
        <w:gridCol w:w="161"/>
        <w:gridCol w:w="730"/>
        <w:gridCol w:w="730"/>
        <w:gridCol w:w="732"/>
        <w:gridCol w:w="161"/>
        <w:gridCol w:w="161"/>
        <w:gridCol w:w="161"/>
        <w:gridCol w:w="576"/>
        <w:gridCol w:w="576"/>
        <w:gridCol w:w="827"/>
      </w:tblGrid>
      <w:tr>
        <w:trPr/>
        <w:tc>
          <w:tcPr>
            <w:tcW w:w="43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br/>
              <w:t> (Level 1)</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rate caplets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caplets</w:t>
      </w:r>
    </w:p>
    <w:p>
      <w:pPr>
        <w:pStyle w:val="TextBody"/>
        <w:bidi w:val="0"/>
        <w:spacing w:lineRule="auto" w:line="345" w:before="80" w:after="283"/>
        <w:ind w:left="0" w:right="0" w:firstLine="360"/>
        <w:jc w:val="both"/>
        <w:rPr/>
      </w:pPr>
      <w:r>
        <w:rPr>
          <w:rFonts w:ascii="Times New Roman;serif" w:hAnsi="Times New Roman;serif"/>
          <w:b w:val="false"/>
          <w:color w:val="000000"/>
          <w:sz w:val="20"/>
          <w:shd w:fill="FFFFFF" w:val="clear"/>
        </w:rPr>
        <w:t>The Company determines the fair value of the interest rate</w:t>
      </w:r>
      <w:r>
        <w:rPr>
          <w:color w:val="000000"/>
        </w:rPr>
        <w:t xml:space="preserve"> </w:t>
      </w:r>
      <w:r>
        <w:rPr>
          <w:rFonts w:ascii="Times New Roman;serif" w:hAnsi="Times New Roman;serif"/>
          <w:b w:val="false"/>
          <w:color w:val="000000"/>
          <w:sz w:val="20"/>
        </w:rPr>
        <w:t>caplets using quotes that are based on models whose inputs are observable SOFR forward interest rate curves. The valuation of the interest rate caplets is considered to be a Level 2 fair value measurement as the significant inputs are observable.</w:t>
      </w:r>
      <w:r>
        <w:rPr>
          <w:color w:val="000000"/>
          <w:shd w:fill="FFFFFF" w:val="clear"/>
        </w:rPr>
        <w:t xml:space="preserve"> </w:t>
      </w:r>
      <w:r>
        <w:rPr>
          <w:rFonts w:ascii="Times New Roman;serif" w:hAnsi="Times New Roman;serif"/>
          <w:b w:val="false"/>
          <w:color w:val="000000"/>
          <w:sz w:val="20"/>
          <w:shd w:fill="FFFFFF" w:val="clear"/>
        </w:rPr>
        <w:t xml:space="preserve">Unrealized changes in the fair value of the interest rate caplets are classified within other comprehensive income on the accompanying condensed consolidated statements of operations and comprehensive income. Realized gains on the interest rate caplets are recorded to interest expense, net on the accompanying condensed consolidated statements of operations and comprehensive income and included within cash payments for interest, net on the condensed consolidated statements of cash flow. </w:t>
      </w:r>
    </w:p>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Liabilities measured at fair value</w:t>
      </w:r>
    </w:p>
    <w:p>
      <w:pPr>
        <w:pStyle w:val="TextBody"/>
        <w:bidi w:val="0"/>
        <w:spacing w:lineRule="auto" w:line="345" w:before="180" w:after="283"/>
        <w:ind w:left="0" w:right="0" w:firstLine="27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summarizes the Company’s liabilities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571"/>
        <w:gridCol w:w="502"/>
        <w:gridCol w:w="507"/>
        <w:gridCol w:w="216"/>
        <w:gridCol w:w="740"/>
        <w:gridCol w:w="111"/>
        <w:gridCol w:w="109"/>
        <w:gridCol w:w="109"/>
        <w:gridCol w:w="109"/>
        <w:gridCol w:w="739"/>
        <w:gridCol w:w="1426"/>
        <w:gridCol w:w="384"/>
        <w:gridCol w:w="111"/>
        <w:gridCol w:w="111"/>
        <w:gridCol w:w="111"/>
        <w:gridCol w:w="428"/>
        <w:gridCol w:w="1462"/>
        <w:gridCol w:w="222"/>
        <w:gridCol w:w="111"/>
        <w:gridCol w:w="111"/>
        <w:gridCol w:w="111"/>
        <w:gridCol w:w="367"/>
        <w:gridCol w:w="1256"/>
        <w:gridCol w:w="281"/>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shares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36,482 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50,653 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36,482 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14,171 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566"/>
        <w:gridCol w:w="497"/>
        <w:gridCol w:w="502"/>
        <w:gridCol w:w="241"/>
        <w:gridCol w:w="825"/>
        <w:gridCol w:w="124"/>
        <w:gridCol w:w="109"/>
        <w:gridCol w:w="109"/>
        <w:gridCol w:w="109"/>
        <w:gridCol w:w="726"/>
        <w:gridCol w:w="1400"/>
        <w:gridCol w:w="377"/>
        <w:gridCol w:w="111"/>
        <w:gridCol w:w="111"/>
        <w:gridCol w:w="111"/>
        <w:gridCol w:w="422"/>
        <w:gridCol w:w="1441"/>
        <w:gridCol w:w="218"/>
        <w:gridCol w:w="111"/>
        <w:gridCol w:w="111"/>
        <w:gridCol w:w="111"/>
        <w:gridCol w:w="361"/>
        <w:gridCol w:w="1236"/>
        <w:gridCol w:w="276"/>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shares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47,031 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33,103 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Contingent Consideration</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The Company uses a discounted cash flow analysis to determine the value of contingent consideration upon acquisition and updates this estimate on a recurring basis. The significant assumptions used in the Company's cash flow analysis includes the probability adjusted projected revenues after state taxes, a discount rate as applicable to each acquisition, and the estimated number of locations that “go live” with the Company during the contingent consideration </w:t>
      </w:r>
      <w:r>
        <w:rPr>
          <w:rFonts w:ascii="Times New Roman;serif" w:hAnsi="Times New Roman;serif"/>
          <w:b w:val="false"/>
          <w:color w:val="000000"/>
          <w:sz w:val="20"/>
        </w:rPr>
        <w:t xml:space="preserve">period. The valuation of the Company's contingent consideration is considered to be a Level 3 fair value measurement as the significant inputs are unobservable and require significant judgment or estimation. </w:t>
      </w:r>
      <w:r>
        <w:rPr>
          <w:rFonts w:ascii="Times New Roman;serif" w:hAnsi="Times New Roman;serif"/>
          <w:b w:val="false"/>
          <w:color w:val="000000"/>
          <w:sz w:val="20"/>
          <w:shd w:fill="FFFFFF" w:val="clear"/>
        </w:rPr>
        <w:t>Changes in the fair value of contingent consideration liabilities are classified within other expenses, net on the accompanying condensed consolidated statements of operations and comprehensive income.</w:t>
      </w:r>
    </w:p>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Contingent earnout shares</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The Company determined the fair value of the contingent earnout shares based on the market price of the Company's Class A-1 common stock. The liability, by tranche, is then stated at present value based on i) an interest rate derived from the Company's borrowing rate and the applicable risk-free rate and ii) an estimate on when it expects the contingent earnout shares to convert to Class A-1 common stock. </w:t>
      </w:r>
      <w:r>
        <w:rPr>
          <w:rFonts w:ascii="Times New Roman;serif" w:hAnsi="Times New Roman;serif"/>
          <w:b w:val="false"/>
          <w:color w:val="000000"/>
          <w:sz w:val="20"/>
        </w:rPr>
        <w:t xml:space="preserve">The valuation of the Company's contingent consideration is considered to be a Level 2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erif" w:hAnsi="Times New Roman;serif"/>
          <w:b w:val="false"/>
          <w:color w:val="000000"/>
          <w:sz w:val="20"/>
        </w:rPr>
        <w:t xml:space="preserve">value measurement. </w:t>
      </w:r>
      <w:r>
        <w:rPr>
          <w:rFonts w:ascii="Times New Roman;serif" w:hAnsi="Times New Roman;serif"/>
          <w:b w:val="false"/>
          <w:color w:val="000000"/>
          <w:sz w:val="20"/>
          <w:shd w:fill="FFFFFF" w:val="clear"/>
        </w:rPr>
        <w:t xml:space="preserve">Changes in the fair value of contingent earnout shares are included within loss on change in fair value of contingent earnout shares on the accompanying condensed consolidated </w:t>
      </w:r>
      <w:r>
        <w:rPr>
          <w:rFonts w:ascii="Times New Roman;serif" w:hAnsi="Times New Roman;serif"/>
          <w:b w:val="false"/>
          <w:color w:val="000000"/>
          <w:sz w:val="20"/>
        </w:rPr>
        <w:t>statements of operations and comprehensive income.</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in or out of Level 3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Stockholders’ Equity</w:t>
      </w:r>
    </w:p>
    <w:p>
      <w:pPr>
        <w:pStyle w:val="TextBody"/>
        <w:bidi w:val="0"/>
        <w:spacing w:lineRule="auto" w:line="345" w:before="180" w:after="100"/>
        <w:ind w:left="0" w:right="0" w:firstLine="360"/>
        <w:jc w:val="both"/>
        <w:rPr/>
      </w:pPr>
      <w:r>
        <w:rPr>
          <w:rFonts w:ascii="Times New Roman;serif" w:hAnsi="Times New Roman;serif"/>
          <w:b w:val="false"/>
          <w:color w:val="222222"/>
          <w:sz w:val="20"/>
        </w:rPr>
        <w:t>P</w:t>
      </w:r>
      <w:r>
        <w:rPr>
          <w:rFonts w:ascii="Times New Roman;serif" w:hAnsi="Times New Roman;serif"/>
          <w:b w:val="false"/>
          <w:color w:val="000000"/>
          <w:sz w:val="20"/>
        </w:rPr>
        <w:t xml:space="preserve">ursuant to the terms of the Company’s Amended and Restated Certificate of Incorporation, the Company authorized and has available for issuance the following shares: </w:t>
      </w:r>
    </w:p>
    <w:p>
      <w:pPr>
        <w:pStyle w:val="TextBody"/>
        <w:bidi w:val="0"/>
        <w:spacing w:lineRule="auto" w:line="345" w:before="180" w:after="100"/>
        <w:jc w:val="both"/>
        <w:rPr>
          <w:rFonts w:ascii="Times New Roman;serif" w:hAnsi="Times New Roman;serif"/>
          <w:b w:val="false"/>
          <w:i/>
          <w:color w:val="000000"/>
          <w:sz w:val="20"/>
        </w:rPr>
      </w:pPr>
      <w:r>
        <w:rPr>
          <w:rFonts w:ascii="Times New Roman;serif" w:hAnsi="Times New Roman;serif"/>
          <w:b w:val="false"/>
          <w:i/>
          <w:color w:val="000000"/>
          <w:sz w:val="20"/>
        </w:rPr>
        <w:t>Class A-1 Common Stock</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November 22, 2021, the Company’s Board of Directors (“Board”) approved a share repurchase program of up to $200 million shares of Class A-1 common stock. On February 27, 2025, the Board approved an amendment to the share repurchase program to replenish the dollar amount that may be purchased under the program back to up to $200 million shares of Class A-1 common stock (as amended, the “share repurchase program”). The timing and actual number of shares repurchased will depend on a variety of factors, including price, general business and market conditions, and alternative investment opportunities. Under the share repurchase program, repurchases can be made from time to time using a variety of methods, including open market purchases or privately negotiated transactions, in compliance with the rules of the SEC and other applicable legal requirements. The share repurchase program does not obligate the Company to acquire any particular amount of shares, and the share repurchase program may be suspended or discontinued at any time at the Company’s discretion. As of </w:t>
      </w:r>
      <w:r>
        <w:rPr>
          <w:rFonts w:ascii="Times New Roman;serif" w:hAnsi="Times New Roman;serif"/>
          <w:b w:val="false"/>
          <w:color w:val="000000"/>
          <w:sz w:val="20"/>
          <w:shd w:fill="FFFFFF" w:val="clear"/>
        </w:rPr>
        <w:t>June 30, 2025, the Company had acquired a total of 15,478,989 shares under the share repurchase program at a total purchase price of $160.5 million, of which 1,623,092 shares at a total purchase price of $16.9 million were acquired during the six</w:t>
      </w:r>
      <w:r>
        <w:rPr>
          <w:color w:val="000000"/>
        </w:rPr>
        <w:t xml:space="preserve"> </w:t>
      </w:r>
      <w:r>
        <w:rPr>
          <w:rFonts w:ascii="Times New Roman;serif" w:hAnsi="Times New Roman;serif"/>
          <w:b w:val="false"/>
          <w:color w:val="000000"/>
          <w:sz w:val="20"/>
        </w:rPr>
        <w:t>months ended June 30, 2025</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14. Segment Reporting</w:t>
      </w:r>
    </w:p>
    <w:p>
      <w:pPr>
        <w:pStyle w:val="TextBody"/>
        <w:bidi w:val="0"/>
        <w:spacing w:lineRule="auto" w:line="345" w:before="180" w:after="100"/>
        <w:ind w:left="0" w:right="0" w:firstLine="360"/>
        <w:jc w:val="both"/>
        <w:rPr/>
      </w:pPr>
      <w:r>
        <w:rPr>
          <w:rFonts w:ascii="Times New Roman;serif" w:hAnsi="Times New Roman;serif"/>
          <w:b w:val="false"/>
          <w:color w:val="000000"/>
          <w:sz w:val="20"/>
        </w:rPr>
        <w:t>The Company assesses its reportable segments on an annual basis or as changes in its business occur. As part of its assessment, the Company has determined its chief operating decision maker (“CODM”) to be its Chief Executive Officer, Andrew Rubenstein, who is ultimately responsible for the operating performance of the Company and the allocation of resources. The CODM assesses financial performance and allocates resources based on Adjusted EBITDA. Adjusted EBITDA is used by the CODM to</w:t>
      </w:r>
      <w:r>
        <w:rPr>
          <w:color w:val="000000"/>
          <w:shd w:fill="FFFFFF" w:val="clear"/>
        </w:rPr>
        <w:t xml:space="preserve"> </w:t>
      </w:r>
      <w:r>
        <w:rPr>
          <w:rFonts w:ascii="Times New Roman;serif" w:hAnsi="Times New Roman;serif"/>
          <w:b w:val="false"/>
          <w:color w:val="000000"/>
          <w:sz w:val="20"/>
          <w:shd w:fill="FFFFFF" w:val="clear"/>
        </w:rPr>
        <w:t xml:space="preserve">understand the Company’s underlying drivers of profitability, trends in its business, and to facilitate company-to-company and period-to-period comparisons. Segment asset information is provided to the CODM to support the CODM’s assessment of performance but is not used to allocate resources. </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pPr>
      <w:r>
        <w:rPr>
          <w:rFonts w:ascii="Times New Roman;serif" w:hAnsi="Times New Roman;serif"/>
          <w:b w:val="false"/>
          <w:color w:val="000000"/>
          <w:sz w:val="20"/>
        </w:rPr>
        <w:t>The Company defines Adjusted EBITDA</w:t>
      </w:r>
      <w:r>
        <w:rPr>
          <w:color w:val="000000"/>
          <w:shd w:fill="FFFFFF" w:val="clear"/>
        </w:rPr>
        <w:t xml:space="preserve"> </w:t>
      </w:r>
      <w:r>
        <w:rPr>
          <w:rFonts w:ascii="Times New Roman;serif" w:hAnsi="Times New Roman;serif"/>
          <w:b w:val="false"/>
          <w:color w:val="000000"/>
          <w:sz w:val="20"/>
          <w:shd w:fill="FFFFFF" w:val="clear"/>
        </w:rPr>
        <w:t>as net income plus:</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 xml:space="preserve">Amortization of intangible assets and route and customer acquisition costs </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Stock-based compensation expense</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Loss from unconsolidated affiliates</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Loss (gain) on change in fair value of contingent earnout shares</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 xml:space="preserve">Other expenses, net </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Depreciation and amortization of property and equipment</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Interest expense, net</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Emerging markets, which reflects the results, on an Adjusted EBITDA basis, for non-core jurisdictions where the Company’s operations are developing</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Income tax expense</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distributed gaming reportable segment consists of the installation, maintenance, and operation of gaming terminals, redemption devices that disburse winnings and contain ATM functionality and other amusement devises in authorized non-casino locations such as restaurants, bars, convenience stores, liquor stores, truck stops and grocery stores. The Company’s operations and services are consistent in the Company’s markets.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that with the acquisition of Fairmount as of June 30, 2025, it has two operating segments: distributed gaming and casino and racing. In April 2025, the Fairmount casino opened and the racing season began. However, due to the fact Fairmount has had limited operations, the casino and racing operating segment does not reach the criteria of being a reportable segment primarily from a quantitative standpoint as of June 30, 2025. The Company will continue to evaluate the casino and racing operating segment from a quantitative standpoint and anticipates it will disclose a second reportable segment in second half of 2025. </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segment expenses, including disaggregated significant expenses that are presented within general and administrative expenses, are presented in the Company’s condensed consolidated statement of operations and comprehensive income and are included in the table below.</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financial information with respect to the Company’s single reportable segment, distributed gaming, for the three and six months ended June 30, 2025 and 2024. Additionally, the Company has included an "all other" operating segment which is its casino and racing operations that is neither individually reportable nor able to be aggregated or combined with another operating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1645"/>
        <w:gridCol w:w="1323"/>
        <w:gridCol w:w="129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4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Distributed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Total net revenues </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Adjustments: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Compensation related costs - operations</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Compensation related costs - general and administrative</w:t>
            </w:r>
            <w:r>
              <w:rPr>
                <w:color w:val="000000"/>
              </w:rPr>
              <w:t xml:space="preserv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All other segment items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EBITDA for distributed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Adjusted EBITDA for “all other” operating segment </w:t>
            </w:r>
            <w:r>
              <w:rPr>
                <w:rFonts w:ascii="Times New Roman;serif" w:hAnsi="Times New Roman;serif"/>
                <w:b/>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change in fair value of contingent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hanging="45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(1)Total net revenues is further disaggregated by revenue stream as included on the condensed consolidated statements of operations and comprehensive income.</w:t>
      </w:r>
    </w:p>
    <w:p>
      <w:pPr>
        <w:pStyle w:val="TextBody"/>
        <w:bidi w:val="0"/>
        <w:spacing w:lineRule="auto" w:line="345" w:before="0" w:after="0"/>
        <w:ind w:left="0" w:right="0" w:hanging="45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(2)The significant expense categories and amounts align with the segment-level information that is regularly provided to the CODM.</w:t>
      </w:r>
    </w:p>
    <w:p>
      <w:pPr>
        <w:pStyle w:val="TextBody"/>
        <w:bidi w:val="0"/>
        <w:spacing w:lineRule="auto" w:line="345" w:before="0" w:after="0"/>
        <w:ind w:left="0" w:right="0" w:hanging="45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(3)Compensation related costs represent payroll and other related costs that are included in general and administrative on the condensed consolidated statements of operations and comprehensive income.</w:t>
      </w:r>
    </w:p>
    <w:p>
      <w:pPr>
        <w:pStyle w:val="TextBody"/>
        <w:bidi w:val="0"/>
        <w:spacing w:lineRule="auto" w:line="345" w:before="0" w:after="0"/>
        <w:ind w:left="0" w:right="0" w:hanging="45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(4)All other segment items include other operating and general and administrative expenses (such as general and administrative expenses related to parts, advertising, information technology, etc.) which are included in general and administrative on the condensed consolidated statements of operations and comprehensive income and cost of manufacturing good sold, as well as, adjustments for stock-based compensation expense and emerging markets.</w:t>
      </w:r>
    </w:p>
    <w:p>
      <w:pPr>
        <w:pStyle w:val="TextBody"/>
        <w:bidi w:val="0"/>
        <w:spacing w:lineRule="auto" w:line="345" w:before="0" w:after="0"/>
        <w:ind w:left="0" w:right="0" w:hanging="450"/>
        <w:jc w:val="both"/>
        <w:rPr/>
      </w:pPr>
      <w:r>
        <w:rPr>
          <w:rFonts w:ascii="Times New Roman;serif" w:hAnsi="Times New Roman;serif"/>
          <w:b w:val="false"/>
          <w:color w:val="000000"/>
          <w:sz w:val="16"/>
          <w:shd w:fill="FFFFFF" w:val="clear"/>
        </w:rPr>
        <w:t xml:space="preserve">(5)All corporate expenses were allocated to the distributed gaming reportable segment as of June 30, 2025. The "all other" operating segment had total net revenues of </w:t>
      </w:r>
      <w:r>
        <w:rPr>
          <w:rFonts w:ascii="Times New Roman;serif" w:hAnsi="Times New Roman;serif"/>
          <w:b w:val="false"/>
          <w:color w:val="000000"/>
          <w:sz w:val="16"/>
        </w:rPr>
        <w:t xml:space="preserve">$9.5 million and </w:t>
      </w:r>
      <w:r>
        <w:rPr>
          <w:rFonts w:ascii="Times New Roman;serif" w:hAnsi="Times New Roman;serif"/>
          <w:b w:val="false"/>
          <w:color w:val="000000"/>
          <w:sz w:val="16"/>
          <w:shd w:fill="FFFFFF" w:val="clear"/>
        </w:rPr>
        <w:t xml:space="preserve">$15.4 million; cost of revenues of </w:t>
      </w:r>
      <w:r>
        <w:rPr>
          <w:rFonts w:ascii="Times New Roman;serif" w:hAnsi="Times New Roman;serif"/>
          <w:b w:val="false"/>
          <w:color w:val="000000"/>
          <w:sz w:val="16"/>
        </w:rPr>
        <w:t xml:space="preserve">$3.6 million and </w:t>
      </w:r>
      <w:r>
        <w:rPr>
          <w:rFonts w:ascii="Times New Roman;serif" w:hAnsi="Times New Roman;serif"/>
          <w:b w:val="false"/>
          <w:color w:val="000000"/>
          <w:sz w:val="16"/>
          <w:shd w:fill="FFFFFF" w:val="clear"/>
        </w:rPr>
        <w:t xml:space="preserve">$5.3 million; compensation related costs - operations of </w:t>
      </w:r>
      <w:r>
        <w:rPr>
          <w:rFonts w:ascii="Times New Roman;serif" w:hAnsi="Times New Roman;serif"/>
          <w:b w:val="false"/>
          <w:color w:val="000000"/>
          <w:sz w:val="16"/>
        </w:rPr>
        <w:t xml:space="preserve">$4.6 million and </w:t>
      </w:r>
      <w:r>
        <w:rPr>
          <w:rFonts w:ascii="Times New Roman;serif" w:hAnsi="Times New Roman;serif"/>
          <w:b w:val="false"/>
          <w:color w:val="000000"/>
          <w:sz w:val="16"/>
          <w:shd w:fill="FFFFFF" w:val="clear"/>
        </w:rPr>
        <w:t xml:space="preserve">$7.1 million and all other segment items of </w:t>
      </w:r>
      <w:r>
        <w:rPr>
          <w:rFonts w:ascii="Times New Roman;serif" w:hAnsi="Times New Roman;serif"/>
          <w:b w:val="false"/>
          <w:color w:val="000000"/>
          <w:sz w:val="16"/>
        </w:rPr>
        <w:t xml:space="preserve">$1.9 million and </w:t>
      </w:r>
      <w:r>
        <w:rPr>
          <w:rFonts w:ascii="Times New Roman;serif" w:hAnsi="Times New Roman;serif"/>
          <w:b w:val="false"/>
          <w:color w:val="000000"/>
          <w:sz w:val="16"/>
          <w:shd w:fill="FFFFFF" w:val="clear"/>
        </w:rPr>
        <w:t xml:space="preserve">$3.3 million for the </w:t>
      </w:r>
      <w:r>
        <w:rPr>
          <w:rFonts w:ascii="Times New Roman;serif" w:hAnsi="Times New Roman;serif"/>
          <w:b w:val="false"/>
          <w:color w:val="000000"/>
          <w:sz w:val="16"/>
        </w:rPr>
        <w:t>three and six</w:t>
      </w:r>
      <w:r>
        <w:rPr>
          <w:color w:val="000000"/>
          <w:shd w:fill="FFFFFF" w:val="clear"/>
        </w:rPr>
        <w:t xml:space="preserve"> </w:t>
      </w:r>
      <w:r>
        <w:rPr>
          <w:rFonts w:ascii="Times New Roman;serif" w:hAnsi="Times New Roman;serif"/>
          <w:b w:val="false"/>
          <w:color w:val="000000"/>
          <w:sz w:val="16"/>
          <w:shd w:fill="FFFFFF" w:val="clear"/>
        </w:rPr>
        <w:t xml:space="preserve">months ended </w:t>
      </w:r>
      <w:r>
        <w:rPr>
          <w:rFonts w:ascii="Times New Roman;serif" w:hAnsi="Times New Roman;serif"/>
          <w:b w:val="false"/>
          <w:color w:val="000000"/>
          <w:sz w:val="16"/>
        </w:rPr>
        <w:t>June 30, 2025, respectively</w:t>
      </w:r>
      <w:r>
        <w:rPr>
          <w:rFonts w:ascii="Times New Roman;serif" w:hAnsi="Times New Roman;serif"/>
          <w:b w:val="false"/>
          <w:color w:val="000000"/>
          <w:sz w:val="16"/>
          <w:shd w:fill="FFFFFF" w:val="clear"/>
        </w:rPr>
        <w:t xml:space="preserve">.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assets associated with the distributed gaming segment are $1.0 billion and the assets for the "all other" operating segment were $73.4 million.</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the condensed consolidated financial statements for other financial information (such as cash used for capital expenditures, etc.) regarding the Company’s reportable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 Stock-based Compensation</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various types of stock-based compensation awards. The Company measures its stock-based compensation expense based on the grant date fair value of the award and recognizes the expense over the requisite service period for the respective award.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Accel Entertainment, Inc. Long Term Incentive Plan, the Company issued 159,105 restricted stock units (“RSUs”) to certain eligible employees during the first quarter of 2025, which will vest over a period of 3 years. The Company also issued 242,230 performance-based restricted stock units (“PSUs”) to certain eligible employees during the first quarter of 2025, which will vest after 3 years. The numbers of shares earned upon vesting of the PSUs, if any, is based on the attainment of performance goals over the performance period, subject to continued service, except for employees who are retirement eligible and in certain other limited circumstances. The estimated grant date fair value of these RSUs and PSUs totaled $4.0 million.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issued 752,530 RSUs to the members of the Board and certain eligible employees during the second quarter of 2025, which will vest over a period of less than 1 year to 4 years, as applicable. The estimated grant date fair value of these RSUs totaled $8.2 million.</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Stock-based compensation expense, which pertains to the Company’s RSUs and PSUs, was $2.8 million and $4.9 million for the three and six months ended June 30, 2025, respectively. In comparison, stock-based compensation expense was $3.2 million and $5.6 million for the three and six months ended June 30, 2024, respectively. Stock-based compensation expense is included within </w:t>
      </w:r>
      <w:r>
        <w:rPr>
          <w:rFonts w:ascii="Times New Roman;serif" w:hAnsi="Times New Roman;serif"/>
          <w:b w:val="false"/>
          <w:color w:val="000000"/>
          <w:sz w:val="20"/>
          <w:shd w:fill="FFFFFF" w:val="clear"/>
        </w:rPr>
        <w:t>general and administrative expenses 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income tax expense of $5.1 million and $10.1 million for the three and six months ended June 30, 2025, respectively. In comparison, the Company recognized income tax expense of $3.9 million and $8.7 million for the three and six months ended June 30, 2024, respectively.</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calculates its provision for income taxes during interim reporting periods by applying an estimate of the annual effective tax rate to its year-to-date pretax book income or loss. The effective tax rate (income taxes as a percentage of income before income taxes) was 41.2% and 31.6% for the three and six months ended June 30, 2025, respectively, compared to 21.2% and 28.3% for the three and six months ended June 30, 2024, respectively. The Company’s effective income tax rate can vary from period to period depending on, among other factors, the amount of permanent tax adjustments and discrete items. The change in the fair value of the contingent earnout shares is considered a discrete item for income tax purposes and was the primary driver for the fluctuations in the tax rate year over year.</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One Big Beautiful Bill Act (the “Act”) was signed into law on July 4, 2025. The Act contains significant tax law changes impacting business tax payers with various effective dates, with certain provisions effective in 2025 and others to be implemented through 2027. Among the tax law changes that are expected to impact the Company are those that relate to the timing of certain tax deductions including depreciation expense, research &amp; development expenditures and interest expense. The Company is currently evaluating the impact of the Act on its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Commitments and Contingencies</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been involved in a series of related litigated matters stemming from claims that it wrongly contracted with 10 different licensed establishments (the “Defendant Establishments”) in 2012 in violation of the contractual rights held by J&amp;J Ventures Gaming, LLC (“J&amp;J”), as further described below.</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 As a result of subsequent litigation, the Supreme Court of Illinois determined that the IGB has exclusive jurisdiction to decide the validity and enforceability of gaming terminal use agreements, including the J&amp;J Assignment Agreements.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Between May 2017 and September 2017, both the Company and J&amp;J filed petitions with the IGB seeking adjudication of the rights of the parties and the validity of the J&amp;J Assignment Agreements. Those petitions were recently adjudicated by the IGB, largely in the Company’s favor, and J&amp;J has filed two new lawsuits to challenge the IGB’s rulings. J&amp;J lost at both the trial court and appellate court level and recently filed a petition with the Illinois Supreme Court seeking permission for a further appeal. The petition for leave to appeal was denied by the Illinois Supreme Court. The second case is awaiting a ruling at the trial court level. The Company does not have a present estimate regarding the potential damages, if any, that could potentially be awarded in this litigation and, accordingly, has established no reserves relating to such matters.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On April 22, 2022, the Company filed a petition in the Circuit Court of Cook County, Illinois to judicially review the IGB's decision to deny the requested transfer of Gold Rush common stock in respect of the Company’s conversion of the convertible notes. Discovery ensued on these lawsuits but both suits were dismissed with prejudice as a result of the previously mentioned settlement between the Company and Gold Rush on the convertible notes. The Company also withdrew its petition to judicially review the IGB's decision. For more information, see Note 4.</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25, 2022, Midwest Electronics Gaming LLC (“Midwest”) filed an administrative review action against the Illinois Gaming Board,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The Company filed a motion to dismiss Midwest’s amended complaint, which was granted in part and denied in part. The Company moved for summary judgment, and the trial court heard argument in January 2025. The judge granted and denied, in part, the motion for summary judgement. The parties are proceeding with discovery.</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Rather than litigate the alleged violation, the Company pled no contest and has made the appropriate payments to the municipality during 2024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to stay the order. Currently, the matter remains pending as a result of a motion to consolidate and to finalize the assignment of the judge. On March 21, 2025, the judge ruled in favor of the Company and a coalition of terminal operators’ motion for judgment on the pleadings that the municipality ordinance was pre-empted by State law as well as the other 54 municipal push tax ordinances. The cases were all dismissed and the municipality is expected to appeal.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18. Earnings Per Share</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The components of basic and diluted earnings per share </w:t>
      </w:r>
      <w:r>
        <w:rPr>
          <w:rFonts w:ascii="Times New Roman;serif" w:hAnsi="Times New Roman;serif"/>
          <w:b w:val="false"/>
          <w:color w:val="000000"/>
          <w:sz w:val="20"/>
          <w:shd w:fill="FFFFFF" w:val="clear"/>
        </w:rPr>
        <w:t>(“EPS”)</w:t>
      </w:r>
      <w:r>
        <w:rPr>
          <w:color w:val="000000"/>
        </w:rPr>
        <w:t xml:space="preserve"> </w:t>
      </w:r>
      <w:r>
        <w:rPr>
          <w:rFonts w:ascii="Times New Roman;serif" w:hAnsi="Times New Roman;serif"/>
          <w:b w:val="false"/>
          <w:color w:val="000000"/>
          <w:sz w:val="20"/>
        </w:rPr>
        <w:t>were as follows for the three and six months ended June 30 (in thousands, except per share amounts):</w:t>
      </w:r>
    </w:p>
    <w:tbl>
      <w:tblPr>
        <w:tblW w:w="10205" w:type="dxa"/>
        <w:jc w:val="center"/>
        <w:tblInd w:w="0" w:type="dxa"/>
        <w:tblLayout w:type="fixed"/>
        <w:tblCellMar>
          <w:top w:w="28" w:type="dxa"/>
          <w:left w:w="28" w:type="dxa"/>
          <w:bottom w:w="28" w:type="dxa"/>
          <w:right w:w="28" w:type="dxa"/>
        </w:tblCellMar>
      </w:tblPr>
      <w:tblGrid>
        <w:gridCol w:w="1853"/>
        <w:gridCol w:w="1630"/>
        <w:gridCol w:w="1635"/>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5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Accel Entertainment,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outstanding shares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awards for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outstanding shares of common stock</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Anti-dilutive stock-based awards, contingent earnout shares and warrants excluded from the calculations of diluted EPS were 4,301,986 and 4,340,250 shares as of June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within the meaning of the Private Securities Litigation Reform Act of 1995. Forward-looking statements may be identified by the use of words such as “believe,” “expect,” “plans,” “intend,” “may,” “strategy,” “prospects,” “estimate,” “will,” “should,” “could,” “project,” “target,” “anticipate,” and other similar words and involve risks and uncertainties. Our actual results could differ materially from the forward-looking statements. Factors that could cause or contribute to such differences include those discussed in the section titled “Risk Factors” included in our Annual Report on Form 10-K for the year ended December 31, 2024. Any forward-looking statements made by us speak only as of the date on which they are made. We are under no obligation to, and expressly disclaims any obligation to, update or alter its forward-looking statements, whether as a result of new information, subsequent events or otherwise, except as required by law. This discussion and analysis should also be read in conjunction with “Management’s Discussion and Analysis of Financial Condition and Results of Operations”, set forth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Company Overview</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leading distributed gaming operator in the United States (“U.S.”), as well as a developer of brick-and-mortar casinos that serve local gaming markets and horse racing venues. We are a preferred partner for local business owners in the markets we serve. We offer turnkey, full-service gaming solutions to bars, restaurants, convenience stores, truck stops, and fraternal and veteran establishments across the country as well as casinos and horse racing venues. Our focus is providing unmatched customer support, guidance, and expertise so our location partners can grow their businesses with incremental revenue.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install, maintain, operate and service gaming terminals and related equipment for our location partners as well as redemption devices that have automated teller machine (“ATM”) functionality and stand-alone ATMs. We offer amusement devices, including jukeboxes, dartboards, pool tables, and other entertainment related equipment. These operations provide a complementary source of lead generation for our gaming business by offering a “one-stop” source of additional equipment for our location partners. We also design and manufacture gaming terminals and related equipment. We are continuously evaluating additional opportunities that are complementary to our core business, such as our acquisition of Fairmount Park - Casino &amp; Racing (“Fairmount”) in Collinsville, Illinois. In April 2025, the casino opened and the racing season began at Fairmount.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operate in the following states:    </w:t>
      </w:r>
    </w:p>
    <w:tbl>
      <w:tblPr>
        <w:tblW w:w="10205" w:type="dxa"/>
        <w:jc w:val="left"/>
        <w:tblInd w:w="0" w:type="dxa"/>
        <w:tblLayout w:type="fixed"/>
        <w:tblCellMar>
          <w:top w:w="28" w:type="dxa"/>
          <w:left w:w="28" w:type="dxa"/>
          <w:bottom w:w="28" w:type="dxa"/>
          <w:right w:w="28" w:type="dxa"/>
        </w:tblCellMar>
      </w:tblPr>
      <w:tblGrid>
        <w:gridCol w:w="255"/>
        <w:gridCol w:w="224"/>
        <w:gridCol w:w="227"/>
        <w:gridCol w:w="109"/>
        <w:gridCol w:w="109"/>
        <w:gridCol w:w="109"/>
        <w:gridCol w:w="833"/>
        <w:gridCol w:w="833"/>
        <w:gridCol w:w="835"/>
        <w:gridCol w:w="109"/>
        <w:gridCol w:w="109"/>
        <w:gridCol w:w="109"/>
        <w:gridCol w:w="669"/>
        <w:gridCol w:w="669"/>
        <w:gridCol w:w="676"/>
        <w:gridCol w:w="109"/>
        <w:gridCol w:w="109"/>
        <w:gridCol w:w="109"/>
        <w:gridCol w:w="1168"/>
        <w:gridCol w:w="1168"/>
        <w:gridCol w:w="1667"/>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Operations Started or Year of Acquisition</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Branding</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Operations</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180"/>
              <w:jc w:val="left"/>
              <w:rPr/>
            </w:pPr>
            <w:r>
              <w:rPr>
                <w:color w:val="000000"/>
              </w:rPr>
              <w:t>•</w:t>
            </w:r>
            <w:r>
              <w:rPr>
                <w:rFonts w:ascii="Times New Roman;serif" w:hAnsi="Times New Roman;serif"/>
                <w:b w:val="false"/>
                <w:color w:val="000000"/>
                <w:sz w:val="20"/>
              </w:rPr>
              <w:t>Establishments with a liquor license (Up to 6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Bars/restaurants/retail</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Gaming cafes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Fraternal organizations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Veterans’ organizations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Truck stops (Up to 6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Large truck stops (Up to 10 gaming terminals)</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Fairmount Park - Casino + Racing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Operates a thoroughbred horse race track with ~50 annual race days since April 2025</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Operates a casino with 271 gaming positions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Revenue share agreement with FanDuel to operate a sportsbook</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Offers attractive food and beverage offerings throughout the year</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438"/>
        <w:gridCol w:w="385"/>
        <w:gridCol w:w="393"/>
        <w:gridCol w:w="109"/>
        <w:gridCol w:w="109"/>
        <w:gridCol w:w="109"/>
        <w:gridCol w:w="565"/>
        <w:gridCol w:w="565"/>
        <w:gridCol w:w="566"/>
        <w:gridCol w:w="109"/>
        <w:gridCol w:w="109"/>
        <w:gridCol w:w="109"/>
        <w:gridCol w:w="847"/>
        <w:gridCol w:w="573"/>
        <w:gridCol w:w="576"/>
        <w:gridCol w:w="109"/>
        <w:gridCol w:w="109"/>
        <w:gridCol w:w="109"/>
        <w:gridCol w:w="1322"/>
        <w:gridCol w:w="1239"/>
        <w:gridCol w:w="1755"/>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Operations Started or Year of Acquisition</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Branding</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Operations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Business locations licensed to sell alcoholic beverages for on-premises consumption only, including locations restricted to offering a maximum of 20 gaming terminals</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Grand Vision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Designs and manufactures gaming terminals and software that are sold to Montana, South Dakota, and West Virginia</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Develops proprietary gaming terminals and related software as well as other ancillary equipment for our distributed gaming routes in Montana, Nevada, Nebraska and Georgia</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Yellowstone Casino and other local retail/parlor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Retail gaming locations licensed to sell alcoholic beverages and offering a maximum of 20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Certain locations have attractive food offerings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 xml:space="preserve">Currently, we have five parlor locations </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Non-casino locations where gaming is incidental to the primary business being conducted at the location, including:</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Grocery/drug/convenience stores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Bars/restaurants/taverns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 xml:space="preserve">Liquor stores </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Games are generally limited to 15 or fewer gaming terminals with no other forms of gaming activity permitted</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Operate cash devices in retail locations throughout the state</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Retail establishments include any business location that is open to the public for the sale of goods other than gaming terminals and that possesses a valid sales tax permit</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Bulldog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shd w:fill="FFFFFF" w:val="clear"/>
              </w:rPr>
              <w:t>•</w:t>
            </w:r>
            <w:r>
              <w:rPr>
                <w:rFonts w:ascii="Times New Roman;serif" w:hAnsi="Times New Roman;serif"/>
                <w:b w:val="false"/>
                <w:color w:val="000000"/>
                <w:sz w:val="20"/>
              </w:rPr>
              <w:t>Operate gaming terminals which are skill-based coin-operated amusement machines with winnings paid in points that may be redeemed for noncash merchandise, prizes, toys, gift cards, or novelties</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Toucan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Truck stop gaming parlors (up to 50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Establishments with a liquor license (up to 3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Bars/restaurants/retail</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Fraternal organizations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Veterans’ organizations</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Operate amusement concessions, including games of chance and games of skill, which we define as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Bars, taverns, and restaurants with a certain class of liquor license are permitted to operate up to four electrical or mechanical games of chance</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Licensed to operate at qualified truck stops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 xml:space="preserve">Actively exploring opportunities </w:t>
            </w:r>
          </w:p>
        </w:tc>
      </w:tr>
    </w:tbl>
    <w:p>
      <w:pPr>
        <w:pStyle w:val="TextBody"/>
        <w:bidi w:val="0"/>
        <w:spacing w:before="0" w:after="0"/>
        <w:ind w:left="0" w:right="0" w:firstLine="90"/>
        <w:jc w:val="left"/>
        <w:rPr/>
      </w:pPr>
      <w:r>
        <w:rPr/>
      </w:r>
    </w:p>
    <w:p>
      <w:pPr>
        <w:pStyle w:val="TextBody"/>
        <w:bidi w:val="0"/>
        <w:spacing w:before="160" w:after="283"/>
        <w:ind w:left="0" w:right="0" w:firstLine="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345" w:before="160" w:after="283"/>
        <w:ind w:left="0" w:right="0" w:firstLine="9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Distributed Gaming Competitive Landscape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compete in the distributed gaming landscape on the basis of the responsiveness of our service to our locations and players, and the popularity, content, features, quality, functionality and reliability of our products. In the distributed gaming industry, we generally operate in markets where our terminal revenue splits are either statutorily determined or negotiated, as follows:</w:t>
      </w:r>
    </w:p>
    <w:tbl>
      <w:tblPr>
        <w:tblW w:w="10205" w:type="dxa"/>
        <w:jc w:val="left"/>
        <w:tblInd w:w="0" w:type="dxa"/>
        <w:tblLayout w:type="fixed"/>
        <w:tblCellMar>
          <w:top w:w="28" w:type="dxa"/>
          <w:left w:w="28" w:type="dxa"/>
          <w:bottom w:w="28" w:type="dxa"/>
          <w:right w:w="28" w:type="dxa"/>
        </w:tblCellMar>
      </w:tblPr>
      <w:tblGrid>
        <w:gridCol w:w="2038"/>
        <w:gridCol w:w="1791"/>
        <w:gridCol w:w="1771"/>
        <w:gridCol w:w="109"/>
        <w:gridCol w:w="109"/>
        <w:gridCol w:w="109"/>
        <w:gridCol w:w="1294"/>
        <w:gridCol w:w="1234"/>
        <w:gridCol w:w="1750"/>
      </w:tblGrid>
      <w:tr>
        <w:trPr/>
        <w:tc>
          <w:tcPr>
            <w:tcW w:w="203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Statutory Splits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Negotiated Splits</w:t>
            </w:r>
          </w:p>
        </w:tc>
      </w:tr>
      <w:tr>
        <w:trPr/>
        <w:tc>
          <w:tcPr>
            <w:tcW w:w="5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terminal income splits are statutorily predetermined; minimum and maximum wagers are mandated by the applicable governing bodies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terminal income splits are negotiated </w:t>
            </w:r>
          </w:p>
        </w:tc>
      </w:tr>
      <w:tr>
        <w:trPr/>
        <w:tc>
          <w:tcPr>
            <w:tcW w:w="5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Pricing is not considered a factor as revenue splits with our locations are mandated by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Pricing is a driver in contract negotiations as all revenue splits are negotiated</w:t>
            </w:r>
          </w:p>
        </w:tc>
      </w:tr>
      <w:tr>
        <w:trPr/>
        <w:tc>
          <w:tcPr>
            <w:tcW w:w="5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Location and customer experience are key differentiating factors for selecting us over our competitors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Our focus on player appeal, customer service and reputation are also key factors impacting competition</w:t>
            </w:r>
          </w:p>
        </w:tc>
      </w:tr>
      <w:tr>
        <w:trPr/>
        <w:tc>
          <w:tcPr>
            <w:tcW w:w="56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markets with statutory splits are: Illinois, Georgia, Pennsylvania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markets with negotiated splits are: Montana, Nevada, Nebraska, Iowa, Louisiana</w:t>
            </w:r>
          </w:p>
        </w:tc>
      </w:tr>
    </w:tbl>
    <w:p>
      <w:pPr>
        <w:pStyle w:val="TextBody"/>
        <w:bidi w:val="0"/>
        <w:spacing w:before="0" w:after="0"/>
        <w:ind w:left="0" w:right="0" w:firstLine="90"/>
        <w:jc w:val="left"/>
        <w:rPr/>
      </w:pPr>
      <w:r>
        <w:rPr/>
      </w:r>
    </w:p>
    <w:p>
      <w:pPr>
        <w:pStyle w:val="TextBody"/>
        <w:bidi w:val="0"/>
        <w:spacing w:lineRule="auto" w:line="288" w:before="0" w:after="0"/>
        <w:ind w:left="0" w:right="0" w:firstLine="90"/>
        <w:jc w:val="left"/>
        <w:rPr>
          <w:rFonts w:ascii="Times New Roman;serif" w:hAnsi="Times New Roman;serif"/>
          <w:b/>
          <w:color w:val="000000"/>
          <w:sz w:val="20"/>
        </w:rPr>
      </w:pPr>
      <w:r>
        <w:rPr>
          <w:rFonts w:ascii="Times New Roman;serif" w:hAnsi="Times New Roman;serif"/>
          <w:b/>
          <w:color w:val="000000"/>
          <w:sz w:val="20"/>
        </w:rPr>
        <w:t xml:space="preserve">Macroeconomic Factors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Ongoing interest rate uncertainty, persistent inflation and increased and/or reciprocal tariffs may increase the risk of an economic recession and volatility in the capital or credit markets in the U.S.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locations partners may adversely affect our results of operations and cash flows.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first half of 2025, we have not observed material impacts to our business or outlook from the macroeconomic factors noted above, outside of higher compensation-related costs. In the first half of 2024, we accelerated certain of our capital expenditures related to gaming terminals and related components to manage our supply chain.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monitor macroeconomic conditions closely and may determine to take certain financial or operational actions in response to such conditions to the extent our business begins to be adversely impacted.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Components of Performance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revenues</w:t>
      </w:r>
    </w:p>
    <w:p>
      <w:pPr>
        <w:pStyle w:val="TextBody"/>
        <w:bidi w:val="0"/>
        <w:spacing w:lineRule="auto" w:line="345" w:before="160" w:after="283"/>
        <w:jc w:val="both"/>
        <w:rPr/>
      </w:pPr>
      <w:r>
        <w:rPr>
          <w:rFonts w:ascii="Times New Roman;serif" w:hAnsi="Times New Roman;serif"/>
          <w:b w:val="false"/>
          <w:i/>
          <w:color w:val="000000"/>
          <w:sz w:val="20"/>
          <w:shd w:fill="FFFFFF" w:val="clear"/>
        </w:rPr>
        <w:t xml:space="preserve">Net gaming. </w:t>
      </w:r>
      <w:r>
        <w:rPr>
          <w:rFonts w:ascii="Times New Roman;serif" w:hAnsi="Times New Roman;serif"/>
          <w:b w:val="false"/>
          <w:color w:val="000000"/>
          <w:sz w:val="20"/>
          <w:shd w:fill="FFFFFF" w:val="clear"/>
        </w:rPr>
        <w:t xml:space="preserve">Net gaming revenue represents net cash received from gaming activities, which is the difference between gaming wins and losses. Net gaming revenue includes the amounts earned by our </w:t>
      </w:r>
      <w:r>
        <w:rPr>
          <w:rFonts w:ascii="Times New Roman;serif" w:hAnsi="Times New Roman;serif"/>
          <w:b w:val="false"/>
          <w:color w:val="000000"/>
          <w:sz w:val="20"/>
        </w:rPr>
        <w:t>location</w:t>
      </w:r>
      <w:r>
        <w:rPr>
          <w:color w:val="000000"/>
          <w:shd w:fill="FFFFFF" w:val="clear"/>
        </w:rPr>
        <w:t xml:space="preserve"> </w:t>
      </w:r>
      <w:r>
        <w:rPr>
          <w:rFonts w:ascii="Times New Roman;serif" w:hAnsi="Times New Roman;serif"/>
          <w:b w:val="false"/>
          <w:color w:val="000000"/>
          <w:sz w:val="20"/>
          <w:shd w:fill="FFFFFF" w:val="clear"/>
        </w:rPr>
        <w:t>partners and is recognized at the time of gaming play.</w:t>
      </w:r>
    </w:p>
    <w:p>
      <w:pPr>
        <w:pStyle w:val="TextBody"/>
        <w:bidi w:val="0"/>
        <w:spacing w:lineRule="auto" w:line="345" w:before="160" w:after="283"/>
        <w:jc w:val="both"/>
        <w:rPr/>
      </w:pPr>
      <w:r>
        <w:rPr>
          <w:rFonts w:ascii="Times New Roman;serif" w:hAnsi="Times New Roman;serif"/>
          <w:b w:val="false"/>
          <w:i/>
          <w:color w:val="000000"/>
          <w:sz w:val="20"/>
        </w:rPr>
        <w:t xml:space="preserve">Amusement. </w:t>
      </w:r>
      <w:r>
        <w:rPr>
          <w:rFonts w:ascii="Times New Roman;serif" w:hAnsi="Times New Roman;serif"/>
          <w:b w:val="false"/>
          <w:color w:val="000000"/>
          <w:sz w:val="20"/>
        </w:rPr>
        <w:t>Amusement revenue represents amounts collected from amusement devices operated at various location</w:t>
      </w:r>
      <w:r>
        <w:rPr>
          <w:color w:val="000000"/>
          <w:shd w:fill="FFFFFF" w:val="clear"/>
        </w:rPr>
        <w:t xml:space="preserve"> </w:t>
      </w:r>
      <w:r>
        <w:rPr>
          <w:rFonts w:ascii="Times New Roman;serif" w:hAnsi="Times New Roman;serif"/>
          <w:b w:val="false"/>
          <w:color w:val="000000"/>
          <w:sz w:val="20"/>
          <w:shd w:fill="FFFFFF" w:val="clear"/>
        </w:rPr>
        <w:t>partners</w:t>
      </w:r>
      <w:r>
        <w:rPr>
          <w:color w:val="000000"/>
        </w:rPr>
        <w:t xml:space="preserve"> </w:t>
      </w:r>
      <w:r>
        <w:rPr>
          <w:rFonts w:ascii="Times New Roman;serif" w:hAnsi="Times New Roman;serif"/>
          <w:b w:val="false"/>
          <w:color w:val="000000"/>
          <w:sz w:val="20"/>
        </w:rPr>
        <w:t>and is recognized at the point the amusement device is used.</w:t>
      </w:r>
    </w:p>
    <w:p>
      <w:pPr>
        <w:pStyle w:val="TextBody"/>
        <w:bidi w:val="0"/>
        <w:spacing w:lineRule="auto" w:line="345" w:before="160" w:after="283"/>
        <w:jc w:val="both"/>
        <w:rPr/>
      </w:pPr>
      <w:r>
        <w:rPr>
          <w:rFonts w:ascii="Times New Roman;serif" w:hAnsi="Times New Roman;serif"/>
          <w:b w:val="false"/>
          <w:i/>
          <w:color w:val="000000"/>
          <w:sz w:val="20"/>
        </w:rPr>
        <w:t xml:space="preserve">Manufacturing. </w:t>
      </w:r>
      <w:r>
        <w:rPr>
          <w:rFonts w:ascii="Times New Roman;serif" w:hAnsi="Times New Roman;serif"/>
          <w:b w:val="false"/>
          <w:color w:val="000000"/>
          <w:sz w:val="20"/>
        </w:rPr>
        <w:t>Manufacturing revenue represents sales of gaming terminals and software as well as other ancillary equipment.</w:t>
      </w:r>
    </w:p>
    <w:p>
      <w:pPr>
        <w:pStyle w:val="TextBody"/>
        <w:bidi w:val="0"/>
        <w:spacing w:lineRule="auto" w:line="345" w:before="160" w:after="283"/>
        <w:jc w:val="both"/>
        <w:rPr/>
      </w:pPr>
      <w:r>
        <w:rPr>
          <w:rFonts w:ascii="Times New Roman;serif" w:hAnsi="Times New Roman;serif"/>
          <w:b w:val="false"/>
          <w:i/>
          <w:color w:val="000000"/>
          <w:sz w:val="20"/>
        </w:rPr>
        <w:t xml:space="preserve">ATM fees and other. </w:t>
      </w:r>
      <w:r>
        <w:rPr>
          <w:rFonts w:ascii="Times New Roman;serif" w:hAnsi="Times New Roman;serif"/>
          <w:b w:val="false"/>
          <w:color w:val="000000"/>
          <w:sz w:val="20"/>
        </w:rPr>
        <w:t>ATM fees and other consist of fees charged for the withdrawal of funds from our redemption devices and stand-alone ATMs and is recognized at the time of the ATM transaction. Beginning in the first quarter of 2025, revenues from our casino &amp; racing operations are also included.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expenses</w:t>
      </w:r>
    </w:p>
    <w:p>
      <w:pPr>
        <w:pStyle w:val="TextBody"/>
        <w:bidi w:val="0"/>
        <w:spacing w:lineRule="auto" w:line="345" w:before="160" w:after="283"/>
        <w:jc w:val="both"/>
        <w:rPr/>
      </w:pPr>
      <w:r>
        <w:rPr>
          <w:rFonts w:ascii="Times New Roman;serif" w:hAnsi="Times New Roman;serif"/>
          <w:b w:val="false"/>
          <w:i/>
          <w:color w:val="000000"/>
          <w:sz w:val="20"/>
        </w:rPr>
        <w:t xml:space="preserve">Cost of revenue. </w:t>
      </w:r>
      <w:r>
        <w:rPr>
          <w:rFonts w:ascii="Times New Roman;serif" w:hAnsi="Times New Roman;serif"/>
          <w:b w:val="false"/>
          <w:color w:val="000000"/>
          <w:sz w:val="20"/>
        </w:rPr>
        <w:t>Cost of revenue consists of i) taxes on net gaming revenue that is payable to the appropriate jurisdiction (effective July 1, 2024, the tax on net gaming revenue in the State of Illinois increased from 34% to 35%, which is split equally between us and our locations in Illinois), ii) licenses, permits and other fees required for the operation of our business, iii) location revenue share, which is governed by local governing bodies and location contracts, iv) ATM and amusement commissions payable to locations, v) ATM and amusement fees and vi) expenses from our casino &amp; racing operations.</w:t>
      </w:r>
    </w:p>
    <w:p>
      <w:pPr>
        <w:pStyle w:val="TextBody"/>
        <w:bidi w:val="0"/>
        <w:spacing w:lineRule="auto" w:line="345" w:before="160" w:after="283"/>
        <w:jc w:val="both"/>
        <w:rPr/>
      </w:pPr>
      <w:r>
        <w:rPr>
          <w:rFonts w:ascii="Times New Roman;serif" w:hAnsi="Times New Roman;serif"/>
          <w:b w:val="false"/>
          <w:i/>
          <w:color w:val="000000"/>
          <w:sz w:val="20"/>
        </w:rPr>
        <w:t xml:space="preserve">Cost of manufacturing goods sold. </w:t>
      </w:r>
      <w:r>
        <w:rPr>
          <w:rFonts w:ascii="Times New Roman;serif" w:hAnsi="Times New Roman;serif"/>
          <w:b w:val="false"/>
          <w:color w:val="000000"/>
          <w:sz w:val="20"/>
        </w:rPr>
        <w:t>Cost of manufacturing goods sold consists of costs associated with the sale of gaming terminals and software as well as other ancillary equipment.</w:t>
      </w:r>
    </w:p>
    <w:p>
      <w:pPr>
        <w:pStyle w:val="TextBody"/>
        <w:bidi w:val="0"/>
        <w:spacing w:lineRule="auto" w:line="345" w:before="160" w:after="283"/>
        <w:jc w:val="both"/>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General and administrative expenses consist of operating expense and general and administrative expense. Operating expense includes compensation-related costs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General and administrative expense includes compensation-related costs for account managers, business development managers, marketing, and other corporate personnel. In addition, general and administrative expense also includes marketing, information technology, insurance, rent and professional fees.</w:t>
      </w:r>
    </w:p>
    <w:p>
      <w:pPr>
        <w:pStyle w:val="TextBody"/>
        <w:bidi w:val="0"/>
        <w:spacing w:lineRule="auto" w:line="345" w:before="160" w:after="283"/>
        <w:jc w:val="both"/>
        <w:rPr/>
      </w:pPr>
      <w:r>
        <w:rPr>
          <w:rFonts w:ascii="Times New Roman;serif" w:hAnsi="Times New Roman;serif"/>
          <w:b w:val="false"/>
          <w:i/>
          <w:color w:val="000000"/>
          <w:sz w:val="20"/>
        </w:rPr>
        <w:t xml:space="preserve">Depreciation and amortization of property and equipment. </w:t>
      </w:r>
      <w:r>
        <w:rPr>
          <w:rFonts w:ascii="Times New Roman;serif" w:hAnsi="Times New Roman;serif"/>
          <w:b w:val="false"/>
          <w:color w:val="000000"/>
          <w:sz w:val="20"/>
        </w:rPr>
        <w:t xml:space="preserve">Depreciation is computed using the straight-line method over the estimated useful lives of the individual assets. Leasehold improvements are amortized over the shorter of the useful life or the lease. </w:t>
      </w:r>
    </w:p>
    <w:p>
      <w:pPr>
        <w:pStyle w:val="TextBody"/>
        <w:bidi w:val="0"/>
        <w:spacing w:lineRule="auto" w:line="345" w:before="160" w:after="283"/>
        <w:jc w:val="both"/>
        <w:rPr/>
      </w:pPr>
      <w:r>
        <w:rPr>
          <w:rFonts w:ascii="Times New Roman;serif" w:hAnsi="Times New Roman;serif"/>
          <w:b w:val="false"/>
          <w:i/>
          <w:color w:val="000000"/>
          <w:sz w:val="20"/>
        </w:rPr>
        <w:t xml:space="preserve">Amortization of intangible assets and route and customer acquisition costs. </w:t>
      </w:r>
      <w:r>
        <w:rPr>
          <w:rFonts w:ascii="Times New Roman;serif" w:hAnsi="Times New Roman;serif"/>
          <w:b w:val="false"/>
          <w:color w:val="000000"/>
          <w:sz w:val="20"/>
        </w:rPr>
        <w:t>Route and customer acquisition costs consist of fees paid at the inception of contracts entered into with third parties and our gaming locations, which allows us to install and operate gaming terminals. The route and customer acquisition costs and route and customer acquisition costs payable are recorded at the net present value of the future payments using a discount rate equal to our incremental borrowing rate associated with its long-term debt. Route and customer acquisition costs are amortized on a straight-line basis over 18 years, which is the expected estimated life of the contract, including expected renewals.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Location contracts acquired in a business combination are recorded at fair value and then amortized as an intangible asset on a straight-line basis over the expected useful life of 15 years.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Other intangible assets acquired in a business acquisition are recorded at fair value and then amortized as an intangible asset on a straight-line basis over their estimated 7 to 20-year useful lives.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 net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consists of interest on our current credit facilities, amortization of financing fees, accretion of interest on route and customer acquisition costs payable, and interest (income) expense on the interest rate caplets. Interest on the current credit facility is payable monthly on unpaid balances at the variable per annum Secured Overnight Financing Rate (“SOFR”) rate plus an applicable margin, as defined under the terms of the credit facility, ranging from 1.75% to 2.75% depending on the first lien net leverage ratio.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Income tax expense </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consists mainly of taxes payable to federal, state and local authorities. Deferred income taxes are recognized for the tax consequences of temporary differences between the financial statement carrying amounts and the tax basis of the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345" w:before="240" w:after="283"/>
        <w:ind w:left="0" w:right="0" w:firstLine="360"/>
        <w:jc w:val="left"/>
        <w:rPr/>
      </w:pPr>
      <w:r>
        <w:rPr>
          <w:rFonts w:ascii="Times New Roman;serif" w:hAnsi="Times New Roman;serif"/>
          <w:b w:val="false"/>
          <w:color w:val="000000"/>
          <w:sz w:val="20"/>
          <w:shd w:fill="FFFFFF" w:val="clear"/>
        </w:rPr>
        <w:t>The following table summarizes our results of operations on a consolidated basis for the three</w:t>
      </w:r>
      <w:r>
        <w:rPr>
          <w:color w:val="000000"/>
        </w:rPr>
        <w:t xml:space="preserve"> </w:t>
      </w:r>
      <w:r>
        <w:rPr>
          <w:rFonts w:ascii="Times New Roman;serif" w:hAnsi="Times New Roman;serif"/>
          <w:b w:val="false"/>
          <w:color w:val="000000"/>
          <w:sz w:val="20"/>
        </w:rPr>
        <w:t xml:space="preserve">months ended </w:t>
      </w:r>
      <w:r>
        <w:rPr>
          <w:rFonts w:ascii="Times New Roman;serif" w:hAnsi="Times New Roman;serif"/>
          <w:b w:val="false"/>
          <w:color w:val="000000"/>
          <w:sz w:val="20"/>
          <w:shd w:fill="FFFFFF" w:val="clear"/>
        </w:rPr>
        <w:t>June 30, 2025 and 2024:</w:t>
      </w:r>
    </w:p>
    <w:tbl>
      <w:tblPr>
        <w:tblW w:w="10205" w:type="dxa"/>
        <w:jc w:val="center"/>
        <w:tblInd w:w="0" w:type="dxa"/>
        <w:tblLayout w:type="fixed"/>
        <w:tblCellMar>
          <w:top w:w="28" w:type="dxa"/>
          <w:left w:w="28" w:type="dxa"/>
          <w:bottom w:w="28" w:type="dxa"/>
          <w:right w:w="28" w:type="dxa"/>
        </w:tblCellMar>
      </w:tblPr>
      <w:tblGrid>
        <w:gridCol w:w="1833"/>
        <w:gridCol w:w="1428"/>
        <w:gridCol w:w="143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43"/>
        <w:gridCol w:w="273"/>
        <w:gridCol w:w="576"/>
      </w:tblGrid>
      <w:tr>
        <w:trPr/>
        <w:tc>
          <w:tcPr>
            <w:tcW w:w="183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4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345" w:before="60" w:after="283"/>
        <w:jc w:val="both"/>
        <w:rPr>
          <w:rFonts w:ascii="Times New Roman;serif" w:hAnsi="Times New Roman;serif"/>
          <w:b w:val="false"/>
          <w:i/>
          <w:color w:val="000000"/>
          <w:sz w:val="20"/>
        </w:rPr>
      </w:pPr>
      <w:r>
        <w:rPr>
          <w:rFonts w:ascii="Times New Roman;serif" w:hAnsi="Times New Roman;serif"/>
          <w:b w:val="false"/>
          <w:i/>
          <w:color w:val="000000"/>
          <w:sz w:val="20"/>
        </w:rPr>
        <w:t>Net revenues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net revenues for the three months ended June 30, 2025 were $335.9 million, an increase of $26.5 million, or 8.6%, compared to the prior-year period. This increase was primarily driven by higher net gaming revenue of $20.7 million, which reflected an increase in gaming locations and terminals, and higher ATM fees and other revenue of $14.7 million, an increase of $9.3 million, or 171.1%, which included revenue from our casino &amp; racing operations. Those amounts were partially offset by a decrease in manufacturing revenue of $3.4 million, or 66.1%, primarily due to timing on software sales. Net revenues by state are presented below:</w:t>
      </w:r>
    </w:p>
    <w:tbl>
      <w:tblPr>
        <w:tblW w:w="7475"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285"/>
        <w:gridCol w:w="240"/>
        <w:gridCol w:w="685"/>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for the three months ended June 30, 2025 was $229.8 million, an increase of $16.4 million, or 7.7%, compared to the prior-year period, driven by higher net gaming revenue and revenue from our casino &amp; racing operations, as described above.</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Cost of manufacturing goods sold</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manufacturing goods sold for the three months ended June 30, 2025 was $0.9 million, a decrease of $2.3 million, or 72.0%, compared to the prior-year period due to lower manufacturing revenue, as described above.</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three months ended June 30, 2025 were $54.9 million, an increase of $8.3 million, or 17.9%, compared to the prior-year period. The increase was attributable to higher compensation-related costs, as we continue to grow our operations. </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 of property and equipment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 for the three months ended June 30, 2025 was $13.1 million, an increase of $2.3 million, or 21.3%, compared to the prior-year period due to an increased number of gaming terminals.</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pPr>
      <w:r>
        <w:rPr>
          <w:rFonts w:ascii="Times New Roman;serif" w:hAnsi="Times New Roman;serif"/>
          <w:b w:val="false"/>
          <w:color w:val="000000"/>
          <w:sz w:val="20"/>
        </w:rPr>
        <w:t>Amortization of intangible assets and route and customer acquisition costs for the three months ended June 30, 2025 were $6.3 million, an increase of $0.7 million, or 13.1%, compared to the prior-year period due to higher a</w:t>
      </w:r>
      <w:r>
        <w:rPr>
          <w:rFonts w:ascii="Times New Roman;serif" w:hAnsi="Times New Roman;serif"/>
          <w:b w:val="false"/>
          <w:color w:val="000000"/>
          <w:sz w:val="20"/>
          <w:shd w:fill="FFFFFF" w:val="clear"/>
        </w:rPr>
        <w:t>mortization expenses on location contracts acquired</w:t>
      </w:r>
      <w:r>
        <w:rPr>
          <w:rFonts w:ascii="Times New Roman;serif" w:hAnsi="Times New Roman;serif"/>
          <w:b w:val="false"/>
          <w:color w:val="000000"/>
          <w:sz w:val="20"/>
        </w:rPr>
        <w:t>.</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expenses, net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expenses, net for the three months ended June 30, 2025 were $4.1 million, a decrease of $3.2 million, or 44.1%, compared to the prior-year period. The decrease was primarily attributable to lower fair value adjustments associated with the revaluation of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before="160" w:after="283"/>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345" w:before="160" w:after="283"/>
        <w:ind w:left="0" w:right="0" w:firstLine="360"/>
        <w:jc w:val="both"/>
        <w:rPr/>
      </w:pPr>
      <w:r>
        <w:rPr>
          <w:rFonts w:ascii="Times New Roman;serif" w:hAnsi="Times New Roman;serif"/>
          <w:b w:val="false"/>
          <w:color w:val="000000"/>
          <w:sz w:val="20"/>
        </w:rPr>
        <w:t>Interest expense, net for the three months ended June 30, 2025 was $8.8 million, which was essentially flat compared to the prior-year period. We experienced an increase in average outstanding debt, which was offset by lower interest rates and the benefit realized on our interest rate caplets. For the three months ended June 30, 2025, the weighted average interest rate, excluding the impact of our interest rate caplets, was approximately 6.5% compared to 7.7% in the prior-year period</w:t>
      </w:r>
      <w:r>
        <w:rPr>
          <w:rFonts w:ascii="Times New Roman;serif" w:hAnsi="Times New Roman;serif"/>
          <w:b w:val="false"/>
          <w:color w:val="000000"/>
          <w:sz w:val="20"/>
          <w:shd w:fill="FFFFFF" w:val="clear"/>
        </w:rPr>
        <w:t>.</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Loss (gain) on change in fair value of contingent earnout shares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The change in the fair value of contingent earnout shares for the three months ended June 30, 2025 was a loss of $5.7 million, compared to a gain of $4.7 million the prior-</w:t>
      </w:r>
      <w:r>
        <w:rPr>
          <w:rFonts w:ascii="Times New Roman;serif" w:hAnsi="Times New Roman;serif"/>
          <w:b w:val="false"/>
          <w:color w:val="000000"/>
          <w:sz w:val="20"/>
          <w:shd w:fill="FFFFFF" w:val="clear"/>
        </w:rPr>
        <w:t xml:space="preserve">year period. </w:t>
      </w:r>
      <w:r>
        <w:rPr>
          <w:rFonts w:ascii="Times New Roman;serif" w:hAnsi="Times New Roman;serif"/>
          <w:b w:val="false"/>
          <w:color w:val="000000"/>
          <w:sz w:val="20"/>
        </w:rPr>
        <w:t xml:space="preserve">The change was primarily due to the change in the market value of our Class A-1 common stock, which is the primary input to the valuation of the contingent earnout shares. </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June 30, 2025 was $5.1 million, an increase of $1.2 million, or 29.4%, compared to the prior-year period. The effective tax rate for the three months ended June 30, 2025 was 41.2% compared to 21.2%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can be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345" w:before="240" w:after="283"/>
        <w:ind w:left="0" w:right="0" w:firstLine="360"/>
        <w:jc w:val="left"/>
        <w:rPr/>
      </w:pPr>
      <w:r>
        <w:rPr>
          <w:rFonts w:ascii="Times New Roman;serif" w:hAnsi="Times New Roman;serif"/>
          <w:b w:val="false"/>
          <w:color w:val="000000"/>
          <w:sz w:val="20"/>
          <w:shd w:fill="FFFFFF" w:val="clear"/>
        </w:rPr>
        <w:t xml:space="preserve">The following table summarizes our results of operations on a consolidated basis for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June 30, 2025 and 2024:</w:t>
      </w:r>
    </w:p>
    <w:tbl>
      <w:tblPr>
        <w:tblW w:w="10205" w:type="dxa"/>
        <w:jc w:val="center"/>
        <w:tblInd w:w="0" w:type="dxa"/>
        <w:tblLayout w:type="fixed"/>
        <w:tblCellMar>
          <w:top w:w="28" w:type="dxa"/>
          <w:left w:w="28" w:type="dxa"/>
          <w:bottom w:w="28" w:type="dxa"/>
          <w:right w:w="28" w:type="dxa"/>
        </w:tblCellMar>
      </w:tblPr>
      <w:tblGrid>
        <w:gridCol w:w="1752"/>
        <w:gridCol w:w="1345"/>
        <w:gridCol w:w="135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484"/>
        <w:gridCol w:w="387"/>
        <w:gridCol w:w="569"/>
      </w:tblGrid>
      <w:tr>
        <w:trPr/>
        <w:tc>
          <w:tcPr>
            <w:tcW w:w="175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4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13,096.2 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345" w:before="60" w:after="283"/>
        <w:jc w:val="both"/>
        <w:rPr>
          <w:rFonts w:ascii="Times New Roman;serif" w:hAnsi="Times New Roman;serif"/>
          <w:b w:val="false"/>
          <w:i/>
          <w:color w:val="000000"/>
          <w:sz w:val="20"/>
        </w:rPr>
      </w:pPr>
      <w:r>
        <w:rPr>
          <w:rFonts w:ascii="Times New Roman;serif" w:hAnsi="Times New Roman;serif"/>
          <w:b w:val="false"/>
          <w:i/>
          <w:color w:val="000000"/>
          <w:sz w:val="20"/>
        </w:rPr>
        <w:t>Net revenues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net revenues for the six months ended June 30, 2025 were $659.8 million, an increase of $48.6 million, or 7.9%, compared to the prior-year period. This increase was primarily driven by higher net gaming revenue of $34.5 million, which reflected an increase in gaming locations and terminals and higher ATM fees and other revenue of $26.9 million, an increase of $16.1 million, or 149.9%, which included revenue from our casino &amp; racing operations. Net revenues by state are presented below:</w:t>
      </w:r>
    </w:p>
    <w:tbl>
      <w:tblPr>
        <w:tblW w:w="7475"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285"/>
        <w:gridCol w:w="240"/>
        <w:gridCol w:w="685"/>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for the six months ended June 30, 2025 was $451.2 million, an increase of $28.7 million, or 6.8%, compared to the prior-year period, driven by higher net gaming revenue and revenue from our racing and casino operations, as described above.</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Cost of manufacturing goods sold</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manufacturing goods sold for the six months ended June 30, 2025 was $3.0 million, a decrease of $1.4 million, or 31.5%, compared to the prior-year period primarily due to lower manufacturing revenue.</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six months ended June 30, 2025 were $107.9 million, an increase of $13.7 million, or 14.6%, compared to the prior-year period. The increase was attributable to compensation-related costs, as we continue to grow our operations, partially offset by lower parts and repair expense. </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 of property and equipment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 for the six months ended June 30, 2025 was $25.4 million, an increase of $4.2 million, or 19.6%, compared to the prior-year period due to an increased number of gaming terminals.</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 for the six months ended June 30, 2025 were $12.6 million, an increase of $1.6 million, or 14.4%, compared to the prior-year period.</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expenses, net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expenses, net for the six months ended June 30, 2025 were $6.9 million, a decrease of $2.8 million, or 29.1%, compared to the prior-year period. The decrease was primarily attributable to lower fair value adjustments associated with the revaluation of contingent consideration liabilities, partially offset by higher non-recurring expenses related to acquisitions.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345" w:before="160" w:after="283"/>
        <w:ind w:left="0" w:right="0" w:firstLine="360"/>
        <w:jc w:val="both"/>
        <w:rPr/>
      </w:pPr>
      <w:r>
        <w:rPr>
          <w:rFonts w:ascii="Times New Roman;serif" w:hAnsi="Times New Roman;serif"/>
          <w:b w:val="false"/>
          <w:color w:val="000000"/>
          <w:sz w:val="20"/>
        </w:rPr>
        <w:t>Interest expense, net for the six months ended June 30, 2025 was $17.5 million, which was essentially flat compared to the prior-year period. We experienced an increase in average outstanding debt, which was offset by lower interest rates and the benefit realized on our interest rate caplets. For the six months ended June 30, 2025, the weighted average interest rate, excluding the impact of our interest rate caplets, was approximately 6.5% compared to a rate of approximately 7.7% for the prior-year period</w:t>
      </w:r>
      <w:r>
        <w:rPr>
          <w:rFonts w:ascii="Times New Roman;serif" w:hAnsi="Times New Roman;serif"/>
          <w:b w:val="false"/>
          <w:color w:val="000000"/>
          <w:sz w:val="20"/>
          <w:shd w:fill="FFFFFF" w:val="clear"/>
        </w:rPr>
        <w:t>.</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Loss (gain) on change in fair value of contingent earnout shares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The change in the fair value of contingent earnout shares for the six months ended June 30, 2025 was a loss of $3.4 million, compared to a less than $0.1 million gain the prior-</w:t>
      </w:r>
      <w:r>
        <w:rPr>
          <w:rFonts w:ascii="Times New Roman;serif" w:hAnsi="Times New Roman;serif"/>
          <w:b w:val="false"/>
          <w:color w:val="000000"/>
          <w:sz w:val="20"/>
          <w:shd w:fill="FFFFFF" w:val="clear"/>
        </w:rPr>
        <w:t xml:space="preserve">year period. </w:t>
      </w:r>
      <w:r>
        <w:rPr>
          <w:rFonts w:ascii="Times New Roman;serif" w:hAnsi="Times New Roman;serif"/>
          <w:b w:val="false"/>
          <w:color w:val="000000"/>
          <w:sz w:val="20"/>
        </w:rPr>
        <w:t xml:space="preserve">The change was primarily due to the change in the market value of our Class A-1 common stock, which is the primary input to the valuation of the contingent earnout shares. </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six months ended June 30, 2025 was $10.1 million, an increase of $1.4 million, or 15.9%, compared to the prior-year period. The effective tax rate for the six months ended June 30, 2025 was 31.6% compared to 28.3%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can be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Key Business Metrics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pStyle w:val="TextBody"/>
        <w:bidi w:val="0"/>
        <w:spacing w:lineRule="auto" w:line="345" w:before="160" w:after="283"/>
        <w:ind w:left="0" w:right="0" w:firstLine="360"/>
        <w:jc w:val="both"/>
        <w:rPr/>
      </w:pPr>
      <w:r>
        <w:rPr>
          <w:color w:val="000000"/>
        </w:rPr>
        <w:t>•</w:t>
      </w:r>
      <w:r>
        <w:rPr>
          <w:rFonts w:ascii="Times New Roman;serif" w:hAnsi="Times New Roman;serif"/>
          <w:b w:val="false"/>
          <w:color w:val="000000"/>
          <w:sz w:val="20"/>
        </w:rPr>
        <w:t>Number of locations;</w:t>
      </w:r>
    </w:p>
    <w:p>
      <w:pPr>
        <w:pStyle w:val="TextBody"/>
        <w:bidi w:val="0"/>
        <w:spacing w:lineRule="auto" w:line="345" w:before="160" w:after="283"/>
        <w:ind w:left="0" w:right="0" w:firstLine="360"/>
        <w:jc w:val="both"/>
        <w:rPr/>
      </w:pPr>
      <w:r>
        <w:rPr>
          <w:color w:val="000000"/>
        </w:rPr>
        <w:t>•</w:t>
      </w:r>
      <w:r>
        <w:rPr>
          <w:rFonts w:ascii="Times New Roman;serif" w:hAnsi="Times New Roman;serif"/>
          <w:b w:val="false"/>
          <w:color w:val="000000"/>
          <w:sz w:val="20"/>
        </w:rPr>
        <w:t>Number of gaming terminals; and</w:t>
      </w:r>
    </w:p>
    <w:p>
      <w:pPr>
        <w:pStyle w:val="TextBody"/>
        <w:bidi w:val="0"/>
        <w:spacing w:lineRule="auto" w:line="345" w:before="160" w:after="283"/>
        <w:ind w:left="0" w:right="0" w:firstLine="360"/>
        <w:jc w:val="both"/>
        <w:rPr/>
      </w:pPr>
      <w:r>
        <w:rPr>
          <w:color w:val="000000"/>
        </w:rPr>
        <w:t>•</w:t>
      </w:r>
      <w:r>
        <w:rPr>
          <w:rFonts w:ascii="Times New Roman;serif" w:hAnsi="Times New Roman;serif"/>
          <w:b w:val="false"/>
          <w:color w:val="000000"/>
          <w:sz w:val="20"/>
        </w:rPr>
        <w:t>Location hold-per-day</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periodically review and revise our key business metrics to reflect changes in our business.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Number of locations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locations is based on a combination of third-party portal data and data from our internal systems. We utilize this metric to continually monitor growth from existing locations, organic openings, purchased locations, and competitor conversions. Competitor conversions occur when a location chooses to change terminal operators.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our primary locations:</w:t>
      </w:r>
    </w:p>
    <w:tbl>
      <w:tblPr>
        <w:tblW w:w="5747" w:type="dxa"/>
        <w:jc w:val="center"/>
        <w:tblInd w:w="0" w:type="dxa"/>
        <w:tblLayout w:type="fixed"/>
        <w:tblCellMar>
          <w:top w:w="28" w:type="dxa"/>
          <w:left w:w="28" w:type="dxa"/>
          <w:bottom w:w="28" w:type="dxa"/>
          <w:right w:w="28" w:type="dxa"/>
        </w:tblCellMar>
      </w:tblPr>
      <w:tblGrid>
        <w:gridCol w:w="336"/>
        <w:gridCol w:w="295"/>
        <w:gridCol w:w="300"/>
        <w:gridCol w:w="308"/>
        <w:gridCol w:w="308"/>
        <w:gridCol w:w="176"/>
        <w:gridCol w:w="141"/>
        <w:gridCol w:w="141"/>
        <w:gridCol w:w="141"/>
        <w:gridCol w:w="308"/>
        <w:gridCol w:w="308"/>
        <w:gridCol w:w="176"/>
        <w:gridCol w:w="109"/>
        <w:gridCol w:w="109"/>
        <w:gridCol w:w="109"/>
        <w:gridCol w:w="250"/>
        <w:gridCol w:w="250"/>
        <w:gridCol w:w="251"/>
        <w:gridCol w:w="174"/>
        <w:gridCol w:w="174"/>
        <w:gridCol w:w="174"/>
        <w:gridCol w:w="285"/>
        <w:gridCol w:w="240"/>
        <w:gridCol w:w="68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Number of gaming terminals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the number of gaming terminals in our primary locations:</w:t>
      </w:r>
    </w:p>
    <w:tbl>
      <w:tblPr>
        <w:tblW w:w="5957" w:type="dxa"/>
        <w:jc w:val="center"/>
        <w:tblInd w:w="0" w:type="dxa"/>
        <w:tblLayout w:type="fixed"/>
        <w:tblCellMar>
          <w:top w:w="28" w:type="dxa"/>
          <w:left w:w="28" w:type="dxa"/>
          <w:bottom w:w="28" w:type="dxa"/>
          <w:right w:w="28" w:type="dxa"/>
        </w:tblCellMar>
      </w:tblPr>
      <w:tblGrid>
        <w:gridCol w:w="336"/>
        <w:gridCol w:w="295"/>
        <w:gridCol w:w="300"/>
        <w:gridCol w:w="360"/>
        <w:gridCol w:w="361"/>
        <w:gridCol w:w="176"/>
        <w:gridCol w:w="141"/>
        <w:gridCol w:w="141"/>
        <w:gridCol w:w="141"/>
        <w:gridCol w:w="360"/>
        <w:gridCol w:w="361"/>
        <w:gridCol w:w="176"/>
        <w:gridCol w:w="109"/>
        <w:gridCol w:w="109"/>
        <w:gridCol w:w="109"/>
        <w:gridCol w:w="250"/>
        <w:gridCol w:w="250"/>
        <w:gridCol w:w="251"/>
        <w:gridCol w:w="174"/>
        <w:gridCol w:w="174"/>
        <w:gridCol w:w="174"/>
        <w:gridCol w:w="285"/>
        <w:gridCol w:w="240"/>
        <w:gridCol w:w="68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27,388 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26,481 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60" w:after="283"/>
        <w:ind w:left="0" w:right="0" w:firstLine="360"/>
        <w:jc w:val="both"/>
        <w:rPr/>
      </w:pPr>
      <w:r>
        <w:rPr>
          <w:rFonts w:ascii="Times New Roman;serif" w:hAnsi="Times New Roman;serif"/>
          <w:b w:val="false"/>
          <w:i/>
          <w:color w:val="000000"/>
          <w:sz w:val="20"/>
        </w:rPr>
        <w:t>Location hold-per-day</w:t>
      </w:r>
      <w:r>
        <w:rPr>
          <w:color w:val="000000"/>
          <w:shd w:fill="FFFFFF" w:val="clear"/>
        </w:rPr>
        <w:t xml:space="preserve">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Location hold-per-day is calculated by dividing net gaming revenue in the period by the average number of locations. Then divide the calculated amount by the number of operational days. We utilize this metric to compare market and location performance on a normalized basis. The percent change in location hold-per-day is the underlying metric we use to determine the change in same-store sales.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The following tables set forth information with respect to our location hold-per-day</w:t>
      </w:r>
      <w:r>
        <w:rPr>
          <w:color w:val="000000"/>
          <w:shd w:fill="FFFFFF" w:val="clear"/>
        </w:rPr>
        <w:t xml:space="preserve"> </w:t>
      </w:r>
      <w:r>
        <w:rPr>
          <w:rFonts w:ascii="Times New Roman;serif" w:hAnsi="Times New Roman;serif"/>
          <w:b w:val="false"/>
          <w:color w:val="000000"/>
          <w:sz w:val="20"/>
        </w:rPr>
        <w:t>in our primary locations for the three and six months ended:</w:t>
      </w:r>
    </w:p>
    <w:tbl>
      <w:tblPr>
        <w:tblW w:w="5789" w:type="dxa"/>
        <w:jc w:val="center"/>
        <w:tblInd w:w="0" w:type="dxa"/>
        <w:tblLayout w:type="fixed"/>
        <w:tblCellMar>
          <w:top w:w="28" w:type="dxa"/>
          <w:left w:w="28" w:type="dxa"/>
          <w:bottom w:w="28" w:type="dxa"/>
          <w:right w:w="28" w:type="dxa"/>
        </w:tblCellMar>
      </w:tblPr>
      <w:tblGrid>
        <w:gridCol w:w="336"/>
        <w:gridCol w:w="295"/>
        <w:gridCol w:w="300"/>
        <w:gridCol w:w="211"/>
        <w:gridCol w:w="466"/>
        <w:gridCol w:w="109"/>
        <w:gridCol w:w="109"/>
        <w:gridCol w:w="109"/>
        <w:gridCol w:w="109"/>
        <w:gridCol w:w="211"/>
        <w:gridCol w:w="466"/>
        <w:gridCol w:w="109"/>
        <w:gridCol w:w="109"/>
        <w:gridCol w:w="109"/>
        <w:gridCol w:w="109"/>
        <w:gridCol w:w="316"/>
        <w:gridCol w:w="542"/>
        <w:gridCol w:w="162"/>
        <w:gridCol w:w="134"/>
        <w:gridCol w:w="134"/>
        <w:gridCol w:w="134"/>
        <w:gridCol w:w="285"/>
        <w:gridCol w:w="240"/>
        <w:gridCol w:w="685"/>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60" w:after="283"/>
        <w:ind w:left="0" w:right="0" w:firstLine="360"/>
        <w:jc w:val="center"/>
        <w:rPr/>
      </w:pPr>
      <w:r>
        <w:rPr/>
      </w:r>
    </w:p>
    <w:tbl>
      <w:tblPr>
        <w:tblW w:w="5789" w:type="dxa"/>
        <w:jc w:val="center"/>
        <w:tblInd w:w="0" w:type="dxa"/>
        <w:tblLayout w:type="fixed"/>
        <w:tblCellMar>
          <w:top w:w="28" w:type="dxa"/>
          <w:left w:w="28" w:type="dxa"/>
          <w:bottom w:w="28" w:type="dxa"/>
          <w:right w:w="28" w:type="dxa"/>
        </w:tblCellMar>
      </w:tblPr>
      <w:tblGrid>
        <w:gridCol w:w="336"/>
        <w:gridCol w:w="295"/>
        <w:gridCol w:w="300"/>
        <w:gridCol w:w="211"/>
        <w:gridCol w:w="466"/>
        <w:gridCol w:w="109"/>
        <w:gridCol w:w="109"/>
        <w:gridCol w:w="109"/>
        <w:gridCol w:w="109"/>
        <w:gridCol w:w="211"/>
        <w:gridCol w:w="466"/>
        <w:gridCol w:w="109"/>
        <w:gridCol w:w="109"/>
        <w:gridCol w:w="109"/>
        <w:gridCol w:w="109"/>
        <w:gridCol w:w="316"/>
        <w:gridCol w:w="542"/>
        <w:gridCol w:w="162"/>
        <w:gridCol w:w="134"/>
        <w:gridCol w:w="134"/>
        <w:gridCol w:w="134"/>
        <w:gridCol w:w="285"/>
        <w:gridCol w:w="240"/>
        <w:gridCol w:w="685"/>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6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Non-GAAP Financial Measures</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Adjusted EBITDA and Adjusted </w:t>
      </w:r>
      <w:r>
        <w:rPr>
          <w:rFonts w:ascii="Times New Roman;serif" w:hAnsi="Times New Roman;serif"/>
          <w:b w:val="false"/>
          <w:color w:val="000000"/>
          <w:sz w:val="20"/>
        </w:rPr>
        <w:t>net income</w:t>
      </w:r>
      <w:r>
        <w:rPr>
          <w:color w:val="000000"/>
          <w:shd w:fill="FFFFFF" w:val="clear"/>
        </w:rPr>
        <w:t xml:space="preserve"> </w:t>
      </w:r>
      <w:r>
        <w:rPr>
          <w:rFonts w:ascii="Times New Roman;serif" w:hAnsi="Times New Roman;serif"/>
          <w:b w:val="false"/>
          <w:color w:val="000000"/>
          <w:sz w:val="20"/>
          <w:shd w:fill="FFFFFF" w:val="clear"/>
        </w:rPr>
        <w:t xml:space="preserve">are non-GAAP financial measures, but are key metrics management uses to monitor ongoing core operations. Adjusted EBITDA and Adjusted </w:t>
      </w:r>
      <w:r>
        <w:rPr>
          <w:rFonts w:ascii="Times New Roman;serif" w:hAnsi="Times New Roman;serif"/>
          <w:b w:val="false"/>
          <w:color w:val="000000"/>
          <w:sz w:val="20"/>
        </w:rPr>
        <w:t>net income</w:t>
      </w:r>
      <w:r>
        <w:rPr>
          <w:color w:val="000000"/>
          <w:shd w:fill="FFFFFF" w:val="clear"/>
        </w:rPr>
        <w:t xml:space="preserve"> </w:t>
      </w:r>
      <w:r>
        <w:rPr>
          <w:rFonts w:ascii="Times New Roman;serif" w:hAnsi="Times New Roman;serif"/>
          <w:b w:val="false"/>
          <w:color w:val="000000"/>
          <w:sz w:val="20"/>
          <w:shd w:fill="FFFFFF" w:val="clear"/>
        </w:rPr>
        <w:t xml:space="preserve">exclude the effects of certain non-cash items or represent certain nonrecurring items that are unrelated to core performance. Management believes these non-GAAP financial measures enhance the understanding of our underlying drivers of profitability, trends in our business, and facilitate company-to-company and period-to-period comparisons. Management also believes that these non-GAAP financial measures are used by investors, analysts and other interested parties as measures of financial performance and to evaluate our ability to fund capital expenditures, service debt obligations and meet working capital requirements. </w:t>
      </w:r>
    </w:p>
    <w:p>
      <w:pPr>
        <w:pStyle w:val="TextBody"/>
        <w:bidi w:val="0"/>
        <w:spacing w:lineRule="auto" w:line="288" w:before="180" w:after="283"/>
        <w:jc w:val="left"/>
        <w:rPr/>
      </w:pPr>
      <w:r>
        <w:rPr>
          <w:rFonts w:ascii="Times New Roman;serif" w:hAnsi="Times New Roman;serif"/>
          <w:b/>
          <w:color w:val="000000"/>
          <w:sz w:val="20"/>
        </w:rPr>
        <w:t xml:space="preserve">Adjusted net income </w:t>
      </w:r>
      <w:r>
        <w:rPr>
          <w:rFonts w:ascii="Times New Roman;serif" w:hAnsi="Times New Roman;serif"/>
          <w:b w:val="false"/>
          <w:color w:val="000000"/>
          <w:sz w:val="20"/>
        </w:rPr>
        <w:t xml:space="preserve">is defined as net income plus: </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 xml:space="preserve">Amortization of intangible assets and route and customer acquisition costs </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Stock-based compensation expense</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Loss from unconsolidated affiliates</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Loss (gain) on change in fair value of contingent earnout shares</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Other expenses, net which consists of i) non-cash expenses including the remeasurement of contingent consideration liabilities, ii) non-recurring lobbying and legal expenses related to distributed gaming expansion in current or prospective markets, and iii) other non-recurring expenses</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Tax effect of adjustments</w:t>
      </w:r>
    </w:p>
    <w:p>
      <w:pPr>
        <w:pStyle w:val="TextBody"/>
        <w:bidi w:val="0"/>
        <w:spacing w:lineRule="auto" w:line="345" w:before="180" w:after="283"/>
        <w:jc w:val="left"/>
        <w:rPr/>
      </w:pPr>
      <w:r>
        <w:rPr>
          <w:rFonts w:ascii="Times New Roman;serif" w:hAnsi="Times New Roman;serif"/>
          <w:b/>
          <w:color w:val="000000"/>
          <w:sz w:val="20"/>
          <w:shd w:fill="FFFFFF" w:val="clear"/>
        </w:rPr>
        <w:t>Adjusted EBITDA</w:t>
      </w:r>
      <w:r>
        <w:rPr>
          <w:color w:val="000000"/>
          <w:shd w:fill="FFFFFF" w:val="clear"/>
        </w:rPr>
        <w:t xml:space="preserve"> </w:t>
      </w:r>
      <w:r>
        <w:rPr>
          <w:rFonts w:ascii="Times New Roman;serif" w:hAnsi="Times New Roman;serif"/>
          <w:b w:val="false"/>
          <w:color w:val="000000"/>
          <w:sz w:val="20"/>
          <w:shd w:fill="FFFFFF" w:val="clear"/>
        </w:rPr>
        <w:t>is defined as net income plus:</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 xml:space="preserve">Amortization of intangible assets and route and customer acquisition costs </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Stock-based compensation expense</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Loss from unconsolidated affiliates</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Loss (gain) on change in fair value of contingent earnout shares</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 xml:space="preserve">Other expenses, net </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Tax effect of adjustments</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Depreciation and amortization of property and equipment</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Interest expense, net</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Emerging markets which reflects the results, on an Adjusted EBITDA basis, for non-core jurisdictions where our operations are developing</w:t>
      </w:r>
    </w:p>
    <w:p>
      <w:pPr>
        <w:pStyle w:val="TextBody"/>
        <w:bidi w:val="0"/>
        <w:spacing w:lineRule="auto" w:line="345" w:before="60" w:after="283"/>
        <w:ind w:left="0" w:right="0" w:hanging="270"/>
        <w:jc w:val="both"/>
        <w:rPr/>
      </w:pPr>
      <w:r>
        <w:rPr>
          <w:color w:val="000000"/>
        </w:rPr>
        <w:t>◦</w:t>
      </w:r>
      <w:r>
        <w:rPr>
          <w:rFonts w:ascii="Times New Roman;serif" w:hAnsi="Times New Roman;serif"/>
          <w:b w:val="false"/>
          <w:color w:val="000000"/>
          <w:sz w:val="20"/>
        </w:rPr>
        <w:t>Markets are no longer considered emerging when we have installed or acquired at least 500 gaming terminals in the jurisdiction, or when 24 months have elapsed from the date we first install or acquire gaming terminals in the jurisdiction, whichever occurs first</w:t>
      </w:r>
    </w:p>
    <w:p>
      <w:pPr>
        <w:pStyle w:val="TextBody"/>
        <w:bidi w:val="0"/>
        <w:spacing w:lineRule="auto" w:line="345" w:before="60" w:after="283"/>
        <w:ind w:left="0" w:right="0" w:hanging="270"/>
        <w:jc w:val="both"/>
        <w:rPr/>
      </w:pPr>
      <w:r>
        <w:rPr>
          <w:color w:val="000000"/>
        </w:rPr>
        <w:t>◦</w:t>
      </w:r>
      <w:r>
        <w:rPr>
          <w:rFonts w:ascii="Times New Roman;serif" w:hAnsi="Times New Roman;serif"/>
          <w:b w:val="false"/>
          <w:color w:val="000000"/>
          <w:sz w:val="20"/>
        </w:rPr>
        <w:t>Prior to June 2025, Pennsylvania was considered an emerging market</w:t>
      </w:r>
    </w:p>
    <w:p>
      <w:pPr>
        <w:pStyle w:val="TextBody"/>
        <w:bidi w:val="0"/>
        <w:spacing w:lineRule="auto" w:line="345" w:before="60" w:after="283"/>
        <w:ind w:left="0" w:right="0" w:hanging="270"/>
        <w:jc w:val="both"/>
        <w:rPr/>
      </w:pPr>
      <w:r>
        <w:rPr>
          <w:color w:val="000000"/>
        </w:rPr>
        <w:t>◦</w:t>
      </w:r>
      <w:r>
        <w:rPr>
          <w:rFonts w:ascii="Times New Roman;serif" w:hAnsi="Times New Roman;serif"/>
          <w:b w:val="false"/>
          <w:color w:val="000000"/>
          <w:sz w:val="20"/>
        </w:rPr>
        <w:t>Prior to January 2024, Iowa was considered an emerging market</w:t>
      </w:r>
    </w:p>
    <w:p>
      <w:pPr>
        <w:pStyle w:val="TextBody"/>
        <w:bidi w:val="0"/>
        <w:spacing w:lineRule="auto" w:line="345" w:before="60" w:after="283"/>
        <w:ind w:left="0" w:right="0" w:hanging="270"/>
        <w:jc w:val="both"/>
        <w:rPr/>
      </w:pPr>
      <w:r>
        <w:rPr>
          <w:color w:val="000000"/>
        </w:rPr>
        <w:t>◦</w:t>
      </w:r>
      <w:r>
        <w:rPr>
          <w:rFonts w:ascii="Times New Roman;serif" w:hAnsi="Times New Roman;serif"/>
          <w:b w:val="false"/>
          <w:color w:val="000000"/>
          <w:sz w:val="20"/>
        </w:rPr>
        <w:t xml:space="preserve">As of June 2025, we no longer have any emerging markets. </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Income tax expense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pPr>
      <w:r>
        <w:rPr>
          <w:rFonts w:ascii="Times New Roman;serif" w:hAnsi="Times New Roman;serif"/>
          <w:b/>
          <w:i/>
          <w:color w:val="000000"/>
          <w:sz w:val="20"/>
          <w:shd w:fill="FFFFFF" w:val="clear"/>
        </w:rPr>
        <w:t xml:space="preserve">Adjusted </w:t>
      </w:r>
      <w:r>
        <w:rPr>
          <w:rFonts w:ascii="Times New Roman;serif" w:hAnsi="Times New Roman;serif"/>
          <w:b/>
          <w:i/>
          <w:color w:val="000000"/>
          <w:sz w:val="20"/>
        </w:rPr>
        <w:t>net income</w:t>
      </w:r>
      <w:r>
        <w:rPr>
          <w:color w:val="000000"/>
          <w:shd w:fill="FFFFFF" w:val="clear"/>
        </w:rPr>
        <w:t xml:space="preserve"> </w:t>
      </w:r>
      <w:r>
        <w:rPr>
          <w:rFonts w:ascii="Times New Roman;serif" w:hAnsi="Times New Roman;serif"/>
          <w:b/>
          <w:i/>
          <w:color w:val="000000"/>
          <w:sz w:val="20"/>
          <w:shd w:fill="FFFFFF" w:val="clear"/>
        </w:rPr>
        <w:t>and Adjusted EBITDA</w:t>
      </w:r>
    </w:p>
    <w:tbl>
      <w:tblPr>
        <w:tblW w:w="10205" w:type="dxa"/>
        <w:jc w:val="center"/>
        <w:tblInd w:w="0" w:type="dxa"/>
        <w:tblLayout w:type="fixed"/>
        <w:tblCellMar>
          <w:top w:w="28" w:type="dxa"/>
          <w:left w:w="28" w:type="dxa"/>
          <w:bottom w:w="28" w:type="dxa"/>
          <w:right w:w="28" w:type="dxa"/>
        </w:tblCellMar>
      </w:tblPr>
      <w:tblGrid>
        <w:gridCol w:w="1500"/>
        <w:gridCol w:w="1246"/>
        <w:gridCol w:w="1262"/>
        <w:gridCol w:w="211"/>
        <w:gridCol w:w="721"/>
        <w:gridCol w:w="109"/>
        <w:gridCol w:w="109"/>
        <w:gridCol w:w="109"/>
        <w:gridCol w:w="109"/>
        <w:gridCol w:w="211"/>
        <w:gridCol w:w="721"/>
        <w:gridCol w:w="109"/>
        <w:gridCol w:w="109"/>
        <w:gridCol w:w="109"/>
        <w:gridCol w:w="109"/>
        <w:gridCol w:w="110"/>
        <w:gridCol w:w="110"/>
        <w:gridCol w:w="110"/>
        <w:gridCol w:w="110"/>
        <w:gridCol w:w="214"/>
        <w:gridCol w:w="841"/>
        <w:gridCol w:w="110"/>
        <w:gridCol w:w="109"/>
        <w:gridCol w:w="109"/>
        <w:gridCol w:w="109"/>
        <w:gridCol w:w="211"/>
        <w:gridCol w:w="721"/>
        <w:gridCol w:w="109"/>
        <w:gridCol w:w="109"/>
        <w:gridCol w:w="109"/>
        <w:gridCol w:w="109"/>
        <w:gridCol w:w="161"/>
      </w:tblGrid>
      <w:tr>
        <w:trPr/>
        <w:tc>
          <w:tcPr>
            <w:tcW w:w="150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change in fair value of contingent earnout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Tax effect of adjustments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markets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102,694 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Adjusted EBITDA for the three</w:t>
      </w:r>
      <w:r>
        <w:rPr>
          <w:color w:val="000000"/>
        </w:rPr>
        <w:t xml:space="preserve"> </w:t>
      </w:r>
      <w:r>
        <w:rPr>
          <w:rFonts w:ascii="Times New Roman;serif" w:hAnsi="Times New Roman;serif"/>
          <w:b w:val="false"/>
          <w:color w:val="000000"/>
          <w:sz w:val="20"/>
        </w:rPr>
        <w:t>months ended</w:t>
      </w:r>
      <w:r>
        <w:rPr>
          <w:color w:val="000000"/>
          <w:shd w:fill="FFFFFF" w:val="clear"/>
        </w:rPr>
        <w:t xml:space="preserve"> </w:t>
      </w:r>
      <w:r>
        <w:rPr>
          <w:rFonts w:ascii="Times New Roman;serif" w:hAnsi="Times New Roman;serif"/>
          <w:b w:val="false"/>
          <w:color w:val="000000"/>
          <w:sz w:val="20"/>
          <w:shd w:fill="FFFFFF" w:val="clear"/>
        </w:rPr>
        <w:t xml:space="preserve">June 30, 2025, was </w:t>
      </w:r>
      <w:r>
        <w:rPr>
          <w:rFonts w:ascii="Times New Roman;serif" w:hAnsi="Times New Roman;serif"/>
          <w:b w:val="false"/>
          <w:color w:val="000000"/>
          <w:sz w:val="20"/>
        </w:rPr>
        <w:t>$53.2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an increase of $3.5 million, or 7.1%</w:t>
      </w:r>
      <w:r>
        <w:rPr>
          <w:rFonts w:ascii="Times New Roman;serif" w:hAnsi="Times New Roman;serif"/>
          <w:b w:val="false"/>
          <w:color w:val="000000"/>
          <w:sz w:val="20"/>
          <w:shd w:fill="FFFFFF" w:val="clear"/>
        </w:rPr>
        <w:t xml:space="preserve">, compared to the prior-year period. Adjusted EBITDA for the six 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was </w:t>
      </w:r>
      <w:r>
        <w:rPr>
          <w:rFonts w:ascii="Times New Roman;serif" w:hAnsi="Times New Roman;serif"/>
          <w:b w:val="false"/>
          <w:color w:val="000000"/>
          <w:sz w:val="20"/>
        </w:rPr>
        <w:t>$102.7 million</w:t>
      </w:r>
      <w:r>
        <w:rPr>
          <w:rFonts w:ascii="Times New Roman;serif" w:hAnsi="Times New Roman;serif"/>
          <w:b w:val="false"/>
          <w:color w:val="000000"/>
          <w:sz w:val="20"/>
          <w:shd w:fill="FFFFFF" w:val="clear"/>
        </w:rPr>
        <w:t xml:space="preserve">, an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$6.8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7.1%</w:t>
      </w:r>
      <w:r>
        <w:rPr>
          <w:rFonts w:ascii="Times New Roman;serif" w:hAnsi="Times New Roman;serif"/>
          <w:b w:val="false"/>
          <w:color w:val="000000"/>
          <w:sz w:val="20"/>
          <w:shd w:fill="FFFFFF" w:val="clear"/>
        </w:rPr>
        <w:t xml:space="preserve">, compared to the prior-year period. </w:t>
      </w:r>
      <w:r>
        <w:rPr>
          <w:rFonts w:ascii="Times New Roman;serif" w:hAnsi="Times New Roman;serif"/>
          <w:b w:val="false"/>
          <w:color w:val="000000"/>
          <w:sz w:val="20"/>
        </w:rPr>
        <w:t>The increase was attributable to an increase in the number of locations and gaming terminals.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We believe that our cash and cash equivalents, cash flows from operations and borrowing availability under the Credit Agreement (as defined below) will be sufficient to meet our capital requirements for the next twelve months and the foreseeable future thereafter. Our primary short-term cash needs are paying operating expenses and contingent earnout payments, purchases of property and equipment, servicing outstanding indebtedness, and funding our Board of Directors (“Board”) approved share repurchase program and near-term acquisitions. As of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we had $264.6 million in cash and cash equivalents.</w:t>
      </w:r>
    </w:p>
    <w:p>
      <w:pPr>
        <w:pStyle w:val="TextBody"/>
        <w:bidi w:val="0"/>
        <w:spacing w:lineRule="auto" w:line="345"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Senior Secured Credit Facility</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entered into a credit agreement (as amended the “Credit Agreement”) as borrower, with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pStyle w:val="TextBody"/>
        <w:bidi w:val="0"/>
        <w:spacing w:lineRule="auto" w:line="345"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$150.0 million revolving credit facility, including a letter of credit facility with a $10.0 million sublimit and a swingline </w:t>
      </w:r>
      <w:r>
        <w:rPr>
          <w:rFonts w:ascii="Times New Roman;serif" w:hAnsi="Times New Roman;serif"/>
          <w:b w:val="false"/>
          <w:color w:val="000000"/>
          <w:sz w:val="20"/>
        </w:rPr>
        <w:t xml:space="preserve">facility with a $10.0 million sublimit,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348" w:before="180" w:after="283"/>
        <w:jc w:val="both"/>
        <w:rPr/>
      </w:pPr>
      <w:r>
        <w:rPr>
          <w:color w:val="000000"/>
        </w:rPr>
        <w:t>•</w:t>
      </w:r>
      <w:r>
        <w:rPr>
          <w:rFonts w:ascii="Times New Roman;serif" w:hAnsi="Times New Roman;serif"/>
          <w:b w:val="false"/>
          <w:color w:val="000000"/>
          <w:sz w:val="20"/>
        </w:rPr>
        <w:t>a $350.0 million initial term loan facility, and</w:t>
      </w:r>
    </w:p>
    <w:p>
      <w:pPr>
        <w:pStyle w:val="TextBody"/>
        <w:bidi w:val="0"/>
        <w:spacing w:lineRule="auto" w:line="348" w:before="180" w:after="283"/>
        <w:jc w:val="both"/>
        <w:rPr/>
      </w:pPr>
      <w:r>
        <w:rPr>
          <w:color w:val="000000"/>
        </w:rPr>
        <w:t>•</w:t>
      </w:r>
      <w:r>
        <w:rPr>
          <w:rFonts w:ascii="Times New Roman;serif" w:hAnsi="Times New Roman;serif"/>
          <w:b w:val="false"/>
          <w:color w:val="000000"/>
          <w:sz w:val="20"/>
        </w:rPr>
        <w:t xml:space="preserve">a $400.0 million delayed draw term loan facility </w:t>
      </w:r>
      <w:r>
        <w:rPr>
          <w:rFonts w:ascii="Times New Roman;serif" w:hAnsi="Times New Roman;serif"/>
          <w:b w:val="false"/>
          <w:color w:val="000000"/>
          <w:sz w:val="20"/>
          <w:shd w:fill="FFFFFF" w:val="clear"/>
        </w:rPr>
        <w:t>(“DDTL”).</w:t>
      </w:r>
    </w:p>
    <w:p>
      <w:pPr>
        <w:pStyle w:val="TextBody"/>
        <w:bidi w:val="0"/>
        <w:spacing w:lineRule="auto" w:line="348" w:before="180" w:after="283"/>
        <w:ind w:left="0" w:right="0" w:firstLine="360"/>
        <w:jc w:val="both"/>
        <w:rPr/>
      </w:pPr>
      <w:r>
        <w:rPr>
          <w:rFonts w:ascii="Times New Roman;serif" w:hAnsi="Times New Roman;serif"/>
          <w:b w:val="false"/>
          <w:color w:val="000000"/>
          <w:sz w:val="20"/>
          <w:shd w:fill="FFFFFF" w:val="clear"/>
        </w:rPr>
        <w:t xml:space="preserve">Our ability to borrow on the DDTL ended on October 22, 2024. </w:t>
      </w:r>
      <w:r>
        <w:rPr>
          <w:rFonts w:ascii="Times New Roman;serif" w:hAnsi="Times New Roman;serif"/>
          <w:b w:val="false"/>
          <w:color w:val="000000"/>
          <w:sz w:val="20"/>
        </w:rPr>
        <w:t xml:space="preserve">The maturity date of the Credit Agreement is October 22, 2026. The Company is in the preliminary stages of refinancing its </w:t>
      </w:r>
      <w:r>
        <w:rPr>
          <w:rFonts w:ascii="Times New Roman;serif" w:hAnsi="Times New Roman;serif"/>
          <w:b w:val="false"/>
          <w:color w:val="000000"/>
          <w:sz w:val="20"/>
          <w:shd w:fill="FFFFFF" w:val="clear"/>
        </w:rPr>
        <w:t>Senior Secured Credit Facility and anticipates it will do so before the debt becomes current.</w:t>
      </w:r>
    </w:p>
    <w:p>
      <w:pPr>
        <w:pStyle w:val="TextBody"/>
        <w:bidi w:val="0"/>
        <w:spacing w:lineRule="auto" w:line="348"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2025, there remained $127 million of availability under the Credit Agreement and the weighted-average interest rate on our borrowings under the Credit Agreement was approximately 6.5%.</w:t>
      </w:r>
    </w:p>
    <w:p>
      <w:pPr>
        <w:pStyle w:val="TextBody"/>
        <w:bidi w:val="0"/>
        <w:spacing w:lineRule="auto" w:line="348" w:before="180" w:after="283"/>
        <w:ind w:left="0" w:right="0" w:firstLine="360"/>
        <w:jc w:val="both"/>
        <w:rPr/>
      </w:pPr>
      <w:r>
        <w:rPr>
          <w:rFonts w:ascii="Times New Roman;serif" w:hAnsi="Times New Roman;serif"/>
          <w:b w:val="false"/>
          <w:color w:val="000000"/>
          <w:sz w:val="20"/>
          <w:shd w:fill="FFFFFF" w:val="clear"/>
        </w:rPr>
        <w:t xml:space="preserve">We were in compliance with all debt covenants under the Credit Agreement as of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and expect to remain in compliance</w:t>
      </w:r>
      <w:r>
        <w:rPr>
          <w:color w:val="000000"/>
        </w:rPr>
        <w:t xml:space="preserve"> </w:t>
      </w:r>
      <w:r>
        <w:rPr>
          <w:rFonts w:ascii="Times New Roman;serif" w:hAnsi="Times New Roman;serif"/>
          <w:b w:val="false"/>
          <w:color w:val="000000"/>
          <w:sz w:val="20"/>
        </w:rPr>
        <w:t xml:space="preserve">for the next 12 months. </w:t>
      </w:r>
    </w:p>
    <w:p>
      <w:pPr>
        <w:pStyle w:val="TextBody"/>
        <w:bidi w:val="0"/>
        <w:spacing w:lineRule="auto" w:line="34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caplets</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We manage our exposure to some of our interest rate risk through the use of interest rate caplets, which are derivative financial instruments. On January 12, 2022, we hedged the variability of the cash flows attributable to the changes in the 1-month SOFR interest rate on the first $300 million of the term loan under the Credit Agreement by entering into a 4-year series of 48 deferred premium caplets (“caplets</w:t>
      </w:r>
      <w:r>
        <w:rPr>
          <w:color w:val="000000"/>
        </w:rPr>
        <w:t>”</w:t>
      </w:r>
      <w:r>
        <w:rPr>
          <w:rFonts w:ascii="Times New Roman;serif" w:hAnsi="Times New Roman;serif"/>
          <w:b w:val="false"/>
          <w:color w:val="000000"/>
          <w:sz w:val="20"/>
        </w:rPr>
        <w:t>), which are set to expire in January 2026.</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We recognized an </w:t>
      </w:r>
      <w:r>
        <w:rPr>
          <w:rFonts w:ascii="Times New Roman;serif" w:hAnsi="Times New Roman;serif"/>
          <w:b w:val="false"/>
          <w:color w:val="000000"/>
          <w:sz w:val="20"/>
        </w:rPr>
        <w:t>unrealized loss, net of taxes, o</w:t>
      </w:r>
      <w:r>
        <w:rPr>
          <w:rFonts w:ascii="Times New Roman;serif" w:hAnsi="Times New Roman;serif"/>
          <w:b w:val="false"/>
          <w:color w:val="000000"/>
          <w:sz w:val="20"/>
          <w:shd w:fill="FFFFFF" w:val="clear"/>
        </w:rPr>
        <w:t xml:space="preserve">n the change in fair value of the caplets of </w:t>
      </w:r>
      <w:r>
        <w:rPr>
          <w:rFonts w:ascii="Times New Roman;serif" w:hAnsi="Times New Roman;serif"/>
          <w:b w:val="false"/>
          <w:color w:val="000000"/>
          <w:sz w:val="20"/>
        </w:rPr>
        <w:t xml:space="preserve">$0.8 million and $2.0 million for the three and six months ended </w:t>
      </w:r>
      <w:r>
        <w:rPr>
          <w:rFonts w:ascii="Times New Roman;serif" w:hAnsi="Times New Roman;serif"/>
          <w:b w:val="false"/>
          <w:color w:val="000000"/>
          <w:sz w:val="20"/>
          <w:shd w:fill="FFFFFF" w:val="clear"/>
        </w:rPr>
        <w:t xml:space="preserve">June 30, 2025. In comparison, we recognized an unrealized loss, net of taxes, of </w:t>
      </w:r>
      <w:r>
        <w:rPr>
          <w:rFonts w:ascii="Times New Roman;serif" w:hAnsi="Times New Roman;serif"/>
          <w:b w:val="false"/>
          <w:color w:val="000000"/>
          <w:sz w:val="20"/>
        </w:rPr>
        <w:t>$1.1 million</w:t>
      </w:r>
      <w:r>
        <w:rPr>
          <w:color w:val="000000"/>
          <w:shd w:fill="FFFFFF" w:val="clear"/>
        </w:rPr>
        <w:t xml:space="preserve"> </w:t>
      </w:r>
      <w:r>
        <w:rPr>
          <w:rFonts w:ascii="Times New Roman;serif" w:hAnsi="Times New Roman;serif"/>
          <w:b w:val="false"/>
          <w:color w:val="000000"/>
          <w:sz w:val="20"/>
        </w:rPr>
        <w:t>and an unrealized gain of less than $0.1 million for the three and six months ended June 30, 2024.</w:t>
      </w:r>
      <w:r>
        <w:rPr>
          <w:color w:val="000000"/>
          <w:shd w:fill="FFFFFF" w:val="clear"/>
        </w:rPr>
        <w:t xml:space="preserve"> </w:t>
      </w:r>
      <w:r>
        <w:rPr>
          <w:rFonts w:ascii="Times New Roman;serif" w:hAnsi="Times New Roman;serif"/>
          <w:b w:val="false"/>
          <w:color w:val="000000"/>
          <w:sz w:val="20"/>
          <w:shd w:fill="FFFFFF" w:val="clear"/>
        </w:rPr>
        <w:t xml:space="preserve">We also recognized interest income on the caplets of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$3.6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w:t>
      </w:r>
      <w:r>
        <w:rPr>
          <w:rFonts w:ascii="Times New Roman;serif" w:hAnsi="Times New Roman;serif"/>
          <w:b w:val="false"/>
          <w:color w:val="000000"/>
          <w:sz w:val="20"/>
        </w:rPr>
        <w:t xml:space="preserve">onths ended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respectively. In comparison, we recognized interest income on the caplets of </w:t>
      </w:r>
      <w:r>
        <w:rPr>
          <w:rFonts w:ascii="Times New Roman;serif" w:hAnsi="Times New Roman;serif"/>
          <w:b w:val="false"/>
          <w:color w:val="000000"/>
          <w:sz w:val="20"/>
        </w:rPr>
        <w:t>$2.5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$5.1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2024</w:t>
      </w:r>
      <w:r>
        <w:rPr>
          <w:rFonts w:ascii="Times New Roman;serif" w:hAnsi="Times New Roman;serif"/>
          <w:b w:val="false"/>
          <w:color w:val="000000"/>
          <w:sz w:val="20"/>
          <w:shd w:fill="FFFFFF" w:val="clear"/>
        </w:rPr>
        <w:t xml:space="preserve">, respectively. These amounts are reflected in interest expense, net </w:t>
      </w:r>
      <w:r>
        <w:rPr>
          <w:rFonts w:ascii="Times New Roman;serif" w:hAnsi="Times New Roman;serif"/>
          <w:b w:val="false"/>
          <w:color w:val="000000"/>
          <w:sz w:val="20"/>
        </w:rPr>
        <w:t>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net cash provided by or used in operating activities, investing activities and financing activities for the periods indicated and should be read in conjunction with our condensed consolidated financial statements and the notes thereto included in this filing:</w:t>
      </w:r>
    </w:p>
    <w:tbl>
      <w:tblPr>
        <w:tblW w:w="9690" w:type="dxa"/>
        <w:jc w:val="center"/>
        <w:tblInd w:w="0" w:type="dxa"/>
        <w:tblLayout w:type="fixed"/>
        <w:tblCellMar>
          <w:top w:w="28" w:type="dxa"/>
          <w:left w:w="28" w:type="dxa"/>
          <w:bottom w:w="28" w:type="dxa"/>
          <w:right w:w="28" w:type="dxa"/>
        </w:tblCellMar>
      </w:tblPr>
      <w:tblGrid>
        <w:gridCol w:w="1528"/>
        <w:gridCol w:w="1342"/>
        <w:gridCol w:w="1345"/>
        <w:gridCol w:w="211"/>
        <w:gridCol w:w="721"/>
        <w:gridCol w:w="109"/>
        <w:gridCol w:w="109"/>
        <w:gridCol w:w="109"/>
        <w:gridCol w:w="109"/>
        <w:gridCol w:w="211"/>
        <w:gridCol w:w="721"/>
        <w:gridCol w:w="109"/>
        <w:gridCol w:w="109"/>
        <w:gridCol w:w="109"/>
        <w:gridCol w:w="109"/>
        <w:gridCol w:w="229"/>
        <w:gridCol w:w="672"/>
        <w:gridCol w:w="118"/>
        <w:gridCol w:w="115"/>
        <w:gridCol w:w="115"/>
        <w:gridCol w:w="115"/>
        <w:gridCol w:w="343"/>
        <w:gridCol w:w="347"/>
        <w:gridCol w:w="685"/>
      </w:tblGrid>
      <w:tr>
        <w:trPr/>
        <w:tc>
          <w:tcPr>
            <w:tcW w:w="152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 ($)</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provided by operating activities was $64.6 million, an increase in cash of $6.9 million compared to the prior-year period due primarily to changes in working capital adjustments.</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net cash used in investing activities was $60.0 million, a decrease in cash used of $9.4 million compared to the prior-year period. The decrease in cash used was primarily attributable to less cash used for acquisitions and an investment in an unconsolidated affiliate in the prior year, partially offset by higher purchases of property and equipment and an acquisition of an indefinite-lived operating license at Fairmount. We anticipate our capital expenditures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345" w:before="180" w:after="283"/>
        <w:jc w:val="both"/>
        <w:rPr>
          <w:rFonts w:ascii="Times New Roman;serif" w:hAnsi="Times New Roman;serif"/>
          <w:b w:val="false"/>
          <w:color w:val="000000"/>
          <w:sz w:val="20"/>
        </w:rPr>
      </w:pPr>
      <w:r>
        <w:rPr>
          <w:rFonts w:ascii="Times New Roman;serif" w:hAnsi="Times New Roman;serif"/>
          <w:b w:val="false"/>
          <w:color w:val="000000"/>
          <w:sz w:val="20"/>
        </w:rPr>
        <w:t>approximately $75-80 million in 2025, of which $31-32 million relates to Fairmount, $5-7 million relates to Louisiana and the remaining $39-41 million for all other capital expenditures.</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Net cash (used in) provided by financing activities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net cash used in financing activities was $21.3 million, an increase in cash used of $26.3 million compared to the prior-year period. The change reflects higher net repayments on our debt compared to a net borrowing in the prior-year period and higher repurchases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preparing our condensed consolidated financial statements, we applied the same critical accounting policies as described in our Annual Report on Form 10-K for the year ended December 31, 2024, that affect judgments and estimates of amounts recorded for certain assets, liabilities, revenues,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Seasonality</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results of operations can fluctuate due to seasonal trends and other factors. For example, the gross revenue per gaming terminal per day is typically lower in the summer when players will typically spend less time indoors at our locations, and higher in cold weather between February and April, when players will typically spend more time indoors at our locations. Our horse racing operations only operate during the months where the weather is conducive to racing, which is typically from late spring through the early fall. Holidays, vacation seasons, and sporting events may also cause our results to fluctuate.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Market risk represents the risk of loss that may impact our financial position due to adverse changes in financial market prices and rates. Market risk exposure is primarily the result of fluctuations in interest rates. </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rate risk</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We are exposed to interest rate risk in the ordinary course of business. Borrowings under our senior secured credit facility were $597.2 million as of June 30, 2025. If the underlying interest rates were to increase by 1.0%, or 100 basis points, the increase in interest expense on our floating rate debt would negatively impact future earnings and cash flows by approximately $3.0 million annually, assuming the balance outstanding under the credit facility remained at $597.2 million. </w:t>
      </w:r>
      <w:r>
        <w:rPr>
          <w:rFonts w:ascii="Times New Roman;serif" w:hAnsi="Times New Roman;serif"/>
          <w:b w:val="false"/>
          <w:color w:val="000000"/>
          <w:sz w:val="20"/>
          <w:shd w:fill="FFFFFF" w:val="clear"/>
        </w:rPr>
        <w:t xml:space="preserve">In order to protect against higher interest rates in the future on our credit facility, we hedged the variability of the cash flows attributable to the changes in the 1-month SOFR interest rate on the first $300 million of the term loan by entering into a 4-year series of 48 caplets on January 12, 2022. The caplets mature at the end of each month and are used to protect our exposure as the 1-month SOFR interest rate exceeded 2%. </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C</w:t>
      </w:r>
      <w:r>
        <w:rPr>
          <w:rFonts w:ascii="Times New Roman;serif" w:hAnsi="Times New Roman;serif"/>
          <w:b w:val="false"/>
          <w:color w:val="000000"/>
          <w:sz w:val="20"/>
        </w:rPr>
        <w:t>ash and cash equivalents are held in cash vaults, highly liquid checking and money market accounts, gaming terminals, redemption terminals, ATMs, and amusement equipment. As a result, these amounts are not materially affected by changes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with the participation of our Chief Executive Officer (“CEO”, serving as our Principal Executive Officer) and our acting Chief Financial Officer (“CFO”, serving as our Principal Financial Officer), conducted an evaluation of the effectiveness of the Company’s disclosure controls and procedures (as defined in Rules 13a-15(e) and 15d-15(e) under the Securities Exchange Act of 1934, as amended (“Exchange Act”)) as of the end of the period covered by this report. As a result of this evaluation, our CEO and CFO concluded that our disclosure controls and procedures were effective as of June 30, 2025. </w: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during the quarter ended June 30, 2025,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the discussion in Note 17, Commitments and Contingencies, of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investment in our Class A-1 common stock involves a high degree of risk. You should carefully consider the risk factors described under Part I - Item 1A. “Risk Factors” in our Annual Report on Form 10-K for the year ended December 31, 2024 and our condensed consolidated financial statements and related notes contained in this Quarterly Report on Form 10-Q in analyzing an investment in our Class A-1 common stock. If any such risks occur, our business, financial condition, and results of operations would likely suffer, the trading price of our Class A-1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the risk factors described in Item 1A. “Risk Factors” in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345" w:before="18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345"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22, 2021, we announced that our Board had approved a share repurchase program of up to $200 million shares of our Class A-1 common stock. On February 27, 2025, we announced that the Board approved an amendment to the share repurchase program to replenish the dollar amount that may be purchased under the program back to up to $200 million shares of Class A-1 common stock (as amended, our “share repurchase program)”. The timing and actual number of shares repurchased will depend on a variety of factors, including price, general business and market conditions, and alternative investment opportunities. Under the share repurchase program, repurchases can be made from time to time using a variety of methods, including open market purchases or privately negotiated transactions, in compliance with the rules of the SEC and other applicable legal requirements. The share repurchase program does not obligate us to acquire any particular amount of shares, and the share repurchase program may be suspended or discontinued at any time at our discretion.</w:t>
      </w:r>
    </w:p>
    <w:p>
      <w:pPr>
        <w:pStyle w:val="TextBody"/>
        <w:bidi w:val="0"/>
        <w:spacing w:lineRule="auto" w:line="345"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share repurchases were made under our publicly announced share repurchase program, and there are no other programs under which we repurchase shares. Repurchases under our share repurchase program, during applicable restricted trading windows that we periodically establish, are executed under the terms of a pre-set trading plan meeting the requirements of Rule 10b5-1(c) of the Exchange Act. </w:t>
      </w:r>
    </w:p>
    <w:p>
      <w:pPr>
        <w:pStyle w:val="TextBody"/>
        <w:bidi w:val="0"/>
        <w:spacing w:before="18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345"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share repurchases made during the second quarter of 2025:</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467"/>
        <w:gridCol w:w="467"/>
        <w:gridCol w:w="468"/>
        <w:gridCol w:w="109"/>
        <w:gridCol w:w="109"/>
        <w:gridCol w:w="109"/>
        <w:gridCol w:w="397"/>
        <w:gridCol w:w="397"/>
        <w:gridCol w:w="399"/>
        <w:gridCol w:w="109"/>
        <w:gridCol w:w="109"/>
        <w:gridCol w:w="109"/>
        <w:gridCol w:w="772"/>
        <w:gridCol w:w="772"/>
        <w:gridCol w:w="774"/>
        <w:gridCol w:w="109"/>
        <w:gridCol w:w="109"/>
        <w:gridCol w:w="109"/>
        <w:gridCol w:w="848"/>
        <w:gridCol w:w="848"/>
        <w:gridCol w:w="120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approximate dollar value of shares that may yet be purchased under the program (in millions)</w:t>
            </w:r>
          </w:p>
        </w:tc>
      </w:tr>
      <w:tr>
        <w:trPr/>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2025 -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364,408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364,408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$189.3</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2025 - 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43,852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43,852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$188.9</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2025 -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$186.3</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634,414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634,414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345" w:before="180" w:after="24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2025, none of the Company’s directors or officers (as defined in Rule 16a-1(f) of the Exchange Act)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10"/>
        <w:gridCol w:w="273"/>
        <w:gridCol w:w="275"/>
        <w:gridCol w:w="109"/>
        <w:gridCol w:w="109"/>
        <w:gridCol w:w="109"/>
        <w:gridCol w:w="2909"/>
        <w:gridCol w:w="2909"/>
        <w:gridCol w:w="2935"/>
        <w:gridCol w:w="109"/>
        <w:gridCol w:w="158"/>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A</w:t>
              </w:r>
            </w:hyperlink>
            <w:hyperlink r:id="rId3">
              <w:r>
                <w:rPr>
                  <w:rStyle w:val="InternetLink"/>
                  <w:rFonts w:ascii="Times New Roman;serif" w:hAnsi="Times New Roman;serif"/>
                  <w:b w:val="false"/>
                  <w:color w:val="000080"/>
                  <w:sz w:val="20"/>
                  <w:u w:val="single"/>
                </w:rPr>
                <w:t>mended and Restated Certificate of Incorporation of Accel Entertainment, Inc. (Incorporated by reference to Exhibit 3.2 to the Company</w:t>
              </w:r>
            </w:hyperlink>
            <w:hyperlink r:id="rId4">
              <w:r>
                <w:rPr>
                  <w:rStyle w:val="InternetLink"/>
                  <w:rFonts w:ascii="Times New Roman;serif" w:hAnsi="Times New Roman;serif"/>
                  <w:b w:val="false"/>
                  <w:color w:val="000080"/>
                  <w:sz w:val="20"/>
                  <w:u w:val="single"/>
                </w:rPr>
                <w:t>’</w:t>
              </w:r>
            </w:hyperlink>
            <w:hyperlink r:id="rId5">
              <w:r>
                <w:rPr>
                  <w:rStyle w:val="InternetLink"/>
                  <w:rFonts w:ascii="Times New Roman;serif" w:hAnsi="Times New Roman;serif"/>
                  <w:b w:val="false"/>
                  <w:color w:val="000080"/>
                  <w:sz w:val="20"/>
                  <w:u w:val="single"/>
                </w:rPr>
                <w:t>s Current Report on Form 8-K dated November 20, 2019)</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80"/>
                  <w:sz w:val="20"/>
                  <w:u w:val="single"/>
                </w:rPr>
                <w:t xml:space="preserve">First Certificate of Amendment </w:t>
              </w:r>
            </w:hyperlink>
            <w:hyperlink r:id="rId7">
              <w:r>
                <w:rPr>
                  <w:rStyle w:val="InternetLink"/>
                  <w:rFonts w:ascii="Times New Roman;serif" w:hAnsi="Times New Roman;serif"/>
                  <w:b w:val="false"/>
                  <w:color w:val="000080"/>
                  <w:sz w:val="20"/>
                  <w:u w:val="single"/>
                </w:rPr>
                <w:t xml:space="preserve">to the Amended and Restated Certificate of Incorporation of Accel Entertainment, Inc. </w:t>
              </w:r>
            </w:hyperlink>
            <w:hyperlink r:id="rId8">
              <w:r>
                <w:rPr>
                  <w:rStyle w:val="InternetLink"/>
                  <w:rFonts w:ascii="Times New Roman;serif" w:hAnsi="Times New Roman;serif"/>
                  <w:b w:val="false"/>
                  <w:color w:val="000080"/>
                  <w:sz w:val="20"/>
                  <w:u w:val="single"/>
                </w:rPr>
                <w:t xml:space="preserve">(Incorporated by reference to Exhibit </w:t>
              </w:r>
            </w:hyperlink>
            <w:hyperlink r:id="rId9">
              <w:r>
                <w:rPr>
                  <w:rStyle w:val="InternetLink"/>
                  <w:rFonts w:ascii="Times New Roman;serif" w:hAnsi="Times New Roman;serif"/>
                  <w:b w:val="false"/>
                  <w:color w:val="000080"/>
                  <w:sz w:val="20"/>
                  <w:u w:val="single"/>
                </w:rPr>
                <w:t>3.</w:t>
              </w:r>
            </w:hyperlink>
            <w:hyperlink r:id="rId10">
              <w:r>
                <w:rPr>
                  <w:rStyle w:val="InternetLink"/>
                  <w:rFonts w:ascii="Times New Roman;serif" w:hAnsi="Times New Roman;serif"/>
                  <w:b w:val="false"/>
                  <w:color w:val="000080"/>
                  <w:sz w:val="20"/>
                  <w:u w:val="single"/>
                </w:rPr>
                <w:t>1</w:t>
              </w:r>
            </w:hyperlink>
            <w:hyperlink r:id="rId11">
              <w:r>
                <w:rPr>
                  <w:rStyle w:val="InternetLink"/>
                  <w:rFonts w:ascii="Times New Roman;serif" w:hAnsi="Times New Roman;serif"/>
                  <w:b w:val="false"/>
                  <w:color w:val="000080"/>
                  <w:sz w:val="20"/>
                  <w:u w:val="single"/>
                </w:rPr>
                <w:t xml:space="preserve"> to the Current Report on Form 8-K filed with the SEC on </w:t>
              </w:r>
            </w:hyperlink>
            <w:hyperlink r:id="rId12">
              <w:r>
                <w:rPr>
                  <w:rStyle w:val="InternetLink"/>
                  <w:rFonts w:ascii="Times New Roman;serif" w:hAnsi="Times New Roman;serif"/>
                  <w:b w:val="false"/>
                  <w:color w:val="000080"/>
                  <w:sz w:val="20"/>
                  <w:u w:val="single"/>
                </w:rPr>
                <w:t xml:space="preserve">June </w:t>
              </w:r>
            </w:hyperlink>
            <w:hyperlink r:id="rId13">
              <w:r>
                <w:rPr>
                  <w:rStyle w:val="InternetLink"/>
                  <w:rFonts w:ascii="Times New Roman;serif" w:hAnsi="Times New Roman;serif"/>
                  <w:b w:val="false"/>
                  <w:color w:val="000080"/>
                  <w:sz w:val="20"/>
                  <w:u w:val="single"/>
                </w:rPr>
                <w:t>9, 2025)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80"/>
                  <w:sz w:val="20"/>
                  <w:u w:val="single"/>
                </w:rPr>
                <w:t>Second Certificate of Amendment</w:t>
              </w:r>
            </w:hyperlink>
            <w:hyperlink r:id="rId15">
              <w:r>
                <w:rPr>
                  <w:rStyle w:val="InternetLink"/>
                  <w:rFonts w:ascii="Times New Roman;serif" w:hAnsi="Times New Roman;serif"/>
                  <w:b w:val="false"/>
                  <w:color w:val="000080"/>
                  <w:sz w:val="20"/>
                  <w:u w:val="single"/>
                </w:rPr>
                <w:t xml:space="preserve"> </w:t>
              </w:r>
            </w:hyperlink>
            <w:hyperlink r:id="rId16">
              <w:r>
                <w:rPr>
                  <w:rStyle w:val="InternetLink"/>
                  <w:rFonts w:ascii="Times New Roman;serif" w:hAnsi="Times New Roman;serif"/>
                  <w:b w:val="false"/>
                  <w:color w:val="000080"/>
                  <w:sz w:val="20"/>
                  <w:u w:val="single"/>
                </w:rPr>
                <w:t>to the Amended and Restated Certificate o</w:t>
              </w:r>
            </w:hyperlink>
            <w:hyperlink r:id="rId17">
              <w:r>
                <w:rPr>
                  <w:rStyle w:val="InternetLink"/>
                  <w:rFonts w:ascii="Times New Roman;serif" w:hAnsi="Times New Roman;serif"/>
                  <w:b w:val="false"/>
                  <w:color w:val="000080"/>
                  <w:sz w:val="20"/>
                  <w:u w:val="single"/>
                </w:rPr>
                <w:t xml:space="preserve">f Incorporation of Accel Entertainment, Inc. </w:t>
              </w:r>
            </w:hyperlink>
            <w:hyperlink r:id="rId18">
              <w:r>
                <w:rPr>
                  <w:rStyle w:val="InternetLink"/>
                  <w:rFonts w:ascii="Times New Roman;serif" w:hAnsi="Times New Roman;serif"/>
                  <w:b w:val="false"/>
                  <w:color w:val="000080"/>
                  <w:sz w:val="20"/>
                  <w:u w:val="single"/>
                </w:rPr>
                <w:t>(Incorporated by reference to Exhibit 3.</w:t>
              </w:r>
            </w:hyperlink>
            <w:hyperlink r:id="rId19">
              <w:r>
                <w:rPr>
                  <w:rStyle w:val="InternetLink"/>
                  <w:rFonts w:ascii="Times New Roman;serif" w:hAnsi="Times New Roman;serif"/>
                  <w:b w:val="false"/>
                  <w:color w:val="000080"/>
                  <w:sz w:val="20"/>
                  <w:u w:val="single"/>
                </w:rPr>
                <w:t>2</w:t>
              </w:r>
            </w:hyperlink>
            <w:hyperlink r:id="rId20">
              <w:r>
                <w:rPr>
                  <w:rStyle w:val="InternetLink"/>
                  <w:rFonts w:ascii="Times New Roman;serif" w:hAnsi="Times New Roman;serif"/>
                  <w:b w:val="false"/>
                  <w:color w:val="000080"/>
                  <w:sz w:val="20"/>
                  <w:u w:val="single"/>
                </w:rPr>
                <w:t xml:space="preserve"> to the Current Report on Form 8-K filed with the SEC on June 9,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 (A)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Accel Entertainment Inc. Second Amended and Restated Long Term Incentive Plan (Incorporated by reference to Exhibit 10.1 to the Current Report on Form 8-K filed with the SEC on June 9,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10.22 (A)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2">
              <w:r>
                <w:rPr>
                  <w:rStyle w:val="InternetLink"/>
                  <w:rFonts w:ascii="Times New Roman;serif" w:hAnsi="Times New Roman;serif"/>
                  <w:b w:val="false"/>
                  <w:color w:val="000080"/>
                  <w:sz w:val="20"/>
                  <w:u w:val="single"/>
                </w:rPr>
                <w:t>Amendment</w:t>
              </w:r>
            </w:hyperlink>
            <w:hyperlink r:id="rId23">
              <w:r>
                <w:rPr>
                  <w:rStyle w:val="InternetLink"/>
                  <w:rFonts w:ascii="Times New Roman;serif" w:hAnsi="Times New Roman;serif"/>
                  <w:b w:val="false"/>
                  <w:color w:val="000080"/>
                  <w:sz w:val="20"/>
                  <w:u w:val="single"/>
                </w:rPr>
                <w:t xml:space="preserve"> No. 1</w:t>
              </w:r>
            </w:hyperlink>
            <w:hyperlink r:id="rId24">
              <w:r>
                <w:rPr>
                  <w:rStyle w:val="InternetLink"/>
                  <w:rFonts w:ascii="Times New Roman;serif" w:hAnsi="Times New Roman;serif"/>
                  <w:b w:val="false"/>
                  <w:color w:val="000080"/>
                  <w:sz w:val="20"/>
                  <w:u w:val="single"/>
                </w:rPr>
                <w:t xml:space="preserve"> to Executive Employment Agreement, dated April 29, 2025, by and between Accel Entertainment, Inc. and Mathew Ellis (Incorporated by reference to Exhibit 10.22(A) to the Current Report on Form 8-K filed with the SEC on April 29,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16302025.htm">
              <w:r>
                <w:rPr>
                  <w:rStyle w:val="InternetLink"/>
                  <w:rFonts w:ascii="Times New Roman;serif" w:hAnsi="Times New Roman;serif"/>
                  <w:b w:val="false"/>
                  <w:color w:val="0000FF"/>
                  <w:sz w:val="20"/>
                  <w:u w:val="single"/>
                </w:rPr>
                <w:t>Certification of Principal Executive Officer pursuant to Exchange Act Rules 13a-14(a) and 15d-14(a)</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26302025.htm">
              <w:r>
                <w:rPr>
                  <w:rStyle w:val="InternetLink"/>
                  <w:rFonts w:ascii="Times New Roman;serif" w:hAnsi="Times New Roman;serif"/>
                  <w:b w:val="false"/>
                  <w:color w:val="0000FF"/>
                  <w:sz w:val="20"/>
                  <w:u w:val="single"/>
                </w:rPr>
                <w:t>Certification of Principal Financial Officer pursuant to Exchange Act Rules 13a-14(a) and 15d-14(a)</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16302025.htm">
              <w:r>
                <w:rPr>
                  <w:rStyle w:val="InternetLink"/>
                  <w:rFonts w:ascii="Times New Roman;serif" w:hAnsi="Times New Roman;serif"/>
                  <w:b w:val="false"/>
                  <w:color w:val="0000FF"/>
                  <w:sz w:val="20"/>
                  <w:u w:val="single"/>
                </w:rPr>
                <w:t>Section 1350 Certification of Principal Executive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26302025.htm">
              <w:r>
                <w:rPr>
                  <w:rStyle w:val="InternetLink"/>
                  <w:rFonts w:ascii="Times New Roman;serif" w:hAnsi="Times New Roman;serif"/>
                  <w:b w:val="false"/>
                  <w:color w:val="0000FF"/>
                  <w:sz w:val="20"/>
                  <w:u w:val="single"/>
                </w:rPr>
                <w:t>Section 1350 Certification of Principal Financial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Inline XBRL File (included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417"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417"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Furnished herewith.</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Indicates management contract or compensation plan or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80"/>
            <w:sz w:val="20"/>
            <w:u w:val="single"/>
          </w:rPr>
          <w:t xml:space="preserve">Table of </w:t>
        </w:r>
      </w:hyperlink>
      <w:hyperlink w:anchor="i0fa1bbe62dbe4bb4a9e64dc7eff97e26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45"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180" w:type="dxa"/>
        <w:jc w:val="center"/>
        <w:tblInd w:w="0" w:type="dxa"/>
        <w:tblLayout w:type="fixed"/>
        <w:tblCellMar>
          <w:top w:w="28" w:type="dxa"/>
          <w:left w:w="28" w:type="dxa"/>
          <w:bottom w:w="28" w:type="dxa"/>
          <w:right w:w="28" w:type="dxa"/>
        </w:tblCellMar>
      </w:tblPr>
      <w:tblGrid>
        <w:gridCol w:w="667"/>
        <w:gridCol w:w="587"/>
        <w:gridCol w:w="590"/>
        <w:gridCol w:w="457"/>
        <w:gridCol w:w="457"/>
        <w:gridCol w:w="457"/>
        <w:gridCol w:w="1450"/>
        <w:gridCol w:w="1450"/>
        <w:gridCol w:w="206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2025</w:t>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Christie Kozlik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Christie Kozlik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Accounting Officer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417"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417" w:before="1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417" w:before="160" w:after="283"/>
        <w:jc w:val="both"/>
        <w:rPr>
          <w:rFonts w:ascii="Times New Roman;serif" w:hAnsi="Times New Roman;serif"/>
          <w:b w:val="false"/>
          <w:color w:val="000000"/>
          <w:sz w:val="20"/>
        </w:rPr>
      </w:pPr>
      <w:r>
        <w:rPr>
          <w:rFonts w:ascii="Times New Roman;serif" w:hAnsi="Times New Roman;serif"/>
          <w:b w:val="false"/>
          <w:color w:val="000000"/>
          <w:sz w:val="20"/>
        </w:rPr>
        <w:t>I, Andrew Rubenstein, certify that: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611"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1299"/>
        <w:gridCol w:w="1299"/>
        <w:gridCol w:w="18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erif" w:hAnsi="Times New Roman;serif"/>
                <w:b w:val="false"/>
                <w:color w:val="000000"/>
                <w:sz w:val="20"/>
              </w:rPr>
              <w:t xml:space="preserve">/s/ </w:t>
            </w:r>
            <w:r>
              <w:rPr>
                <w:rFonts w:ascii="Times New Roman;serif" w:hAnsi="Times New Roman;serif"/>
                <w:b w:val="false"/>
                <w:i/>
                <w:color w:val="000000"/>
                <w:sz w:val="20"/>
              </w:rPr>
              <w:t>Andrew Rubenstein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Rubenstein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417" w:before="1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I, Mark Phelan, certify that: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7090"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1436"/>
        <w:gridCol w:w="1436"/>
        <w:gridCol w:w="204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erif" w:hAnsi="Times New Roman;serif"/>
                <w:b w:val="false"/>
                <w:i/>
                <w:color w:val="000000"/>
                <w:sz w:val="20"/>
              </w:rPr>
            </w:pPr>
            <w:r>
              <w:rPr>
                <w:rFonts w:ascii="Times New Roman;serif" w:hAnsi="Times New Roman;serif"/>
                <w:b w:val="false"/>
                <w:i/>
                <w:color w:val="000000"/>
                <w:sz w:val="20"/>
              </w:rPr>
              <w:t xml:space="preserve">/s/ Mark Phelan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Mark Phelan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Acting 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417" w:before="160" w:after="283"/>
        <w:jc w:val="center"/>
        <w:rPr>
          <w:rFonts w:ascii="Times New Roman;serif" w:hAnsi="Times New Roman;serif"/>
          <w:b/>
          <w:color w:val="000000"/>
          <w:sz w:val="20"/>
        </w:rPr>
      </w:pPr>
      <w:r>
        <w:rPr>
          <w:rFonts w:ascii="Times New Roman;serif" w:hAnsi="Times New Roman;serif"/>
          <w:b/>
          <w:color w:val="000000"/>
          <w:sz w:val="20"/>
        </w:rPr>
        <w:t>Section 1350 Certification of Principal Executive Officer</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Accel Entertainment, Inc. (the “Company”) for the three months ended June 30, 2025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454" w:type="dxa"/>
        <w:jc w:val="left"/>
        <w:tblInd w:w="0" w:type="dxa"/>
        <w:tblLayout w:type="fixed"/>
        <w:tblCellMar>
          <w:top w:w="28" w:type="dxa"/>
          <w:left w:w="28" w:type="dxa"/>
          <w:bottom w:w="28" w:type="dxa"/>
          <w:right w:w="28" w:type="dxa"/>
        </w:tblCellMar>
      </w:tblPr>
      <w:tblGrid>
        <w:gridCol w:w="1425"/>
        <w:gridCol w:w="1253"/>
        <w:gridCol w:w="1776"/>
      </w:tblGrid>
      <w:tr>
        <w:trPr/>
        <w:tc>
          <w:tcPr>
            <w:tcW w:w="142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erif" w:hAnsi="Times New Roman;serif"/>
                <w:b w:val="false"/>
                <w:color w:val="000000"/>
                <w:sz w:val="20"/>
              </w:rPr>
              <w:t xml:space="preserve">/s/ </w:t>
            </w:r>
            <w:r>
              <w:rPr>
                <w:rFonts w:ascii="Times New Roman;serif" w:hAnsi="Times New Roman;serif"/>
                <w:b w:val="false"/>
                <w:i/>
                <w:color w:val="000000"/>
                <w:sz w:val="20"/>
              </w:rPr>
              <w:t>Andrew Rubenstein</w:t>
            </w:r>
          </w:p>
        </w:tc>
      </w:tr>
      <w:tr>
        <w:trPr/>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Rubenstein</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bl>
    <w:p>
      <w:pPr>
        <w:pStyle w:val="TextBody"/>
        <w:bidi w:val="0"/>
        <w:spacing w:lineRule="auto" w:line="417"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5, 2025 </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of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of Form 10-Q),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417" w:before="160" w:after="283"/>
        <w:jc w:val="center"/>
        <w:rPr>
          <w:rFonts w:ascii="Times New Roman;serif" w:hAnsi="Times New Roman;serif"/>
          <w:b/>
          <w:color w:val="000000"/>
          <w:sz w:val="20"/>
        </w:rPr>
      </w:pPr>
      <w:r>
        <w:rPr>
          <w:rFonts w:ascii="Times New Roman;serif" w:hAnsi="Times New Roman;serif"/>
          <w:b/>
          <w:color w:val="000000"/>
          <w:sz w:val="20"/>
        </w:rPr>
        <w:t>Section 1350 Certification of Principal Financial Officer</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Accel Entertainment, Inc. (the “Company”) for the three months ended June 30, 2025 as filed with the Securities and Exchange Commission on the date hereof (the “Report”), I, Mark Phelan, Acting Chief Financial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935" w:type="dxa"/>
        <w:jc w:val="left"/>
        <w:tblInd w:w="0" w:type="dxa"/>
        <w:tblLayout w:type="fixed"/>
        <w:tblCellMar>
          <w:top w:w="28" w:type="dxa"/>
          <w:left w:w="28" w:type="dxa"/>
          <w:bottom w:w="28" w:type="dxa"/>
          <w:right w:w="28" w:type="dxa"/>
        </w:tblCellMar>
      </w:tblPr>
      <w:tblGrid>
        <w:gridCol w:w="1578"/>
        <w:gridCol w:w="1386"/>
        <w:gridCol w:w="1971"/>
      </w:tblGrid>
      <w:tr>
        <w:trPr/>
        <w:tc>
          <w:tcPr>
            <w:tcW w:w="1578"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erif" w:hAnsi="Times New Roman;serif"/>
                <w:b w:val="false"/>
                <w:i/>
                <w:color w:val="000000"/>
                <w:sz w:val="20"/>
              </w:rPr>
            </w:pPr>
            <w:r>
              <w:rPr>
                <w:rFonts w:ascii="Times New Roman;serif" w:hAnsi="Times New Roman;serif"/>
                <w:b w:val="false"/>
                <w:i/>
                <w:color w:val="000000"/>
                <w:sz w:val="20"/>
              </w:rPr>
              <w:t>/s/ Mark Phelan</w:t>
            </w:r>
          </w:p>
        </w:tc>
      </w:tr>
      <w:tr>
        <w:trPr/>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Mark Phelan</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Acting Chief Financial Officer (Principal Financial Officer)</w:t>
            </w:r>
          </w:p>
        </w:tc>
      </w:tr>
    </w:tbl>
    <w:p>
      <w:pPr>
        <w:pStyle w:val="TextBody"/>
        <w:bidi w:val="0"/>
        <w:spacing w:lineRule="auto" w:line="417"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5, 2025 </w:t>
      </w:r>
    </w:p>
    <w:p>
      <w:pPr>
        <w:pStyle w:val="TextBody"/>
        <w:bidi w:val="0"/>
        <w:spacing w:lineRule="auto" w:line="345" w:before="18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of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of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8991/000119312519300390/d835322dex32.htm" TargetMode="External"/><Relationship Id="rId3" Type="http://schemas.openxmlformats.org/officeDocument/2006/relationships/hyperlink" Target="https://www.sec.gov/Archives/edgar/data/1698991/000119312519300390/d835322dex32.htm" TargetMode="External"/><Relationship Id="rId4" Type="http://schemas.openxmlformats.org/officeDocument/2006/relationships/hyperlink" Target="https://www.sec.gov/Archives/edgar/data/1698991/000119312519300390/d835322dex32.htm" TargetMode="External"/><Relationship Id="rId5" Type="http://schemas.openxmlformats.org/officeDocument/2006/relationships/hyperlink" Target="https://www.sec.gov/Archives/edgar/data/1698991/000119312519300390/d835322dex32.htm" TargetMode="External"/><Relationship Id="rId6" Type="http://schemas.openxmlformats.org/officeDocument/2006/relationships/hyperlink" Target="https://www.sec.gov/Archives/edgar/data/1698991/000169899125000026/ex31-firstcertificateofame.htm" TargetMode="External"/><Relationship Id="rId7" Type="http://schemas.openxmlformats.org/officeDocument/2006/relationships/hyperlink" Target="https://www.sec.gov/Archives/edgar/data/1698991/000169899125000026/ex31-firstcertificateofame.htm" TargetMode="External"/><Relationship Id="rId8" Type="http://schemas.openxmlformats.org/officeDocument/2006/relationships/hyperlink" Target="https://www.sec.gov/Archives/edgar/data/1698991/000169899125000026/ex31-firstcertificateofame.htm" TargetMode="External"/><Relationship Id="rId9" Type="http://schemas.openxmlformats.org/officeDocument/2006/relationships/hyperlink" Target="https://www.sec.gov/Archives/edgar/data/1698991/000169899125000026/ex31-firstcertificateofame.htm" TargetMode="External"/><Relationship Id="rId10" Type="http://schemas.openxmlformats.org/officeDocument/2006/relationships/hyperlink" Target="https://www.sec.gov/Archives/edgar/data/1698991/000169899125000026/ex31-firstcertificateofame.htm" TargetMode="External"/><Relationship Id="rId11" Type="http://schemas.openxmlformats.org/officeDocument/2006/relationships/hyperlink" Target="https://www.sec.gov/Archives/edgar/data/1698991/000169899125000026/ex31-firstcertificateofame.htm" TargetMode="External"/><Relationship Id="rId12" Type="http://schemas.openxmlformats.org/officeDocument/2006/relationships/hyperlink" Target="https://www.sec.gov/Archives/edgar/data/1698991/000169899125000026/ex31-firstcertificateofame.htm" TargetMode="External"/><Relationship Id="rId13" Type="http://schemas.openxmlformats.org/officeDocument/2006/relationships/hyperlink" Target="https://www.sec.gov/Archives/edgar/data/1698991/000169899125000026/ex31-firstcertificateofame.htm" TargetMode="External"/><Relationship Id="rId14" Type="http://schemas.openxmlformats.org/officeDocument/2006/relationships/hyperlink" Target="https://www.sec.gov/Archives/edgar/data/1698991/000169899125000026/ex32-secondcertificateofam.htm" TargetMode="External"/><Relationship Id="rId15" Type="http://schemas.openxmlformats.org/officeDocument/2006/relationships/hyperlink" Target="https://www.sec.gov/Archives/edgar/data/1698991/000169899125000026/ex32-secondcertificateofam.htm" TargetMode="External"/><Relationship Id="rId16" Type="http://schemas.openxmlformats.org/officeDocument/2006/relationships/hyperlink" Target="https://www.sec.gov/Archives/edgar/data/1698991/000169899125000026/ex32-secondcertificateofam.htm" TargetMode="External"/><Relationship Id="rId17" Type="http://schemas.openxmlformats.org/officeDocument/2006/relationships/hyperlink" Target="https://www.sec.gov/Archives/edgar/data/1698991/000169899125000026/ex32-secondcertificateofam.htm" TargetMode="External"/><Relationship Id="rId18" Type="http://schemas.openxmlformats.org/officeDocument/2006/relationships/hyperlink" Target="https://www.sec.gov/Archives/edgar/data/1698991/000169899125000026/ex32-secondcertificateofam.htm" TargetMode="External"/><Relationship Id="rId19" Type="http://schemas.openxmlformats.org/officeDocument/2006/relationships/hyperlink" Target="https://www.sec.gov/Archives/edgar/data/1698991/000169899125000026/ex32-secondcertificateofam.htm" TargetMode="External"/><Relationship Id="rId20" Type="http://schemas.openxmlformats.org/officeDocument/2006/relationships/hyperlink" Target="https://www.sec.gov/Archives/edgar/data/1698991/000169899125000026/ex32-secondcertificateofam.htm" TargetMode="External"/><Relationship Id="rId21" Type="http://schemas.openxmlformats.org/officeDocument/2006/relationships/hyperlink" Target="https://www.sec.gov/Archives/edgar/data/1698991/000169899125000026/ex101-secondamendedandrest.htm" TargetMode="External"/><Relationship Id="rId22" Type="http://schemas.openxmlformats.org/officeDocument/2006/relationships/hyperlink" Target="https://www.sec.gov/Archives/edgar/data/1698991/000169899125000017/ellisemploymentagreement-a.htm" TargetMode="External"/><Relationship Id="rId23" Type="http://schemas.openxmlformats.org/officeDocument/2006/relationships/hyperlink" Target="https://www.sec.gov/Archives/edgar/data/1698991/000169899125000017/ellisemploymentagreement-a.htm" TargetMode="External"/><Relationship Id="rId24" Type="http://schemas.openxmlformats.org/officeDocument/2006/relationships/hyperlink" Target="https://www.sec.gov/Archives/edgar/data/1698991/000169899125000017/ellisemploymentagreement-a.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21058</Words>
  <Characters>117429</Characters>
  <CharactersWithSpaces>136960</CharactersWithSpaces>
  <Paragraphs>2933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