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ans-serif" w:hAnsi="Times New Roman;sans-serif"/>
          <w:b/>
          <w:color w:val="000000"/>
          <w:sz w:val="24"/>
        </w:rPr>
        <w:t>For the Quarterly Period Ended September 30, 2023</w:t>
      </w:r>
      <w:r>
        <w:rPr>
          <w:color w:val="00000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2"/>
        </w:rPr>
        <w:t>Accel Entertainment, Inc.</w:t>
      </w:r>
      <w:r>
        <w:rPr>
          <w:color w:val="000000"/>
        </w:rPr>
        <w:t xml:space="preserve">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91" w:type="dxa"/>
        <w:jc w:val="center"/>
        <w:tblInd w:w="0" w:type="dxa"/>
        <w:tblLayout w:type="fixed"/>
        <w:tblCellMar>
          <w:top w:w="28" w:type="dxa"/>
          <w:left w:w="28" w:type="dxa"/>
          <w:bottom w:w="28" w:type="dxa"/>
          <w:right w:w="28" w:type="dxa"/>
        </w:tblCellMar>
      </w:tblPr>
      <w:tblGrid>
        <w:gridCol w:w="465"/>
        <w:gridCol w:w="410"/>
        <w:gridCol w:w="410"/>
        <w:gridCol w:w="410"/>
        <w:gridCol w:w="410"/>
        <w:gridCol w:w="420"/>
        <w:gridCol w:w="457"/>
        <w:gridCol w:w="457"/>
        <w:gridCol w:w="652"/>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5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Delaware</w:t>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98-1350261</w:t>
            </w:r>
          </w:p>
        </w:tc>
      </w:tr>
      <w:tr>
        <w:trPr/>
        <w:tc>
          <w:tcPr>
            <w:tcW w:w="25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140 Tower Drive</w:t>
            </w:r>
          </w:p>
        </w:tc>
      </w:tr>
      <w:tr>
        <w:trPr/>
        <w:tc>
          <w:tcPr>
            <w:tcW w:w="40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Burr Ridge, Illinois 60527 </w:t>
            </w:r>
          </w:p>
        </w:tc>
      </w:tr>
      <w:tr>
        <w:trPr/>
        <w:tc>
          <w:tcPr>
            <w:tcW w:w="40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(Zip Code)</w:t>
            </w:r>
          </w:p>
        </w:tc>
      </w:tr>
    </w:tbl>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(630) 972-2235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654" w:type="dxa"/>
        <w:jc w:val="center"/>
        <w:tblInd w:w="0" w:type="dxa"/>
        <w:tblLayout w:type="fixed"/>
        <w:tblCellMar>
          <w:top w:w="28" w:type="dxa"/>
          <w:left w:w="28" w:type="dxa"/>
          <w:bottom w:w="28" w:type="dxa"/>
          <w:right w:w="28" w:type="dxa"/>
        </w:tblCellMar>
      </w:tblPr>
      <w:tblGrid>
        <w:gridCol w:w="1391"/>
        <w:gridCol w:w="1228"/>
        <w:gridCol w:w="1236"/>
        <w:gridCol w:w="444"/>
        <w:gridCol w:w="444"/>
        <w:gridCol w:w="446"/>
        <w:gridCol w:w="1014"/>
        <w:gridCol w:w="1014"/>
        <w:gridCol w:w="1437"/>
      </w:tblGrid>
      <w:tr>
        <w:trPr/>
        <w:tc>
          <w:tcPr>
            <w:tcW w:w="139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ACEL</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3, 2023, there were 84,803,284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SEPTEMBER 30, 2023 </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0"/>
        <w:gridCol w:w="263"/>
        <w:gridCol w:w="265"/>
        <w:gridCol w:w="3030"/>
        <w:gridCol w:w="2983"/>
        <w:gridCol w:w="2989"/>
        <w:gridCol w:w="109"/>
        <w:gridCol w:w="109"/>
        <w:gridCol w:w="157"/>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0">
              <w:r>
                <w:rPr>
                  <w:rStyle w:val="InternetLink"/>
                  <w:rFonts w:ascii="Times New Roman;sans-serif" w:hAnsi="Times New Roman;sans-serif"/>
                  <w:b/>
                  <w:strike w:val="false"/>
                  <w:dstrike w:val="false"/>
                  <w:color w:val="000000"/>
                  <w:sz w:val="20"/>
                  <w:u w:val="none"/>
                  <w:effect w:val="none"/>
                </w:rPr>
                <w:t>FINANCIAL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0">
              <w:r>
                <w:rPr>
                  <w:rStyle w:val="InternetLink"/>
                  <w:rFonts w:ascii="Times New Roman;sans-serif" w:hAnsi="Times New Roman;sans-serif"/>
                  <w:b w:val="false"/>
                  <w:strike w:val="false"/>
                  <w:dstrike w:val="false"/>
                  <w:color w:val="0000FF"/>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3">
              <w:r>
                <w:rPr>
                  <w:rStyle w:val="InternetLink"/>
                  <w:rFonts w:ascii="Times New Roman;sans-serif" w:hAnsi="Times New Roman;sans-serif"/>
                  <w:b w:val="false"/>
                  <w:strike w:val="false"/>
                  <w:dstrike w:val="false"/>
                  <w:color w:val="0000FF"/>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(Unaudited) for the three and nine months ended September 30, 2023 and 2022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6">
              <w:r>
                <w:rPr>
                  <w:rStyle w:val="InternetLink"/>
                  <w:rFonts w:ascii="Times New Roman;sans-serif" w:hAnsi="Times New Roman;sans-serif"/>
                  <w:b w:val="false"/>
                  <w:strike w:val="false"/>
                  <w:dstrike w:val="false"/>
                  <w:color w:val="0000FF"/>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as of September 30, 2023 (Unaudited) and December 31, 2022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9">
              <w:r>
                <w:rPr>
                  <w:rStyle w:val="InternetLink"/>
                  <w:rFonts w:ascii="Times New Roman;sans-serif" w:hAnsi="Times New Roman;sans-serif"/>
                  <w:b w:val="false"/>
                  <w:strike w:val="false"/>
                  <w:dstrike w:val="false"/>
                  <w:color w:val="0000FF"/>
                  <w:sz w:val="20"/>
                  <w:u w:val="none"/>
                  <w:effect w:val="none"/>
                </w:rPr>
                <w:t>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22">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r>
              <w:rPr>
                <w:rFonts w:ascii="Times New Roman;sans-serif" w:hAnsi="Times New Roman;sans-serif"/>
                <w:b w:val="false"/>
                <w:color w:val="000000"/>
                <w:sz w:val="20"/>
              </w:rPr>
              <w:t xml:space="preserve"> (Unaudited) for the three and nine months ended September 30, 2023 and 2022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22">
              <w:r>
                <w:rPr>
                  <w:rStyle w:val="InternetLink"/>
                  <w:rFonts w:ascii="Times New Roman;sans-serif" w:hAnsi="Times New Roman;sans-serif"/>
                  <w:b w:val="false"/>
                  <w:strike w:val="false"/>
                  <w:dstrike w:val="false"/>
                  <w:color w:val="0000FF"/>
                  <w:sz w:val="20"/>
                  <w:u w:val="none"/>
                  <w:effect w:val="none"/>
                </w:rPr>
                <w:t>3</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 for the nine months ended September 30, 2023 and 2022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25">
              <w:r>
                <w:rPr>
                  <w:rStyle w:val="InternetLink"/>
                  <w:rFonts w:ascii="Times New Roman;sans-serif" w:hAnsi="Times New Roman;sans-serif"/>
                  <w:b w:val="false"/>
                  <w:strike w:val="false"/>
                  <w:dstrike w:val="false"/>
                  <w:color w:val="0000FF"/>
                  <w:sz w:val="20"/>
                  <w:u w:val="none"/>
                  <w:effect w:val="none"/>
                </w:rPr>
                <w:t>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Condensed Consolidated Financial Statements (Unaudited)</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28">
              <w:r>
                <w:rPr>
                  <w:rStyle w:val="InternetLink"/>
                  <w:rFonts w:ascii="Times New Roman;sans-serif" w:hAnsi="Times New Roman;sans-serif"/>
                  <w:b w:val="false"/>
                  <w:strike w:val="false"/>
                  <w:dstrike w:val="false"/>
                  <w:color w:val="0000FF"/>
                  <w:sz w:val="20"/>
                  <w:u w:val="none"/>
                  <w:effect w:val="none"/>
                </w:rPr>
                <w:t>7</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9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91">
              <w:r>
                <w:rPr>
                  <w:rStyle w:val="InternetLink"/>
                  <w:rFonts w:ascii="Times New Roman;sans-serif" w:hAnsi="Times New Roman;sans-serif"/>
                  <w:b w:val="false"/>
                  <w:strike w:val="false"/>
                  <w:dstrike w:val="false"/>
                  <w:color w:val="0000FF"/>
                  <w:sz w:val="20"/>
                  <w:u w:val="none"/>
                  <w:effect w:val="none"/>
                </w:rPr>
                <w:t>26</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2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21">
              <w:r>
                <w:rPr>
                  <w:rStyle w:val="InternetLink"/>
                  <w:rFonts w:ascii="Times New Roman;sans-serif" w:hAnsi="Times New Roman;sans-serif"/>
                  <w:b w:val="false"/>
                  <w:strike w:val="false"/>
                  <w:dstrike w:val="false"/>
                  <w:color w:val="0000FF"/>
                  <w:sz w:val="20"/>
                  <w:u w:val="none"/>
                  <w:effect w:val="none"/>
                </w:rPr>
                <w:t>40</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2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24">
              <w:r>
                <w:rPr>
                  <w:rStyle w:val="InternetLink"/>
                  <w:rFonts w:ascii="Times New Roman;sans-serif" w:hAnsi="Times New Roman;sans-serif"/>
                  <w:b w:val="false"/>
                  <w:strike w:val="false"/>
                  <w:dstrike w:val="false"/>
                  <w:color w:val="0000FF"/>
                  <w:sz w:val="20"/>
                  <w:u w:val="none"/>
                  <w:effect w:val="none"/>
                </w:rPr>
                <w:t>40</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27">
              <w:r>
                <w:rPr>
                  <w:rStyle w:val="InternetLink"/>
                  <w:rFonts w:ascii="Times New Roman;sans-serif" w:hAnsi="Times New Roman;sans-serif"/>
                  <w:b/>
                  <w:strike w:val="false"/>
                  <w:dstrike w:val="false"/>
                  <w:color w:val="000000"/>
                  <w:sz w:val="20"/>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27">
              <w:r>
                <w:rPr>
                  <w:rStyle w:val="InternetLink"/>
                  <w:rFonts w:ascii="Times New Roman;sans-serif" w:hAnsi="Times New Roman;sans-serif"/>
                  <w:b w:val="false"/>
                  <w:strike w:val="false"/>
                  <w:dstrike w:val="false"/>
                  <w:color w:val="0000FF"/>
                  <w:sz w:val="20"/>
                  <w:u w:val="none"/>
                  <w:effect w:val="none"/>
                </w:rPr>
                <w:t>41</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30">
              <w:r>
                <w:rPr>
                  <w:rStyle w:val="InternetLink"/>
                  <w:rFonts w:ascii="Times New Roman;sans-serif" w:hAnsi="Times New Roman;sans-serif"/>
                  <w:b w:val="false"/>
                  <w:strike w:val="false"/>
                  <w:dstrike w:val="false"/>
                  <w:color w:val="000000"/>
                  <w:sz w:val="20"/>
                  <w:u w:val="none"/>
                  <w:effect w:val="non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30">
              <w:r>
                <w:rPr>
                  <w:rStyle w:val="InternetLink"/>
                  <w:rFonts w:ascii="Times New Roman;sans-serif" w:hAnsi="Times New Roman;sans-serif"/>
                  <w:b w:val="false"/>
                  <w:strike w:val="false"/>
                  <w:dstrike w:val="false"/>
                  <w:color w:val="0000FF"/>
                  <w:sz w:val="20"/>
                  <w:u w:val="none"/>
                  <w:effect w:val="none"/>
                </w:rPr>
                <w:t>41</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33">
              <w:r>
                <w:rPr>
                  <w:rStyle w:val="InternetLink"/>
                  <w:rFonts w:ascii="Times New Roman;sans-serif" w:hAnsi="Times New Roman;sans-serif"/>
                  <w:b w:val="false"/>
                  <w:strike w:val="false"/>
                  <w:dstrike w:val="false"/>
                  <w:color w:val="000000"/>
                  <w:sz w:val="20"/>
                  <w:u w:val="none"/>
                  <w:effect w:val="non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33">
              <w:r>
                <w:rPr>
                  <w:rStyle w:val="InternetLink"/>
                  <w:rFonts w:ascii="Times New Roman;sans-serif" w:hAnsi="Times New Roman;sans-serif"/>
                  <w:b w:val="false"/>
                  <w:strike w:val="false"/>
                  <w:dstrike w:val="false"/>
                  <w:color w:val="0000FF"/>
                  <w:sz w:val="20"/>
                  <w:u w:val="none"/>
                  <w:effect w:val="none"/>
                </w:rPr>
                <w:t>41</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36">
              <w:r>
                <w:rPr>
                  <w:rStyle w:val="InternetLink"/>
                  <w:rFonts w:ascii="Times New Roman;sans-serif" w:hAnsi="Times New Roman;sans-serif"/>
                  <w:b w:val="false"/>
                  <w:strike w:val="false"/>
                  <w:dstrike w:val="false"/>
                  <w:color w:val="000080"/>
                  <w:sz w:val="20"/>
                  <w:u w:val="single"/>
                  <w:effect w:val="none"/>
                </w:rPr>
                <w:t>UNREGISTERED SALES OF EQUITY SECURITI</w:t>
              </w:r>
            </w:hyperlink>
            <w:hyperlink w:anchor="i738f096c76ef49f1a77fe8fbb110c094_136">
              <w:r>
                <w:rPr>
                  <w:rStyle w:val="InternetLink"/>
                  <w:rFonts w:ascii="Times New Roman;sans-serif" w:hAnsi="Times New Roman;sans-serif"/>
                  <w:b w:val="false"/>
                  <w:strike w:val="false"/>
                  <w:dstrike w:val="false"/>
                  <w:color w:val="000080"/>
                  <w:sz w:val="20"/>
                  <w:u w:val="single"/>
                  <w:effect w:val="none"/>
                </w:rPr>
                <w:t>ES</w:t>
              </w:r>
            </w:hyperlink>
            <w:hyperlink w:anchor="i738f096c76ef49f1a77fe8fbb110c094_136">
              <w:r>
                <w:rPr>
                  <w:rStyle w:val="InternetLink"/>
                  <w:rFonts w:ascii="Times New Roman;sans-serif" w:hAnsi="Times New Roman;sans-serif"/>
                  <w:b w:val="false"/>
                  <w:strike w:val="false"/>
                  <w:dstrike w:val="false"/>
                  <w:color w:val="000080"/>
                  <w:sz w:val="20"/>
                  <w:u w:val="single"/>
                  <w:effect w:val="none"/>
                </w:rPr>
                <w:t xml:space="preserve">, </w:t>
              </w:r>
            </w:hyperlink>
            <w:hyperlink w:anchor="i738f096c76ef49f1a77fe8fbb110c094_136">
              <w:r>
                <w:rPr>
                  <w:rStyle w:val="InternetLink"/>
                  <w:rFonts w:ascii="Times New Roman;sans-serif" w:hAnsi="Times New Roman;sans-serif"/>
                  <w:b w:val="false"/>
                  <w:strike w:val="false"/>
                  <w:dstrike w:val="false"/>
                  <w:color w:val="000080"/>
                  <w:sz w:val="20"/>
                  <w:u w:val="single"/>
                  <w:effect w:val="none"/>
                </w:rPr>
                <w:t>US</w:t>
              </w:r>
            </w:hyperlink>
            <w:hyperlink w:anchor="i738f096c76ef49f1a77fe8fbb110c094_136">
              <w:r>
                <w:rPr>
                  <w:rStyle w:val="InternetLink"/>
                  <w:rFonts w:ascii="Times New Roman;sans-serif" w:hAnsi="Times New Roman;sans-serif"/>
                  <w:b w:val="false"/>
                  <w:strike w:val="false"/>
                  <w:dstrike w:val="false"/>
                  <w:color w:val="000080"/>
                  <w:sz w:val="20"/>
                  <w:u w:val="single"/>
                  <w:effect w:val="none"/>
                </w:rPr>
                <w:t>E OF PROCEEDS</w:t>
              </w:r>
            </w:hyperlink>
            <w:r>
              <w:rPr>
                <w:rFonts w:ascii="Times New Roman;sans-serif" w:hAnsi="Times New Roman;sans-serif"/>
                <w:b w:val="false"/>
                <w:color w:val="000000"/>
                <w:sz w:val="20"/>
              </w:rPr>
              <w:t>, AND ISSUER PURCHASES OF EQUITY SECURITIES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36">
              <w:r>
                <w:rPr>
                  <w:rStyle w:val="InternetLink"/>
                  <w:rFonts w:ascii="Times New Roman;sans-serif" w:hAnsi="Times New Roman;sans-serif"/>
                  <w:b w:val="false"/>
                  <w:strike w:val="false"/>
                  <w:dstrike w:val="false"/>
                  <w:color w:val="0000FF"/>
                  <w:sz w:val="20"/>
                  <w:u w:val="none"/>
                  <w:effect w:val="none"/>
                </w:rPr>
                <w:t>42</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39">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39">
              <w:r>
                <w:rPr>
                  <w:rStyle w:val="InternetLink"/>
                  <w:rFonts w:ascii="Times New Roman;sans-serif" w:hAnsi="Times New Roman;sans-serif"/>
                  <w:b w:val="false"/>
                  <w:strike w:val="false"/>
                  <w:dstrike w:val="false"/>
                  <w:color w:val="0000FF"/>
                  <w:sz w:val="20"/>
                  <w:u w:val="none"/>
                  <w:effect w:val="none"/>
                </w:rPr>
                <w:t>43</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4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42">
              <w:r>
                <w:rPr>
                  <w:rStyle w:val="InternetLink"/>
                  <w:rFonts w:ascii="Times New Roman;sans-serif" w:hAnsi="Times New Roman;sans-serif"/>
                  <w:b w:val="false"/>
                  <w:strike w:val="false"/>
                  <w:dstrike w:val="false"/>
                  <w:color w:val="0000FF"/>
                  <w:sz w:val="20"/>
                  <w:u w:val="none"/>
                  <w:effect w:val="none"/>
                </w:rPr>
                <w:t>43</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8f096c76ef49f1a77fe8fbb110c094_145">
              <w:r>
                <w:rPr>
                  <w:rStyle w:val="InternetLink"/>
                  <w:rFonts w:ascii="Times New Roman;sans-serif" w:hAnsi="Times New Roman;sans-serif"/>
                  <w:b w:val="false"/>
                  <w:strike w:val="false"/>
                  <w:dstrike w:val="false"/>
                  <w:color w:val="0000FF"/>
                  <w:sz w:val="20"/>
                  <w:u w:val="none"/>
                  <w:effect w:val="none"/>
                </w:rPr>
                <w:t>43</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48">
              <w:r>
                <w:rPr>
                  <w:rStyle w:val="InternetLink"/>
                  <w:rFonts w:ascii="Times New Roman;sans-serif" w:hAnsi="Times New Roman;sans-serif"/>
                  <w:b w:val="false"/>
                  <w:strike w:val="false"/>
                  <w:dstrike w:val="false"/>
                  <w:color w:val="000000"/>
                  <w:sz w:val="20"/>
                  <w:u w:val="none"/>
                  <w:effect w:val="non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8f096c76ef49f1a77fe8fbb110c094_148">
              <w:r>
                <w:rPr>
                  <w:rStyle w:val="InternetLink"/>
                  <w:rFonts w:ascii="Times New Roman;sans-serif" w:hAnsi="Times New Roman;sans-serif"/>
                  <w:b w:val="false"/>
                  <w:strike w:val="false"/>
                  <w:dstrike w:val="false"/>
                  <w:color w:val="0000FF"/>
                  <w:sz w:val="20"/>
                  <w:u w:val="none"/>
                  <w:effect w:val="none"/>
                </w:rPr>
                <w:t>43</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38f096c76ef49f1a77fe8fbb110c094_151">
              <w:r>
                <w:rPr>
                  <w:rStyle w:val="InternetLink"/>
                  <w:rFonts w:ascii="Times New Roman;sans-serif" w:hAnsi="Times New Roman;sans-serif"/>
                  <w:b w:val="false"/>
                  <w:strike w:val="false"/>
                  <w:dstrike w:val="false"/>
                  <w:color w:val="000000"/>
                  <w:sz w:val="20"/>
                  <w:u w:val="none"/>
                  <w:effect w:val="non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8f096c76ef49f1a77fe8fbb110c094_151">
              <w:r>
                <w:rPr>
                  <w:rStyle w:val="InternetLink"/>
                  <w:rFonts w:ascii="Times New Roman;sans-serif" w:hAnsi="Times New Roman;sans-serif"/>
                  <w:b w:val="false"/>
                  <w:strike w:val="false"/>
                  <w:dstrike w:val="false"/>
                  <w:color w:val="0000FF"/>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345" w:before="0" w:after="1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35"/>
        <w:gridCol w:w="1375"/>
        <w:gridCol w:w="1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3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before income tax expense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 (loss) on interest rate caplets (net of income taxes of $37, $2,317, $(3) and $5,011,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3198"/>
        <w:gridCol w:w="2239"/>
        <w:gridCol w:w="2256"/>
        <w:gridCol w:w="202"/>
        <w:gridCol w:w="762"/>
        <w:gridCol w:w="112"/>
        <w:gridCol w:w="109"/>
        <w:gridCol w:w="109"/>
        <w:gridCol w:w="109"/>
        <w:gridCol w:w="199"/>
        <w:gridCol w:w="749"/>
        <w:gridCol w:w="161"/>
      </w:tblGrid>
      <w:tr>
        <w:trPr/>
        <w:tc>
          <w:tcPr>
            <w:tcW w:w="319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par value and share amounts)</w:t>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convertible notes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282,650 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Location contracts acquired,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 net of current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343,044 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351,713 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871,408 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route and customer acquisition costs payable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location gaming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state gaming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expenses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consideration payable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current maturities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484,004 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 less current portion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payable, less current portion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share liability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long-term liabilities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580,417 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of $0.0001; 1,000,000 shares authorized; 0 shares issued and outstanding at September 30, 2023 and December 31, 2022</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$0.0001; 250,000,000 shares authorized; 94,872,069 shares issued and 85,389,889 shares outstanding at September 30, 2023; 94,504,051 shares issued and 86,674,390 shares outstanding at December 31, 2022</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earnings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871,408 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5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3"/>
        <w:gridCol w:w="443"/>
        <w:gridCol w:w="186"/>
        <w:gridCol w:w="109"/>
        <w:gridCol w:w="109"/>
        <w:gridCol w:w="109"/>
        <w:gridCol w:w="196"/>
        <w:gridCol w:w="661"/>
        <w:gridCol w:w="109"/>
        <w:gridCol w:w="109"/>
        <w:gridCol w:w="109"/>
        <w:gridCol w:w="109"/>
        <w:gridCol w:w="243"/>
        <w:gridCol w:w="804"/>
        <w:gridCol w:w="139"/>
        <w:gridCol w:w="109"/>
        <w:gridCol w:w="109"/>
        <w:gridCol w:w="109"/>
        <w:gridCol w:w="210"/>
        <w:gridCol w:w="693"/>
        <w:gridCol w:w="118"/>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86,674,390 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(7,829,661)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86,444,825 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(8,306,379)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(887,174)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(887,174)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85,605,725 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(9,193,553)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(301,199)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(301,199)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85,389,889 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(9,494,752)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83,496 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5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2"/>
        <w:gridCol w:w="444"/>
        <w:gridCol w:w="186"/>
        <w:gridCol w:w="109"/>
        <w:gridCol w:w="109"/>
        <w:gridCol w:w="109"/>
        <w:gridCol w:w="196"/>
        <w:gridCol w:w="661"/>
        <w:gridCol w:w="109"/>
        <w:gridCol w:w="109"/>
        <w:gridCol w:w="109"/>
        <w:gridCol w:w="109"/>
        <w:gridCol w:w="243"/>
        <w:gridCol w:w="804"/>
        <w:gridCol w:w="139"/>
        <w:gridCol w:w="109"/>
        <w:gridCol w:w="109"/>
        <w:gridCol w:w="109"/>
        <w:gridCol w:w="196"/>
        <w:gridCol w:w="716"/>
        <w:gridCol w:w="109"/>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93,410,563 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(701,305)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92,484,542 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(1,789,295)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(2,326,413)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(2,326,413)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business combination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90,759,331 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(3,600,086)</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(2,265,107)</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(2,265,107)</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2022</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88,569,672 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(5,865,193)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w:t>
              <w:br/>
              <w:t>(Unaudited)</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60,696 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contingent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interest on route and customer acquisition costs payable, contingent consideration, and contingent stock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92,007 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(60,218)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settlement of convertible notes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against a portion of the purchase price on pending business acquisition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and asset acquisitions, net of cash acquired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(137,628)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(168,871)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(152,875)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debt issuance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repurchase of common stock</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interest rate caplets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stock-based awards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payments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financing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(50,328)</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103,898 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increase in cash and cash equivalents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230,388 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212,063 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22"/>
        <w:gridCol w:w="1520"/>
        <w:gridCol w:w="1508"/>
        <w:gridCol w:w="452"/>
        <w:gridCol w:w="1490"/>
        <w:gridCol w:w="251"/>
        <w:gridCol w:w="251"/>
        <w:gridCol w:w="251"/>
        <w:gridCol w:w="251"/>
        <w:gridCol w:w="452"/>
        <w:gridCol w:w="1698"/>
        <w:gridCol w:w="359"/>
      </w:tblGrid>
      <w:tr>
        <w:trPr/>
        <w:tc>
          <w:tcPr>
            <w:tcW w:w="172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 - (Continued)</w:t>
              <w:br/>
              <w:t>(Unaudited)</w:t>
            </w:r>
          </w:p>
        </w:tc>
      </w:tr>
      <w:tr>
        <w:trPr/>
        <w:tc>
          <w:tcPr>
            <w:tcW w:w="4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2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w:t>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11,964 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schedules of noncash investing and financing activities:</w:t>
            </w:r>
          </w:p>
        </w:tc>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liabilities</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premium on interest rate caplets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treasury stock issued in business combination</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and assets:</w:t>
            </w:r>
          </w:p>
        </w:tc>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 acquired</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179,015 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cash acquired</w:t>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(33,270)</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consideration payable</w:t>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fair value of treasury stock issued</w:t>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purchase price</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137,628 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Accel Entertainment, Inc. (and together with its subsidiaries, </w:t>
      </w:r>
      <w:r>
        <w:rPr>
          <w:rFonts w:ascii="Times New Roman;sans-serif" w:hAnsi="Times New Roman;sans-serif"/>
          <w:b w:val="false"/>
          <w:color w:val="000000"/>
          <w:sz w:val="20"/>
          <w:shd w:fill="FFFFFF" w:val="clear"/>
        </w:rPr>
        <w:t xml:space="preserve">the </w:t>
      </w:r>
      <w:r>
        <w:rPr>
          <w:color w:val="000000"/>
        </w:rPr>
        <w:t>“</w:t>
      </w:r>
      <w:r>
        <w:rPr>
          <w:rFonts w:ascii="Times New Roman;sans-serif" w:hAnsi="Times New Roman;sans-serif"/>
          <w:b w:val="false"/>
          <w:color w:val="000000"/>
          <w:sz w:val="20"/>
          <w:shd w:fill="FFFFFF" w:val="clear"/>
        </w:rPr>
        <w:t>Company</w:t>
      </w:r>
      <w:r>
        <w:rPr>
          <w:color w:val="000000"/>
        </w:rPr>
        <w:t xml:space="preserve">” </w:t>
      </w:r>
      <w:r>
        <w:rPr>
          <w:rFonts w:ascii="Times New Roman;sans-serif" w:hAnsi="Times New Roman;sans-serif"/>
          <w:b w:val="false"/>
          <w:color w:val="000000"/>
          <w:sz w:val="20"/>
        </w:rPr>
        <w:t>or “Accel”)</w:t>
      </w:r>
      <w:r>
        <w:rPr>
          <w:color w:val="000000"/>
          <w:shd w:fill="FFFFFF" w:val="clear"/>
        </w:rPr>
        <w:t xml:space="preserve"> </w:t>
      </w:r>
      <w:r>
        <w:rPr>
          <w:rFonts w:ascii="Times New Roman;sans-serif" w:hAnsi="Times New Roman;sans-serif"/>
          <w:b w:val="false"/>
          <w:color w:val="000000"/>
          <w:sz w:val="20"/>
          <w:shd w:fill="FFFFFF" w:val="clear"/>
        </w:rPr>
        <w:t>is a leading distributed gaming operator in the United States (“U.S.”). The Company has operations in Illinois, Montana, Nevada, Georgia, Nebraska, Iowa, and Pennsylvania. The Company is subject to the various gaming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primarily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The Company also operates stand-alone ATMs in gaming and non-gaming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ans-serif" w:hAnsi="Times New Roman;sans-serif"/>
          <w:b/>
          <w:color w:val="000000"/>
          <w:sz w:val="20"/>
          <w:shd w:fill="FFFFFF" w:val="clear"/>
        </w:rPr>
        <w:t>Basis of presentation and preparation</w:t>
      </w:r>
      <w:r>
        <w:rPr>
          <w:rFonts w:ascii="Times New Roman;sans-serif" w:hAnsi="Times New Roman;sans-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ans-serif" w:hAnsi="Times New Roman;sans-serif"/>
          <w:b w:val="false"/>
          <w:color w:val="000000"/>
          <w:sz w:val="20"/>
        </w:rPr>
        <w:t xml:space="preserve">The condensed consolidated financial statements include the accounts of the Company and of its wholly 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2022 </w:t>
      </w:r>
      <w:r>
        <w:rPr>
          <w:rFonts w:ascii="Times New Roman;sans-serif" w:hAnsi="Times New Roman;sans-serif"/>
          <w:b w:val="false"/>
          <w:color w:val="000000"/>
          <w:sz w:val="20"/>
          <w:shd w:fill="FFFFFF" w:val="clear"/>
        </w:rPr>
        <w:t>(the “Form 10-K”)</w:t>
      </w:r>
      <w:r>
        <w:rPr>
          <w:rFonts w:ascii="Times New Roman;sans-serif" w:hAnsi="Times New Roman;sans-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ans-serif" w:hAnsi="Times New Roman;sans-serif"/>
          <w:b/>
          <w:color w:val="000000"/>
          <w:sz w:val="20"/>
          <w:shd w:fill="FFFFFF" w:val="clear"/>
        </w:rPr>
        <w:t>Use of estimates</w:t>
      </w:r>
      <w:r>
        <w:rPr>
          <w:rFonts w:ascii="Times New Roman;sans-serif" w:hAnsi="Times New Roman;sans-serif"/>
          <w:b w:val="false"/>
          <w:color w:val="000000"/>
          <w:sz w:val="20"/>
          <w:shd w:fill="FFFFFF" w:val="clear"/>
        </w:rPr>
        <w:t>: The preparation of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interest rate caplets, contingencies, and the expected term of share-based compensation awards and stock price volatility when computing stock-based compensation expense. Actual results may differ from those estimates.</w:t>
      </w:r>
    </w:p>
    <w:p>
      <w:pPr>
        <w:pStyle w:val="TextBody"/>
        <w:bidi w:val="0"/>
        <w:spacing w:lineRule="auto" w:line="345" w:before="180" w:after="283"/>
        <w:jc w:val="both"/>
        <w:rPr/>
      </w:pPr>
      <w:r>
        <w:rPr>
          <w:rFonts w:ascii="Times New Roman;sans-serif" w:hAnsi="Times New Roman;sans-serif"/>
          <w:b/>
          <w:color w:val="000000"/>
          <w:sz w:val="20"/>
          <w:shd w:fill="FFFFFF" w:val="clear"/>
        </w:rPr>
        <w:t>Segment information</w:t>
      </w:r>
      <w:r>
        <w:rPr>
          <w:rFonts w:ascii="Times New Roman;sans-serif" w:hAnsi="Times New Roman;sans-serif"/>
          <w:b w:val="false"/>
          <w:color w:val="000000"/>
          <w:sz w:val="20"/>
          <w:shd w:fill="FFFFFF" w:val="clear"/>
        </w:rPr>
        <w:t>: The Company operates as a single reportable segment. The Company’s chief operating decision maker (“CODM”) is the chief 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pPr>
      <w:r>
        <w:rPr>
          <w:rFonts w:ascii="Times New Roman;sans-serif" w:hAnsi="Times New Roman;sans-serif"/>
          <w:b/>
          <w:color w:val="000000"/>
          <w:sz w:val="20"/>
          <w:shd w:fill="FFFFFF" w:val="clear"/>
        </w:rPr>
        <w:t>Revenue recognition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primarily generates revenues from the following types of services: gaming terminals, amusements, </w:t>
      </w:r>
      <w:r>
        <w:rPr>
          <w:rFonts w:ascii="Times New Roman;sans-serif" w:hAnsi="Times New Roman;sans-serif"/>
          <w:b w:val="false"/>
          <w:color w:val="000000"/>
          <w:sz w:val="20"/>
          <w:shd w:fill="FFFFFF" w:val="clear"/>
        </w:rPr>
        <w:t>manufacturing</w:t>
      </w:r>
      <w:r>
        <w:rPr>
          <w:color w:val="000000"/>
        </w:rPr>
        <w:t xml:space="preserve"> </w:t>
      </w:r>
      <w:r>
        <w:rPr>
          <w:rFonts w:ascii="Times New Roman;sans-serif" w:hAnsi="Times New Roman;sans-serif"/>
          <w:b w:val="false"/>
          <w:color w:val="000000"/>
          <w:sz w:val="20"/>
        </w:rPr>
        <w:t xml:space="preserve">and ATMs. Revenue is disaggregated by type of revenue and is presented on the face of the consolidated statements of operations and comprehensive income. </w:t>
      </w:r>
    </w:p>
    <w:p>
      <w:pPr>
        <w:pStyle w:val="TextBody"/>
        <w:bidi w:val="0"/>
        <w:spacing w:lineRule="auto" w:line="345" w:before="180" w:after="283"/>
        <w:jc w:val="both"/>
        <w:rPr/>
      </w:pPr>
      <w:r>
        <w:rPr>
          <w:rFonts w:ascii="Times New Roman;sans-serif" w:hAnsi="Times New Roman;sans-serif"/>
          <w:b w:val="false"/>
          <w:color w:val="000000"/>
          <w:sz w:val="20"/>
          <w:shd w:fill="FFFFFF" w:val="clear"/>
        </w:rPr>
        <w:t xml:space="preserve">Total net revenues for the three and nine months ended </w:t>
      </w:r>
      <w:r>
        <w:rPr>
          <w:rFonts w:ascii="Times New Roman;sans-serif" w:hAnsi="Times New Roman;sans-serif"/>
          <w:b w:val="false"/>
          <w:color w:val="000000"/>
          <w:sz w:val="20"/>
        </w:rPr>
        <w:t>September 30,</w:t>
      </w:r>
      <w:r>
        <w:rPr>
          <w:color w:val="000000"/>
          <w:shd w:fill="FFFFFF" w:val="clear"/>
        </w:rPr>
        <w:t xml:space="preserve"> </w:t>
      </w:r>
      <w:r>
        <w:rPr>
          <w:rFonts w:ascii="Times New Roman;sans-serif" w:hAnsi="Times New Roman;sans-serif"/>
          <w:b w:val="false"/>
          <w:color w:val="000000"/>
          <w:sz w:val="20"/>
          <w:shd w:fill="FFFFFF" w:val="clear"/>
        </w:rPr>
        <w:t>2023 and 2022 is disaggregated in the following table by the primary states in which the Company operates.</w:t>
      </w:r>
    </w:p>
    <w:tbl>
      <w:tblPr>
        <w:tblW w:w="7560"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ans-serif" w:hAnsi="Times New Roman;sans-serif"/>
          <w:b/>
          <w:color w:val="000000"/>
          <w:sz w:val="20"/>
          <w:shd w:fill="FFFFFF" w:val="clear"/>
        </w:rPr>
        <w:t>Recent accounting pronouncements</w:t>
      </w:r>
      <w:r>
        <w:rPr>
          <w:rFonts w:ascii="Times New Roman;sans-serif" w:hAnsi="Times New Roman;sans-serif"/>
          <w:b w:val="false"/>
          <w:i/>
          <w:color w:val="000000"/>
          <w:sz w:val="20"/>
          <w:shd w:fill="FFFFFF" w:val="clear"/>
        </w:rPr>
        <w:t>: </w:t>
      </w:r>
      <w:r>
        <w:rPr>
          <w:rFonts w:ascii="Times New Roman;sans-serif" w:hAnsi="Times New Roman;sans-serif"/>
          <w:b w:val="false"/>
          <w:color w:val="000000"/>
          <w:sz w:val="20"/>
          <w:shd w:fill="FFFFFF" w:val="clear"/>
        </w:rPr>
        <w:t xml:space="preserve">In October 2021, the FASB issued Accounting Standards Update (“ASU”) No. 2021-08, </w:t>
      </w:r>
      <w:r>
        <w:rPr>
          <w:rFonts w:ascii="Times New Roman;sans-serif" w:hAnsi="Times New Roman;sans-serif"/>
          <w:b w:val="false"/>
          <w:i/>
          <w:color w:val="000000"/>
          <w:sz w:val="20"/>
          <w:shd w:fill="FFFFFF" w:val="clear"/>
        </w:rPr>
        <w:t>Business Combinations (Topic 805).</w:t>
      </w:r>
      <w:r>
        <w:rPr>
          <w:color w:val="000000"/>
          <w:shd w:fill="FFFFFF" w:val="clear"/>
        </w:rPr>
        <w:t xml:space="preserve"> </w:t>
      </w:r>
      <w:r>
        <w:rPr>
          <w:rFonts w:ascii="Times New Roman;sans-serif" w:hAnsi="Times New Roman;sans-serif"/>
          <w:b w:val="false"/>
          <w:color w:val="000000"/>
          <w:sz w:val="20"/>
          <w:shd w:fill="FFFFFF" w:val="clear"/>
        </w:rPr>
        <w:t>The guidance in this 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Accounting Standards Codification (“</w:t>
      </w:r>
      <w:r>
        <w:rPr>
          <w:rFonts w:ascii="Times New Roman;sans-serif" w:hAnsi="Times New Roman;sans-serif"/>
          <w:b w:val="false"/>
          <w:color w:val="000000"/>
          <w:sz w:val="20"/>
        </w:rPr>
        <w:t>ASC”)</w:t>
      </w:r>
      <w:r>
        <w:rPr>
          <w:color w:val="000000"/>
          <w:shd w:fill="FFFFFF" w:val="clear"/>
        </w:rPr>
        <w:t xml:space="preserve"> </w:t>
      </w:r>
      <w:r>
        <w:rPr>
          <w:rFonts w:ascii="Times New Roman;sans-serif" w:hAnsi="Times New Roman;sans-serif"/>
          <w:b w:val="false"/>
          <w:color w:val="000000"/>
          <w:sz w:val="20"/>
          <w:shd w:fill="FFFFFF" w:val="clear"/>
        </w:rPr>
        <w:t>606 as if it had originated the contracts. The standard is effective for fiscal years beginning after December 15, 2022, and interim periods within those fiscal years with early adoption permitted. The impact of the adoption of this ASU has not been material to the Company’s financial statements or disclosures.</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In March 2020, the FASB issued ASU 2020-04, </w:t>
      </w:r>
      <w:r>
        <w:rPr>
          <w:rFonts w:ascii="Times New Roman;sans-serif" w:hAnsi="Times New Roman;sans-serif"/>
          <w:b w:val="false"/>
          <w:i/>
          <w:color w:val="000000"/>
          <w:sz w:val="20"/>
          <w:shd w:fill="FFFFFF" w:val="clear"/>
        </w:rPr>
        <w:t xml:space="preserve">Reference Rate Reform (Topic 848). </w:t>
      </w:r>
      <w:r>
        <w:rPr>
          <w:rFonts w:ascii="Times New Roman;sans-serif" w:hAnsi="Times New Roman;sans-serif"/>
          <w:b w:val="false"/>
          <w:color w:val="000000"/>
          <w:sz w:val="20"/>
          <w:shd w:fill="FFFFFF" w:val="clear"/>
        </w:rPr>
        <w:t xml:space="preserve">This ASU provides temporary guidance to ease the potential burden in accounting for reference rate reform primarily resulting from the discontinuation of the London Inter-Bank Offered Rate (“LIBOR”), which began phasing out on December 31, 2021. The amendments in ASU 2020-04 are elective and apply to all entities that have contracts, hedging relationships, and other transactions that reference LIBOR or another reference rate expected to be discontinued. The new guidance (i) simplifies accounting analyses under current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The Company adopted the new standard in the second quarter of 2023 as the Company transitioned from LIBOR to the Secured Overnight Financing Rate (“SOFR”) for its debt agreements and related cash flow hedges. The Company elected certain expedients offered by Topic 848 and, as such, the impact from referenced rate reform did not have a material impact on the Company’s results of operations, cash flows or financial position.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Inventories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Inventories were as follows (in thousands):</w:t>
      </w:r>
    </w:p>
    <w:tbl>
      <w:tblPr>
        <w:tblW w:w="6955" w:type="dxa"/>
        <w:jc w:val="center"/>
        <w:tblInd w:w="0" w:type="dxa"/>
        <w:tblLayout w:type="fixed"/>
        <w:tblCellMar>
          <w:top w:w="28" w:type="dxa"/>
          <w:left w:w="28" w:type="dxa"/>
          <w:bottom w:w="28" w:type="dxa"/>
          <w:right w:w="28" w:type="dxa"/>
        </w:tblCellMar>
      </w:tblPr>
      <w:tblGrid>
        <w:gridCol w:w="1287"/>
        <w:gridCol w:w="1132"/>
        <w:gridCol w:w="1135"/>
        <w:gridCol w:w="293"/>
        <w:gridCol w:w="859"/>
        <w:gridCol w:w="153"/>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manufacturing supplies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11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inventories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As of September 30, 2023 and December 31,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no inventory valuation allowance was determined to be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On July 19, 2019, the Company entered into an agreement to purchase up to $30.0 million in convertible notes from Gold Rush Amusements, Inc. (“Gold Rush”), another terminal operator in Illinois, that bore interest at 3% per annum through December 31, 2021</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The convertible notes each included an option to convert the notes to common stock of Gold Rush prior to the maturity date upon written notice from the Company. At closing, the Company purchased a $5.0 million convertible promissory note which was subordinated to Gold Rush’s credit facility and matured six months following the satisfaction of administrative conditions. On October 11, 2019, the Company purchased an additional $25.0 million convertible note which was also subordinated to Gold Rush’s credit facility and, beginning </w:t>
      </w:r>
      <w:r>
        <w:rPr>
          <w:rFonts w:ascii="Times New Roman;sans-serif" w:hAnsi="Times New Roman;sans-serif"/>
          <w:b w:val="false"/>
          <w:color w:val="000000"/>
          <w:sz w:val="20"/>
        </w:rPr>
        <w:t>on July 1, 2020, the balance of this note, if not previously converted, was payable in equal $1,000,000 monthly installments until all principal has been repaid in full.</w:t>
      </w:r>
      <w:r>
        <w:rPr>
          <w:color w:val="000000"/>
          <w:shd w:fill="FFFFFF" w:val="clear"/>
        </w:rPr>
        <w:t xml:space="preserve">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On July 30, 2021, the Company provided notice to </w:t>
      </w:r>
      <w:r>
        <w:rPr>
          <w:rFonts w:ascii="Times New Roman;sans-serif" w:hAnsi="Times New Roman;sans-serif"/>
          <w:b w:val="false"/>
          <w:color w:val="000000"/>
          <w:sz w:val="20"/>
        </w:rPr>
        <w:t xml:space="preserve">Gold Rush </w:t>
      </w:r>
      <w:r>
        <w:rPr>
          <w:rFonts w:ascii="Times New Roman;sans-serif" w:hAnsi="Times New Roman;sans-serif"/>
          <w:b w:val="false"/>
          <w:color w:val="000000"/>
          <w:sz w:val="20"/>
          <w:shd w:fill="FFFFFF" w:val="clear"/>
        </w:rPr>
        <w:t xml:space="preserve">that it was exercising its rights under each of the convertible notes to convert the entire aggregate principal amount and accrued interest into common stock of </w:t>
      </w:r>
      <w:r>
        <w:rPr>
          <w:rFonts w:ascii="Times New Roman;sans-serif" w:hAnsi="Times New Roman;sans-serif"/>
          <w:b w:val="false"/>
          <w:color w:val="000000"/>
          <w:sz w:val="20"/>
        </w:rPr>
        <w:t>Gold Rush</w:t>
      </w:r>
      <w:r>
        <w:rPr>
          <w:rFonts w:ascii="Times New Roman;sans-serif" w:hAnsi="Times New Roman;sans-serif"/>
          <w:b w:val="false"/>
          <w:color w:val="000000"/>
          <w:sz w:val="20"/>
          <w:shd w:fill="FFFFFF" w:val="clear"/>
        </w:rPr>
        <w:t xml:space="preserve">, subject to approval from the Illinois Gaming Board (“IGB”) to transfer the common stock to the Company and receipt of other customary closing deliverables.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2, 2021, the Company received notice from the administrator of the IGB that he was denying the requested transfer of Gold Rush common stock to the Company and the IGB affirmed the administrator’s denial on January 27, 2022.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Based on the IGB denying the Company’s request to transfer Gold Rush common stock despite the Company’s unilateral conversion rights, the convertible notes were accounted for as available for sale debt securities, at fair value, with gains and losses recorded in other comprehensive income (loss). As such, the Gold Rush convertible notes were deemed in default for disclosure and presentation purposes, assuming non-conversion of the convertible notes, as no repayment or installment payments were received. The Company classified the entire $32.1 million accounting fair value of the convertible notes as current on the condensed consolidated balance sheets as of December 31, 2022 as the Company had expected to resolve this matter within the next year. </w:t>
      </w:r>
      <w:r>
        <w:rPr>
          <w:rFonts w:ascii="Times New Roman;sans-serif" w:hAnsi="Times New Roman;sans-serif"/>
          <w:b w:val="false"/>
          <w:color w:val="000000"/>
          <w:sz w:val="20"/>
        </w:rPr>
        <w:t>For more information on how the Company determined the fair value of the convertible notes, see Note 12.</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31, 2023, the Company and Gold Rush entered into a settlement agreement which resolved any and all lawsuits and all outstanding obligations under the convertible notes. As part of the settlement, the Company received $32.5 million from Gold Rush in June 2023, which included the repayment of the face value of the convertible notes plus accrued interest as well as a $0.4 million prepayment on future amounts due. In addition, the Company has recorded a receivable from Gold Rush of $1.3 million as of </w:t>
      </w:r>
      <w:r>
        <w:rPr>
          <w:rFonts w:ascii="Times New Roman;sans-serif" w:hAnsi="Times New Roman;sans-serif"/>
          <w:b w:val="false"/>
          <w:color w:val="000000"/>
          <w:sz w:val="20"/>
          <w:shd w:fill="FFFFFF" w:val="clear"/>
        </w:rPr>
        <w:t xml:space="preserve">September 30, 2023, </w:t>
      </w:r>
      <w:r>
        <w:rPr>
          <w:rFonts w:ascii="Times New Roman;sans-serif" w:hAnsi="Times New Roman;sans-serif"/>
          <w:b w:val="false"/>
          <w:color w:val="000000"/>
          <w:sz w:val="20"/>
        </w:rPr>
        <w:t xml:space="preserve">which represents the present value of the remaining $1.5 million due from Gold Rush by May 2025, and is presented within other assets in the condensed consolidated balance sheets. The Company also recorded a gain of $1.7 million in the second quarter of 2023, which is included in other expenses, net on the condensed consolidated statements of operations and comprehensive income for the nine months ended </w:t>
      </w:r>
      <w:r>
        <w:rPr>
          <w:rFonts w:ascii="Times New Roman;sans-serif" w:hAnsi="Times New Roman;sans-serif"/>
          <w:b w:val="false"/>
          <w:color w:val="000000"/>
          <w:sz w:val="20"/>
          <w:shd w:fill="FFFFFF" w:val="clear"/>
        </w:rPr>
        <w:t>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Property and Equipment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Property and equipment consist of the following as of</w:t>
      </w:r>
      <w:r>
        <w:rPr>
          <w:color w:val="000000"/>
        </w:rPr>
        <w:t xml:space="preserve">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and December 31, 2022</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714" w:type="dxa"/>
        <w:jc w:val="center"/>
        <w:tblInd w:w="0" w:type="dxa"/>
        <w:tblLayout w:type="fixed"/>
        <w:tblCellMar>
          <w:top w:w="28" w:type="dxa"/>
          <w:left w:w="28" w:type="dxa"/>
          <w:bottom w:w="28" w:type="dxa"/>
          <w:right w:w="28" w:type="dxa"/>
        </w:tblCellMar>
      </w:tblPr>
      <w:tblGrid>
        <w:gridCol w:w="1467"/>
        <w:gridCol w:w="1287"/>
        <w:gridCol w:w="1296"/>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and other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Depreciation and amortization of property and equipment was $9.4 million and $27.9 million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2023, respectively. In comparison, depreciation and amortization of property and equipment was $8.1 million and $20.6 million for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September 30,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enters into contracts with third parties and its gaming locations to install and operate gaming terminals. When gaming operations commence, payments are due monthly or quarterly. Gross payments due, based on the number of live locations, were approximately $7.4 million and $7.6 million as of September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 Payments are due over varying terms of the individual agreements and are discounted at the Company’s incremental borrowing rate associated with its long-term debt at the time the contract is acquired. The net present value of payments due was $6.4 million and $6.6 million as of September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 of which approximately $1.5 million was included in current liabilities in the accompanying condensed consolidated balance sheets as of both September 30, 2023,</w:t>
      </w:r>
      <w:r>
        <w:rPr>
          <w:color w:val="000000"/>
        </w:rPr>
        <w:t xml:space="preserve"> </w:t>
      </w:r>
      <w:r>
        <w:rPr>
          <w:rFonts w:ascii="Times New Roman;sans-serif" w:hAnsi="Times New Roman;sans-serif"/>
          <w:b w:val="false"/>
          <w:color w:val="000000"/>
          <w:sz w:val="20"/>
          <w:shd w:fill="FFFFFF" w:val="clear"/>
        </w:rPr>
        <w:t>and December 31, 2022. The route and customer acquisition cost asset was comprised of payments made on the contracts of $19.5 million and $17.9 million as of September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 The Company has upfront payments of commissions paid to the third parties for the acquisition of the customer contracts that are subject to a clawback provision if the customer cancels the contract prior to completion. The payments subject to a clawback were $1.0 million and $1.2 million as of September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Route and customer acquisition costs consisted of the following as of September 30, 2023 and December 31, 2022 (in thousands):</w:t>
      </w:r>
    </w:p>
    <w:tbl>
      <w:tblPr>
        <w:tblW w:w="6100" w:type="dxa"/>
        <w:jc w:val="center"/>
        <w:tblInd w:w="0" w:type="dxa"/>
        <w:tblLayout w:type="fixed"/>
        <w:tblCellMar>
          <w:top w:w="28" w:type="dxa"/>
          <w:left w:w="28" w:type="dxa"/>
          <w:bottom w:w="28" w:type="dxa"/>
          <w:right w:w="28" w:type="dxa"/>
        </w:tblCellMar>
      </w:tblPr>
      <w:tblGrid>
        <w:gridCol w:w="1260"/>
        <w:gridCol w:w="1111"/>
        <w:gridCol w:w="1123"/>
        <w:gridCol w:w="231"/>
        <w:gridCol w:w="790"/>
        <w:gridCol w:w="119"/>
        <w:gridCol w:w="109"/>
        <w:gridCol w:w="109"/>
        <w:gridCol w:w="109"/>
        <w:gridCol w:w="221"/>
        <w:gridCol w:w="757"/>
        <w:gridCol w:w="161"/>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Route and customer acquisition costs,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rPr>
        <w:t xml:space="preserve">Amortization expense of route and customer acquisition costs was $0.4 million and $1.2 million for the three and nine months ended </w:t>
      </w:r>
      <w:r>
        <w:rPr>
          <w:rFonts w:ascii="Times New Roman;sans-serif" w:hAnsi="Times New Roman;sans-serif"/>
          <w:b w:val="false"/>
          <w:color w:val="000000"/>
          <w:sz w:val="20"/>
          <w:shd w:fill="FFFFFF" w:val="clear"/>
        </w:rPr>
        <w:t>September 30, 2023, respectively. In comparison, a</w:t>
      </w:r>
      <w:r>
        <w:rPr>
          <w:rFonts w:ascii="Times New Roman;sans-serif" w:hAnsi="Times New Roman;sans-serif"/>
          <w:b w:val="false"/>
          <w:color w:val="000000"/>
          <w:sz w:val="20"/>
        </w:rPr>
        <w:t>mortization expense of route and customer acquisition costs</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$0.3 million and $0.9 million for the three and nine months ended September 30, 2022</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 assets acquired in business acquisitions are recorded at acquisition at fair value based on an income approach. Location contracts acquired consisted of the following as of September 30, 2023 and December 31, 2022 (in thousands):</w:t>
      </w:r>
    </w:p>
    <w:tbl>
      <w:tblPr>
        <w:tblW w:w="5393" w:type="dxa"/>
        <w:jc w:val="center"/>
        <w:tblInd w:w="0" w:type="dxa"/>
        <w:tblLayout w:type="fixed"/>
        <w:tblCellMar>
          <w:top w:w="28" w:type="dxa"/>
          <w:left w:w="28" w:type="dxa"/>
          <w:bottom w:w="28" w:type="dxa"/>
          <w:right w:w="28" w:type="dxa"/>
        </w:tblCellMar>
      </w:tblPr>
      <w:tblGrid>
        <w:gridCol w:w="984"/>
        <w:gridCol w:w="868"/>
        <w:gridCol w:w="87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Amortization expense of location contracts acquired was </w:t>
      </w:r>
      <w:r>
        <w:rPr>
          <w:rFonts w:ascii="Times New Roman;sans-serif" w:hAnsi="Times New Roman;sans-serif"/>
          <w:b w:val="false"/>
          <w:color w:val="000000"/>
          <w:sz w:val="20"/>
        </w:rPr>
        <w:t xml:space="preserve">$4.3 million and $12.8 million for the </w:t>
      </w:r>
      <w:r>
        <w:rPr>
          <w:rFonts w:ascii="Times New Roman;sans-serif" w:hAnsi="Times New Roman;sans-serif"/>
          <w:b w:val="false"/>
          <w:color w:val="000000"/>
          <w:sz w:val="20"/>
          <w:shd w:fill="FFFFFF" w:val="clear"/>
        </w:rPr>
        <w:t>three and nine</w:t>
      </w:r>
      <w:r>
        <w:rPr>
          <w:color w:val="000000"/>
        </w:rPr>
        <w:t xml:space="preserve"> </w:t>
      </w:r>
      <w:r>
        <w:rPr>
          <w:rFonts w:ascii="Times New Roman;sans-serif" w:hAnsi="Times New Roman;sans-serif"/>
          <w:b w:val="false"/>
          <w:color w:val="000000"/>
          <w:sz w:val="20"/>
        </w:rPr>
        <w:t>months ended September 30, 2023</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In comparison, amortization expense of location contracts acquired was </w:t>
      </w:r>
      <w:r>
        <w:rPr>
          <w:rFonts w:ascii="Times New Roman;sans-serif" w:hAnsi="Times New Roman;sans-serif"/>
          <w:b w:val="false"/>
          <w:color w:val="000000"/>
          <w:sz w:val="20"/>
        </w:rPr>
        <w:t>$4.0 million</w:t>
      </w:r>
      <w:r>
        <w:rPr>
          <w:color w:val="000000"/>
          <w:shd w:fill="FFFFFF" w:val="clear"/>
        </w:rPr>
        <w:t xml:space="preserve"> </w:t>
      </w:r>
      <w:r>
        <w:rPr>
          <w:rFonts w:ascii="Times New Roman;sans-serif" w:hAnsi="Times New Roman;sans-serif"/>
          <w:b w:val="false"/>
          <w:color w:val="000000"/>
          <w:sz w:val="20"/>
        </w:rPr>
        <w:t xml:space="preserve">and $10.6 million for the </w:t>
      </w:r>
      <w:r>
        <w:rPr>
          <w:rFonts w:ascii="Times New Roman;sans-serif" w:hAnsi="Times New Roman;sans-serif"/>
          <w:b w:val="false"/>
          <w:color w:val="000000"/>
          <w:sz w:val="20"/>
          <w:shd w:fill="FFFFFF" w:val="clear"/>
        </w:rPr>
        <w:t>three and nine</w:t>
      </w:r>
      <w:r>
        <w:rPr>
          <w:color w:val="000000"/>
        </w:rPr>
        <w:t xml:space="preserve"> </w:t>
      </w:r>
      <w:r>
        <w:rPr>
          <w:rFonts w:ascii="Times New Roman;sans-serif" w:hAnsi="Times New Roman;sans-serif"/>
          <w:b w:val="false"/>
          <w:color w:val="000000"/>
          <w:sz w:val="20"/>
        </w:rPr>
        <w:t>months ended September 30, 2022</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acquired various companies which were accounted for as a business combination using the acquisition method of accounting in accordance with </w:t>
      </w:r>
      <w:r>
        <w:rPr>
          <w:rFonts w:ascii="Times New Roman;sans-serif" w:hAnsi="Times New Roman;sans-serif"/>
          <w:b w:val="false"/>
          <w:color w:val="000000"/>
          <w:sz w:val="20"/>
          <w:shd w:fill="FFFFFF" w:val="clear"/>
        </w:rPr>
        <w:t>ASC Topic 805, </w:t>
      </w:r>
      <w:r>
        <w:rPr>
          <w:rFonts w:ascii="Times New Roman;sans-serif" w:hAnsi="Times New Roman;sans-serif"/>
          <w:b w:val="false"/>
          <w:i/>
          <w:color w:val="000000"/>
          <w:sz w:val="20"/>
          <w:shd w:fill="FFFFFF" w:val="clear"/>
        </w:rPr>
        <w:t xml:space="preserve">Business Combinations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shd w:fill="FFFFFF" w:val="clear"/>
        </w:rPr>
        <w:t>Topic 805</w:t>
      </w:r>
      <w:r>
        <w:rPr>
          <w:color w:val="000000"/>
        </w:rPr>
        <w:t>”</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The total excess of the purchase price over the tangible and intangible assets acquired and liabilities assumed was recorded as goodwill of $101.6 million and $100.7 million as of September 30, 2023, and </w:t>
      </w:r>
      <w:r>
        <w:rPr>
          <w:rFonts w:ascii="Times New Roman;sans-serif" w:hAnsi="Times New Roman;sans-serif"/>
          <w:b w:val="false"/>
          <w:color w:val="000000"/>
          <w:sz w:val="20"/>
          <w:shd w:fill="FFFFFF" w:val="clear"/>
        </w:rPr>
        <w:t>December 31, 2022, respectively,</w:t>
      </w:r>
      <w:r>
        <w:rPr>
          <w:color w:val="000000"/>
        </w:rPr>
        <w:t xml:space="preserve"> </w:t>
      </w:r>
      <w:r>
        <w:rPr>
          <w:rFonts w:ascii="Times New Roman;sans-serif" w:hAnsi="Times New Roman;sans-serif"/>
          <w:b w:val="false"/>
          <w:color w:val="000000"/>
          <w:sz w:val="20"/>
        </w:rPr>
        <w:t>of which $39.8 million was deductible for tax purposes as of September 30, 2023.</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On February 13, 2023, the Company acquired Rendezvous Casino and Burger Bar (</w:t>
      </w:r>
      <w:r>
        <w:rPr>
          <w:color w:val="000000"/>
          <w:shd w:fill="FFFFFF" w:val="clear"/>
        </w:rPr>
        <w:t>“</w:t>
      </w:r>
      <w:r>
        <w:rPr>
          <w:rFonts w:ascii="Times New Roman;sans-serif" w:hAnsi="Times New Roman;sans-serif"/>
          <w:b w:val="false"/>
          <w:color w:val="000000"/>
          <w:sz w:val="20"/>
          <w:shd w:fill="FFFFFF" w:val="clear"/>
        </w:rPr>
        <w:t>Rendezvous”</w:t>
      </w:r>
      <w:r>
        <w:rPr>
          <w:rFonts w:ascii="Times New Roman;sans-serif" w:hAnsi="Times New Roman;sans-serif"/>
          <w:b w:val="false"/>
          <w:color w:val="000000"/>
          <w:sz w:val="20"/>
        </w:rPr>
        <w:t>), a hospitality operation in Billings, Montana, for a total purchase price of $2.6 million. The purchase price included the cost of the land, building and the related Montana All-Alcoholic Beverage License. The hospitality operation is set to be a Century vended location.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Company's goodwill (in thousands):</w:t>
      </w:r>
    </w:p>
    <w:tbl>
      <w:tblPr>
        <w:tblW w:w="5525" w:type="dxa"/>
        <w:jc w:val="center"/>
        <w:tblInd w:w="0" w:type="dxa"/>
        <w:tblLayout w:type="fixed"/>
        <w:tblCellMar>
          <w:top w:w="28" w:type="dxa"/>
          <w:left w:w="28" w:type="dxa"/>
          <w:bottom w:w="28" w:type="dxa"/>
          <w:right w:w="28" w:type="dxa"/>
        </w:tblCellMar>
      </w:tblPr>
      <w:tblGrid>
        <w:gridCol w:w="1570"/>
        <w:gridCol w:w="1379"/>
        <w:gridCol w:w="1385"/>
        <w:gridCol w:w="211"/>
        <w:gridCol w:w="826"/>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goodwill for acquisition of Rendezvous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Other intangible assets, net of $21.2 million and $23.0 million as of September 30, 2023 and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respectively, consisted of definite-lived trade names, customer relationships, and software applications. Other intangible assets are related to the acquisition of Century which occurred in the second quarter of 2022. The Company determines the fair value of trade name assets acquired in acquisitions using a relief from royalty valuation method which requires assumptions such as projected revenue and a royalty rate. Other intangible assets are amortized over their estimated 7 to 20-year useful lives. </w:t>
      </w:r>
      <w:r>
        <w:rPr>
          <w:rFonts w:ascii="Times New Roman;sans-serif" w:hAnsi="Times New Roman;sans-serif"/>
          <w:b w:val="false"/>
          <w:color w:val="000000"/>
          <w:sz w:val="20"/>
          <w:shd w:fill="FFFFFF" w:val="clear"/>
        </w:rPr>
        <w:t xml:space="preserve">Amortization expense of other intangible assets was </w:t>
      </w:r>
      <w:r>
        <w:rPr>
          <w:rFonts w:ascii="Times New Roman;sans-serif" w:hAnsi="Times New Roman;sans-serif"/>
          <w:b w:val="false"/>
          <w:color w:val="000000"/>
          <w:sz w:val="20"/>
        </w:rPr>
        <w:t xml:space="preserve">$0.6 million and $1.8 million for the </w:t>
      </w:r>
      <w:r>
        <w:rPr>
          <w:rFonts w:ascii="Times New Roman;sans-serif" w:hAnsi="Times New Roman;sans-serif"/>
          <w:b w:val="false"/>
          <w:color w:val="000000"/>
          <w:sz w:val="20"/>
          <w:shd w:fill="FFFFFF" w:val="clear"/>
        </w:rPr>
        <w:t>three and nine</w:t>
      </w:r>
      <w:r>
        <w:rPr>
          <w:color w:val="000000"/>
        </w:rPr>
        <w:t xml:space="preserve"> </w:t>
      </w:r>
      <w:r>
        <w:rPr>
          <w:rFonts w:ascii="Times New Roman;sans-serif" w:hAnsi="Times New Roman;sans-serif"/>
          <w:b w:val="false"/>
          <w:color w:val="000000"/>
          <w:sz w:val="20"/>
        </w:rPr>
        <w:t>months ended September 30, 2023</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In comparison, amortization expense of other intangible assets was </w:t>
      </w:r>
      <w:r>
        <w:rPr>
          <w:rFonts w:ascii="Times New Roman;sans-serif" w:hAnsi="Times New Roman;sans-serif"/>
          <w:b w:val="false"/>
          <w:color w:val="000000"/>
          <w:sz w:val="20"/>
        </w:rPr>
        <w:t>$0.8 million</w:t>
      </w:r>
      <w:r>
        <w:rPr>
          <w:color w:val="000000"/>
          <w:shd w:fill="FFFFFF" w:val="clear"/>
        </w:rPr>
        <w:t xml:space="preserve"> </w:t>
      </w:r>
      <w:r>
        <w:rPr>
          <w:rFonts w:ascii="Times New Roman;sans-serif" w:hAnsi="Times New Roman;sans-serif"/>
          <w:b w:val="false"/>
          <w:color w:val="000000"/>
          <w:sz w:val="20"/>
        </w:rPr>
        <w:t xml:space="preserve">for both the </w:t>
      </w:r>
      <w:r>
        <w:rPr>
          <w:rFonts w:ascii="Times New Roman;sans-serif" w:hAnsi="Times New Roman;sans-serif"/>
          <w:b w:val="false"/>
          <w:color w:val="000000"/>
          <w:sz w:val="20"/>
          <w:shd w:fill="FFFFFF" w:val="clear"/>
        </w:rPr>
        <w:t>three and nine</w:t>
      </w:r>
      <w:r>
        <w:rPr>
          <w:color w:val="000000"/>
        </w:rPr>
        <w:t xml:space="preserve"> </w:t>
      </w:r>
      <w:r>
        <w:rPr>
          <w:rFonts w:ascii="Times New Roman;sans-serif" w:hAnsi="Times New Roman;sans-serif"/>
          <w:b w:val="false"/>
          <w:color w:val="000000"/>
          <w:sz w:val="20"/>
        </w:rPr>
        <w:t xml:space="preserve">months ended September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Debt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as of September 30, 2023, and December 31, 2022, consisted of the following (in thousands):</w:t>
      </w:r>
    </w:p>
    <w:tbl>
      <w:tblPr>
        <w:tblW w:w="5822" w:type="dxa"/>
        <w:jc w:val="center"/>
        <w:tblInd w:w="0" w:type="dxa"/>
        <w:tblLayout w:type="fixed"/>
        <w:tblCellMar>
          <w:top w:w="28" w:type="dxa"/>
          <w:left w:w="28" w:type="dxa"/>
          <w:bottom w:w="28" w:type="dxa"/>
          <w:right w:w="28" w:type="dxa"/>
        </w:tblCellMar>
      </w:tblPr>
      <w:tblGrid>
        <w:gridCol w:w="1123"/>
        <w:gridCol w:w="989"/>
        <w:gridCol w:w="992"/>
        <w:gridCol w:w="221"/>
        <w:gridCol w:w="865"/>
        <w:gridCol w:w="114"/>
        <w:gridCol w:w="109"/>
        <w:gridCol w:w="109"/>
        <w:gridCol w:w="109"/>
        <w:gridCol w:w="211"/>
        <w:gridCol w:w="82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on credit facility</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rate caplet liability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debt issuance costs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484,004 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23, 2023, in order to extend the termination date to draw on the delayed draw term loan under the Company’s existing credit agreement (as amended, the “Credit Agreement”) to October 22, 2024, the Company and the other parties thereto entered into Amendment No. 4 to the Credit Agreement (“Amendment No. 4”). The other terms of the Credit Agreement remained unchanged. The Company incurred $0.3 million in debt issuance costs related to Amendment No. 4, which are being amortized over the remaining life of the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7, 2023, in order to replace the referenced LIBOR interest rate in the Company’s Credit Agreement with SOFR, the Company and the other parties thereto entered into Amendment No. 3 to the Credit Agreement (“Amendment No. 3”). Under Amendment No. 3, borrowings under the Credit Agreement beginning on June 14, 2023 will bear interest, at the Company’s option, at a rate per annum equal to either (a) the Adjusted Term SOFR (which cannot be less than 0.5%) for interest periods of 1, 2, 3 or 6 months (or if consented to by (i) each applicable lender, 12 months or any period shorter than 1 month or (ii) the administrative agent, a shorter period necessary to ensure that the end of the relevant interest period would coincide with any required amortization payment)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or (iii) SOFR for a 1-month interest period on such day plus 1.0%. As of September 30, 2023, the weighted-average interest rate was approximately 7.2%.</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is payable quarterly in arrears for ABR loans, at the end of the applicable interest period for SOFR loans (but not less frequently than quarterly) and upon the prepayment or maturity of the underlying loans. The Company is required to pay a commitment fee quarterly in arrears in respect of unused commitments under the revolving credit facility and the delayed draw term loan facility.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SOFR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SOFR (50 bps floor) plus a margin up to 2.75%, at the option of the Company.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loans and the additional term loans will amortize at an annual rate equal to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SOFR “breakage”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manages its exposure to some of its interest rate risk through the use of interest rate caplets, which are derivative financial instruments. On January 12, 2022, the Company hedged the variability of the cash flows attributable to changes in interest rates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In connection with the entry into Amendment No. 3, the referenced rate in the caplets was simultaneously changed from LIBOR to SOFR.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recognized an </w:t>
      </w:r>
      <w:r>
        <w:rPr>
          <w:rFonts w:ascii="Times New Roman;sans-serif" w:hAnsi="Times New Roman;sans-serif"/>
          <w:b w:val="false"/>
          <w:color w:val="000000"/>
          <w:sz w:val="20"/>
        </w:rPr>
        <w:t>unrealized gain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$0.1 million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nd an unrealized loss </w:t>
      </w:r>
      <w:r>
        <w:rPr>
          <w:rFonts w:ascii="Times New Roman;sans-serif" w:hAnsi="Times New Roman;sans-serif"/>
          <w:b w:val="false"/>
          <w:color w:val="000000"/>
          <w:sz w:val="20"/>
          <w:shd w:fill="FFFFFF" w:val="clear"/>
        </w:rPr>
        <w:t xml:space="preserve">of less than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net of taxes,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2023, respectively. In comparison, the Company recognized an unrealized gain on the change in fair value of the caplets of $5.9 million and $12.7 million, net of taxes,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2022, respectively. For more information on how the Company determines the fair value of the caplets, see </w:t>
      </w:r>
      <w:r>
        <w:rPr>
          <w:rFonts w:ascii="Times New Roman;sans-serif" w:hAnsi="Times New Roman;sans-serif"/>
          <w:b w:val="false"/>
          <w:color w:val="000000"/>
          <w:sz w:val="20"/>
        </w:rPr>
        <w:t>Note 12. Fu</w:t>
      </w:r>
      <w:r>
        <w:rPr>
          <w:rFonts w:ascii="Times New Roman;sans-serif" w:hAnsi="Times New Roman;sans-serif"/>
          <w:b w:val="false"/>
          <w:color w:val="000000"/>
          <w:sz w:val="20"/>
          <w:shd w:fill="FFFFFF" w:val="clear"/>
        </w:rPr>
        <w:t xml:space="preserve">rther, the 1-month LIBOR/SOFR interest rate exceeded 2% beginning in the second half of 2022. As such, the Company recognized interest income on the caplets of $2.5 million and $6.7 million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2023, respectively, and $0.2 million </w:t>
      </w:r>
      <w:r>
        <w:rPr>
          <w:rFonts w:ascii="Times New Roman;sans-serif" w:hAnsi="Times New Roman;sans-serif"/>
          <w:b w:val="false"/>
          <w:color w:val="000000"/>
          <w:sz w:val="20"/>
        </w:rPr>
        <w:t xml:space="preserve">for both the three and nine months ended </w:t>
      </w:r>
      <w:r>
        <w:rPr>
          <w:rFonts w:ascii="Times New Roman;sans-serif" w:hAnsi="Times New Roman;sans-serif"/>
          <w:b w:val="false"/>
          <w:color w:val="000000"/>
          <w:sz w:val="20"/>
          <w:shd w:fill="FFFFFF" w:val="clear"/>
        </w:rPr>
        <w:t xml:space="preserve">September 30, 2022, which are reflected in interest expense, net </w:t>
      </w:r>
      <w:r>
        <w:rPr>
          <w:rFonts w:ascii="Times New Roman;sans-serif" w:hAnsi="Times New Roman;sans-serif"/>
          <w:b w:val="false"/>
          <w:color w:val="000000"/>
          <w:sz w:val="20"/>
        </w:rPr>
        <w:t xml:space="preserve">in the condensed consolidated statements of operations and other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Business and Asset Acquisitions</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2023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23, 2023, the Company acquired certain assets of Illinois Gaming Entertainment LLC (“IGE”), an Illinois-based terminal operator. The Company acquired four operational locations,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$1.5 million, which the Company paid in cash at closing. The total purchase price of $1.5 million was allocated to the following assets: i) location contracts totaling $1.1 million and ii) gaming equipment totaling $0.4 million. The results of operations for IGE are included in the condensed consolidated financial statements of the Company from the date of acquisition and were not material.</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2023, the Company acquired an additional three operational locations, as well as gaming equipment, from IGE for a total purchase price of $2.3 million.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Rendezvous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13, 2023, the Company acquired Rendezvous, a hospitality operation in Billings, Montana. The hospitality operation is set to be a Century vended location. </w:t>
      </w: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Topic 805. </w:t>
      </w:r>
      <w:r>
        <w:rPr>
          <w:rFonts w:ascii="Times New Roman;sans-serif" w:hAnsi="Times New Roman;sans-serif"/>
          <w:b w:val="false"/>
          <w:color w:val="000000"/>
          <w:sz w:val="20"/>
        </w:rPr>
        <w:t xml:space="preserve">The total purchase price of $2.6 million was paid in cash at closing and was allocated to the following assets: i) indefinite-lived intangible assets totaling $0.8 million; ii) land totaling $0.5 million; iii) buildings totaling $0.4 million; iv) gaming equipment totaling $0.1 million, and v) goodwill totaling $0.8 million. </w:t>
      </w:r>
      <w:r>
        <w:rPr>
          <w:rFonts w:ascii="Times New Roman;sans-serif" w:hAnsi="Times New Roman;sans-serif"/>
          <w:b w:val="false"/>
          <w:color w:val="000000"/>
          <w:sz w:val="20"/>
          <w:shd w:fill="FFFFFF" w:val="clear"/>
        </w:rPr>
        <w:t xml:space="preserve">The results of operations for Rendezvous are included in the condensed consolidated financial statements of the Company from the date of acquisition and were not material.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Pending Business Acquisition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April 11, 2023, the Company entered into an agreement to acquire a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with an option to acquire a second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In connection therewith, the Company has paid $4.6 million during the nine months ended September 30, 2023 as an advance against a portion of the purchase price and is recorded within other assets on the </w:t>
      </w:r>
      <w:r>
        <w:rPr>
          <w:rFonts w:ascii="Times New Roman;sans-serif" w:hAnsi="Times New Roman;sans-serif"/>
          <w:b w:val="false"/>
          <w:color w:val="000000"/>
          <w:sz w:val="20"/>
          <w:shd w:fill="FFFFFF" w:val="clear"/>
        </w:rPr>
        <w:t>condensed consolidated balance sheets.</w:t>
      </w:r>
      <w:r>
        <w:rPr>
          <w:color w:val="000000"/>
        </w:rPr>
        <w:t xml:space="preserve"> </w:t>
      </w:r>
      <w:r>
        <w:rPr>
          <w:rFonts w:ascii="Times New Roman;sans-serif" w:hAnsi="Times New Roman;sans-serif"/>
          <w:b w:val="false"/>
          <w:color w:val="000000"/>
          <w:sz w:val="20"/>
        </w:rPr>
        <w:t xml:space="preserve">Furthermore, on August 10, 2023, the Company loaned the distributed gaming operator $0.3 million. In October, 2023, the Company paid an additional advance of $0.5 million against a portion of the purchase price in consideration for the acquisition of additional assets, as contemplated by the terms of the agreement. </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Progressive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15, 2022, Century, the Company’s wholly owned subsidiary, acquired from DEP, Inc.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rPr>
        <w:t>Progressive”</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a gaming operator in Montana, certain gaming assets and locations. The acquisition of Progressive added 26 Montana gaming locations and approximately 300 gaming terminals to the Century portfolio. The total purchase price was $6.4 million, which Century paid in cash at closing. </w:t>
      </w: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Topic 805. The purchase price was allocated to the following assets: i) gaming terminals and amusement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 location contracts totaling </w:t>
      </w:r>
      <w:r>
        <w:rPr>
          <w:rFonts w:ascii="Times New Roman;sans-serif" w:hAnsi="Times New Roman;sans-serif"/>
          <w:b w:val="false"/>
          <w:color w:val="000000"/>
          <w:sz w:val="20"/>
        </w:rPr>
        <w:t>$4.3 million</w:t>
      </w:r>
      <w:r>
        <w:rPr>
          <w:rFonts w:ascii="Times New Roman;sans-serif" w:hAnsi="Times New Roman;sans-serif"/>
          <w:b w:val="false"/>
          <w:color w:val="000000"/>
          <w:sz w:val="20"/>
          <w:shd w:fill="FFFFFF" w:val="clear"/>
        </w:rPr>
        <w:t xml:space="preserve">; and iii) goodwill totaling </w:t>
      </w:r>
      <w:r>
        <w:rPr>
          <w:rFonts w:ascii="Times New Roman;sans-serif" w:hAnsi="Times New Roman;sans-serif"/>
          <w:b w:val="false"/>
          <w:color w:val="000000"/>
          <w:sz w:val="20"/>
        </w:rPr>
        <w:t>$1.2 million</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River City</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September 9, 2022, the Company acquired from River City Amusement Company (“River City”) all of its operating assets in Nebraska, Iowa and South Dakota. River City's operations in these states consist of the ownership and operation of MAD and amusement equipment, as well as ATMs in the approximately 120 locations it serves. The total purchase price was approximately $2.8 million, which the Company paid in cash at closing. The acquisition </w:t>
      </w:r>
      <w:r>
        <w:rPr>
          <w:rFonts w:ascii="Times New Roman;sans-serif" w:hAnsi="Times New Roman;sans-serif"/>
          <w:b w:val="false"/>
          <w:color w:val="000000"/>
          <w:sz w:val="20"/>
          <w:shd w:fill="FFFFFF" w:val="clear"/>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shd w:fill="FFFFFF" w:val="clear"/>
        </w:rPr>
        <w:t xml:space="preserve">The purchase price was allocated to the following assets: i) gaming terminals and equipment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ii) amusement and other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iii) location contracts totaling </w:t>
      </w:r>
      <w:r>
        <w:rPr>
          <w:rFonts w:ascii="Times New Roman;sans-serif" w:hAnsi="Times New Roman;sans-serif"/>
          <w:b w:val="false"/>
          <w:color w:val="000000"/>
          <w:sz w:val="20"/>
        </w:rPr>
        <w:t>$1.7 million</w:t>
      </w:r>
      <w:r>
        <w:rPr>
          <w:rFonts w:ascii="Times New Roman;sans-serif" w:hAnsi="Times New Roman;sans-serif"/>
          <w:b w:val="false"/>
          <w:color w:val="000000"/>
          <w:sz w:val="20"/>
          <w:shd w:fill="FFFFFF" w:val="clear"/>
        </w:rPr>
        <w:t xml:space="preserve">; and iv) cash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VVS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August 1, 2022, the Company acquired from VVS, Inc. (“VVS”), a licensed distributor of MADs in Nebraska, substantially all of its MAD and ATM assets. The acquisition of VVS added approximately 250 locations in the greater Lincoln area. The total purchase price was approximately $12.0 million, of which the Company paid approximately $9.5 million in cash at closing. The remaining $2.5 million of contingent consideration was paid in cash in the third quarter of 2023 as the net revenue targets outlined in the purchase agreement were achieved. The acquisition </w:t>
      </w:r>
      <w:r>
        <w:rPr>
          <w:rFonts w:ascii="Times New Roman;sans-serif" w:hAnsi="Times New Roman;sans-serif"/>
          <w:b w:val="false"/>
          <w:color w:val="000000"/>
          <w:sz w:val="20"/>
          <w:shd w:fill="FFFFFF" w:val="clear"/>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shd w:fill="FFFFFF" w:val="clear"/>
        </w:rPr>
        <w:t xml:space="preserve">The purchase price was allocated to the following assets: i) gaming terminals and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 amusement and other equipment totaling </w:t>
      </w:r>
      <w:r>
        <w:rPr>
          <w:rFonts w:ascii="Times New Roman;sans-serif" w:hAnsi="Times New Roman;sans-serif"/>
          <w:b w:val="false"/>
          <w:color w:val="000000"/>
          <w:sz w:val="20"/>
        </w:rPr>
        <w:t>$3.9 million</w:t>
      </w:r>
      <w:r>
        <w:rPr>
          <w:rFonts w:ascii="Times New Roman;sans-serif" w:hAnsi="Times New Roman;sans-serif"/>
          <w:b w:val="false"/>
          <w:color w:val="000000"/>
          <w:sz w:val="20"/>
          <w:shd w:fill="FFFFFF" w:val="clear"/>
        </w:rPr>
        <w:t xml:space="preserve">; and iii) location contracts totaling </w:t>
      </w:r>
      <w:r>
        <w:rPr>
          <w:rFonts w:ascii="Times New Roman;sans-serif" w:hAnsi="Times New Roman;sans-serif"/>
          <w:b w:val="false"/>
          <w:color w:val="000000"/>
          <w:sz w:val="20"/>
        </w:rPr>
        <w:t>$7.2 million</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Century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the Company completed its previously announced acquisition of all of the outstanding equity interests of Century Gaming, Inc.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 of $5.6 million on the acquisition date. The cash payments were financed using cash from a draw of approximately $160 million from the Company’s revolving credit facility and delayed draw term loan facility under the Credit Agreement.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acquisition was accounted for as a business combination using the acquisition method of accounting in accordance with ASC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valuation of location contracts, inventory, property and equipment, and final adjustments to working capital. The excess of the purchase price over the tangible and intangible assets acquired and liabilities assumed of $53.4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operates as a single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fair value of consideration transferred and the fair values of the assets acquired and liabilities assumed at the date of acquisition (in thousands):</w:t>
      </w:r>
    </w:p>
    <w:tbl>
      <w:tblPr>
        <w:tblW w:w="5031" w:type="dxa"/>
        <w:jc w:val="center"/>
        <w:tblInd w:w="0" w:type="dxa"/>
        <w:tblLayout w:type="fixed"/>
        <w:tblCellMar>
          <w:top w:w="28" w:type="dxa"/>
          <w:left w:w="28" w:type="dxa"/>
          <w:bottom w:w="28" w:type="dxa"/>
          <w:right w:w="28" w:type="dxa"/>
        </w:tblCellMar>
      </w:tblPr>
      <w:tblGrid>
        <w:gridCol w:w="1388"/>
        <w:gridCol w:w="1217"/>
        <w:gridCol w:w="1235"/>
        <w:gridCol w:w="211"/>
        <w:gridCol w:w="826"/>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results of operations for Century are included in the condensed consolidated financial statements of the Company from the date of acquisition. </w:t>
      </w:r>
    </w:p>
    <w:p>
      <w:pPr>
        <w:pStyle w:val="TextBody"/>
        <w:bidi w:val="0"/>
        <w:spacing w:lineRule="auto" w:line="345" w:before="24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condensed consolidated balance sheets as of September 30, 2023 and December 31, 2022. The contingent consideration accrued is measured at fair value on a recurring basis. The Company presents on its statement of cash flows, payments for consideration payable within 90-days in investing activities, payments after 90-days and up to the acquisition date fair value in financing activities, and payments in excess of the acquisition date fair value in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and long-term portions of consideration payable consist of the following as of September 30, 2023 and December 31, 2022 (in thousands):</w:t>
      </w:r>
    </w:p>
    <w:tbl>
      <w:tblPr>
        <w:tblW w:w="6860" w:type="dxa"/>
        <w:jc w:val="center"/>
        <w:tblInd w:w="0" w:type="dxa"/>
        <w:tblLayout w:type="fixed"/>
        <w:tblCellMar>
          <w:top w:w="28" w:type="dxa"/>
          <w:left w:w="28" w:type="dxa"/>
          <w:bottom w:w="28" w:type="dxa"/>
          <w:right w:w="28" w:type="dxa"/>
        </w:tblCellMar>
      </w:tblPr>
      <w:tblGrid>
        <w:gridCol w:w="640"/>
        <w:gridCol w:w="562"/>
        <w:gridCol w:w="568"/>
        <w:gridCol w:w="211"/>
        <w:gridCol w:w="616"/>
        <w:gridCol w:w="109"/>
        <w:gridCol w:w="109"/>
        <w:gridCol w:w="109"/>
        <w:gridCol w:w="109"/>
        <w:gridCol w:w="247"/>
        <w:gridCol w:w="721"/>
        <w:gridCol w:w="128"/>
        <w:gridCol w:w="109"/>
        <w:gridCol w:w="109"/>
        <w:gridCol w:w="109"/>
        <w:gridCol w:w="211"/>
        <w:gridCol w:w="616"/>
        <w:gridCol w:w="109"/>
        <w:gridCol w:w="109"/>
        <w:gridCol w:w="109"/>
        <w:gridCol w:w="109"/>
        <w:gridCol w:w="245"/>
        <w:gridCol w:w="716"/>
        <w:gridCol w:w="180"/>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TAV</w:t>
            </w:r>
            <w:r>
              <w:rPr>
                <w:rFonts w:ascii="Times New Roman;sans-serif" w:hAnsi="Times New Roman;sans-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Fair Share Gaming</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Family Amusement</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Skyhigh</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G3</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VVS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Tom's Amusements</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Island</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Acquisitions that occurred prior to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either on the Company achieving certain last twelve month EBITDA (“LTM EBITDA”) thresholds in certain periods or the closing sale price of Class A-1 Common Stock exceeding certain prices over certain trading periods. </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market condition for the settlement of Tranche I was satisfied. As a result, 1,666,636 shares of the 1,666,666 shares of Class A-2 Common Stock were converted into Class A-1 Common Stock.</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thresholds, as approved by a disinterested committee of the Company's board of directors made up of independent directors who do not hold any Class A-2 Common Stock,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III, equal to 1,666,667 shares of Class A-2 Common Stock, will be exchanged for Class A-1 Common Stock if either (i) the LTM EBITDA threshold (A) as of December 31, 2023 is $198.5 million and (B) March 31, 2024 or June 30, 2024 is $198.6 million or (ii) the closing sale price of Class A-1 Common Stock on the NYSE equals or exceeds $16.00 for at least twenty trading days in any consecutive thirty trading 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ASC Topic 820, </w:t>
      </w:r>
      <w:r>
        <w:rPr>
          <w:rFonts w:ascii="Times New Roman;sans-serif" w:hAnsi="Times New Roman;sans-serif"/>
          <w:b w:val="false"/>
          <w:i/>
          <w:color w:val="000000"/>
          <w:sz w:val="20"/>
          <w:shd w:fill="FFFFFF" w:val="clear"/>
        </w:rPr>
        <w:t>Fair Value Measurements and Disclosures,</w:t>
      </w:r>
      <w:r>
        <w:rPr>
          <w:color w:val="000000"/>
          <w:shd w:fill="FFFFFF" w:val="clear"/>
        </w:rPr>
        <w:t xml:space="preserve"> </w:t>
      </w:r>
      <w:r>
        <w:rPr>
          <w:rFonts w:ascii="Times New Roman;sans-serif" w:hAnsi="Times New Roman;sans-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Valuations for assets and liabilities traded in active exchange markets, such as the NYSE.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2</w:t>
      </w:r>
      <w:r>
        <w:rPr>
          <w:rFonts w:ascii="Times New Roman;sans-serif" w:hAnsi="Times New Roman;sans-serif"/>
          <w:b w:val="false"/>
          <w:color w:val="000000"/>
          <w:sz w:val="20"/>
          <w:shd w:fill="FFFFFF" w:val="clear"/>
        </w:rPr>
        <w:t>: Valuations for assets and liabilities traded in less active dealer or broker markets. Valuations are obtained from third-party pricing services for identical or similar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3</w:t>
      </w:r>
      <w:r>
        <w:rPr>
          <w:rFonts w:ascii="Times New Roman;sans-serif" w:hAnsi="Times New Roman;sans-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measured at fair value</w:t>
      </w:r>
    </w:p>
    <w:p>
      <w:pPr>
        <w:pStyle w:val="TextBody"/>
        <w:bidi w:val="0"/>
        <w:spacing w:lineRule="auto" w:line="345" w:before="180" w:after="283"/>
        <w:ind w:left="0" w:right="0" w:firstLine="27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61"/>
        <w:gridCol w:w="407"/>
        <w:gridCol w:w="410"/>
        <w:gridCol w:w="251"/>
        <w:gridCol w:w="859"/>
        <w:gridCol w:w="129"/>
        <w:gridCol w:w="109"/>
        <w:gridCol w:w="109"/>
        <w:gridCol w:w="109"/>
        <w:gridCol w:w="711"/>
        <w:gridCol w:w="1372"/>
        <w:gridCol w:w="369"/>
        <w:gridCol w:w="116"/>
        <w:gridCol w:w="116"/>
        <w:gridCol w:w="116"/>
        <w:gridCol w:w="448"/>
        <w:gridCol w:w="1533"/>
        <w:gridCol w:w="232"/>
        <w:gridCol w:w="116"/>
        <w:gridCol w:w="116"/>
        <w:gridCol w:w="116"/>
        <w:gridCol w:w="543"/>
        <w:gridCol w:w="1047"/>
        <w:gridCol w:w="410"/>
      </w:tblGrid>
      <w:tr>
        <w:trPr/>
        <w:tc>
          <w:tcPr>
            <w:tcW w:w="46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22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587"/>
        <w:gridCol w:w="517"/>
        <w:gridCol w:w="523"/>
        <w:gridCol w:w="243"/>
        <w:gridCol w:w="833"/>
        <w:gridCol w:w="125"/>
        <w:gridCol w:w="109"/>
        <w:gridCol w:w="109"/>
        <w:gridCol w:w="109"/>
        <w:gridCol w:w="677"/>
        <w:gridCol w:w="1305"/>
        <w:gridCol w:w="351"/>
        <w:gridCol w:w="111"/>
        <w:gridCol w:w="111"/>
        <w:gridCol w:w="111"/>
        <w:gridCol w:w="431"/>
        <w:gridCol w:w="1475"/>
        <w:gridCol w:w="223"/>
        <w:gridCol w:w="111"/>
        <w:gridCol w:w="111"/>
        <w:gridCol w:w="111"/>
        <w:gridCol w:w="370"/>
        <w:gridCol w:w="1267"/>
        <w:gridCol w:w="285"/>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convertible notes</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convertible notes</w:t>
      </w:r>
    </w:p>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4, after the IGB Administrator’s denial of the transfer of the equity interest in Gold Rush on December 2, 2021, the Company concluded that the fair value of the convertible notes should be calculated as principal plus interest accrued as of December 31, 2021. The Company had considered interest as an input to the accounting fair value as of December 31, 2022. This valuation of the Company's investment in convertible notes is considered to be a Level 3 fair value measurement as the significant inputs are unobservable. The Company reached a settlement with Gold Rush in the second quarter of 2023, which provided for the full repayment of the outstanding principal and interest accrued on the convertible notes.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The Company determines the fair value of the interest rate</w:t>
      </w:r>
      <w:r>
        <w:rPr>
          <w:color w:val="000000"/>
        </w:rPr>
        <w:t xml:space="preserve"> </w:t>
      </w:r>
      <w:r>
        <w:rPr>
          <w:rFonts w:ascii="Times New Roman;sans-serif" w:hAnsi="Times New Roman;sans-serif"/>
          <w:b w:val="false"/>
          <w:color w:val="000000"/>
          <w:sz w:val="20"/>
        </w:rPr>
        <w:t>caplets using quotes that are based on models whose inputs are observable LIBOR/SOFR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ans-serif" w:hAnsi="Times New Roman;sans-serif"/>
          <w:b w:val="false"/>
          <w:color w:val="000000"/>
          <w:sz w:val="20"/>
          <w:shd w:fill="FFFFFF" w:val="clear"/>
        </w:rPr>
        <w:t xml:space="preserve">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summarizes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65"/>
        <w:gridCol w:w="496"/>
        <w:gridCol w:w="501"/>
        <w:gridCol w:w="244"/>
        <w:gridCol w:w="835"/>
        <w:gridCol w:w="126"/>
        <w:gridCol w:w="109"/>
        <w:gridCol w:w="109"/>
        <w:gridCol w:w="109"/>
        <w:gridCol w:w="724"/>
        <w:gridCol w:w="1395"/>
        <w:gridCol w:w="376"/>
        <w:gridCol w:w="112"/>
        <w:gridCol w:w="112"/>
        <w:gridCol w:w="112"/>
        <w:gridCol w:w="421"/>
        <w:gridCol w:w="1438"/>
        <w:gridCol w:w="218"/>
        <w:gridCol w:w="112"/>
        <w:gridCol w:w="112"/>
        <w:gridCol w:w="112"/>
        <w:gridCol w:w="398"/>
        <w:gridCol w:w="1165"/>
        <w:gridCol w:w="30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34,364 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5"/>
        <w:gridCol w:w="1398"/>
        <w:gridCol w:w="376"/>
        <w:gridCol w:w="112"/>
        <w:gridCol w:w="112"/>
        <w:gridCol w:w="112"/>
        <w:gridCol w:w="421"/>
        <w:gridCol w:w="1440"/>
        <w:gridCol w:w="218"/>
        <w:gridCol w:w="112"/>
        <w:gridCol w:w="112"/>
        <w:gridCol w:w="112"/>
        <w:gridCol w:w="399"/>
        <w:gridCol w:w="1167"/>
        <w:gridCol w:w="3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ans-serif" w:hAnsi="Times New Roman;sans-serif"/>
          <w:b w:val="false"/>
          <w:color w:val="000000"/>
          <w:sz w:val="20"/>
        </w:rPr>
        <w:t xml:space="preserve">period. The valuation of the Company's contingent consideration is considered to be a Level 3 fair value measurement as the significant inputs are unobservable and require significant judgment or estimation. </w:t>
      </w:r>
      <w:r>
        <w:rPr>
          <w:rFonts w:ascii="Times New Roman;sans-serif" w:hAnsi="Times New Roman;sans-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ans-serif" w:hAnsi="Times New Roman;sans-serif"/>
          <w:b w:val="false"/>
          <w:color w:val="000000"/>
          <w:sz w:val="20"/>
        </w:rPr>
        <w:t xml:space="preserve">The valuation of the Company's contingent consideration is considered to be a Level 2 fair value measurement. </w:t>
      </w:r>
      <w:r>
        <w:rPr>
          <w:rFonts w:ascii="Times New Roman;sans-serif" w:hAnsi="Times New Roman;sans-serif"/>
          <w:b w:val="false"/>
          <w:color w:val="000000"/>
          <w:sz w:val="20"/>
          <w:shd w:fill="FFFFFF" w:val="clear"/>
        </w:rPr>
        <w:t xml:space="preserve">Changes in the fair value of contingent earnout shares are included within loss (gain) on change in fair value of contingent earnout shares on the accompanying condensed consolidated </w:t>
      </w:r>
      <w:r>
        <w:rPr>
          <w:rFonts w:ascii="Times New Roman;sans-serif" w:hAnsi="Times New Roman;sans-serif"/>
          <w:b w:val="false"/>
          <w:color w:val="000000"/>
          <w:sz w:val="20"/>
        </w:rPr>
        <w:t>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has 5,144 warrants outstanding as of September 30, 2023, the liability for which is included in other long-term liabilities on the condensed consolidated balance sheets. </w:t>
      </w:r>
      <w:r>
        <w:rPr>
          <w:rFonts w:ascii="Times New Roman;sans-serif" w:hAnsi="Times New Roman;sans-serif"/>
          <w:b w:val="false"/>
          <w:color w:val="000000"/>
          <w:sz w:val="20"/>
          <w:shd w:fill="FFFFFF" w:val="clear"/>
        </w:rPr>
        <w:t xml:space="preserve">The Company determined the </w:t>
      </w:r>
      <w:r>
        <w:rPr>
          <w:rFonts w:ascii="Times New Roman;sans-serif" w:hAnsi="Times New Roman;sans-serif"/>
          <w:b w:val="false"/>
          <w:color w:val="000000"/>
          <w:sz w:val="20"/>
        </w:rPr>
        <w:t xml:space="preserve">fair value of its warrants by using a Black-Scholes option-pricing model. The Black-Scholes option-pricing model requires inputs such as the fair value of the Company's </w:t>
      </w:r>
      <w:r>
        <w:rPr>
          <w:rFonts w:ascii="Times New Roman;sans-serif" w:hAnsi="Times New Roman;sans-serif"/>
          <w:b w:val="false"/>
          <w:color w:val="000000"/>
          <w:sz w:val="20"/>
          <w:shd w:fill="FFFFFF" w:val="clear"/>
        </w:rPr>
        <w:t xml:space="preserve">Class </w:t>
      </w:r>
      <w:r>
        <w:rPr>
          <w:rFonts w:ascii="Times New Roman;sans-serif" w:hAnsi="Times New Roman;sans-serif"/>
          <w:b w:val="false"/>
          <w:color w:val="000000"/>
          <w:sz w:val="20"/>
        </w:rPr>
        <w:t xml:space="preserve">A-1 Common Stock, the risk-free interest rate, expected term, expected dividend yield and expected volatility. The Company's valuation of its warrants is considered to be a Level 2 fair value measurement. </w:t>
      </w:r>
      <w:r>
        <w:rPr>
          <w:rFonts w:ascii="Times New Roman;sans-serif" w:hAnsi="Times New Roman;sans-serif"/>
          <w:b w:val="false"/>
          <w:color w:val="000000"/>
          <w:sz w:val="20"/>
          <w:shd w:fill="FFFFFF" w:val="clear"/>
        </w:rPr>
        <w:t xml:space="preserve">Changes in the fair value of the warrants are included within gain on change in fair value of warrants on the accompanying condensed consolidated </w:t>
      </w:r>
      <w:r>
        <w:rPr>
          <w:rFonts w:ascii="Times New Roman;sans-serif" w:hAnsi="Times New Roman;sans-serif"/>
          <w:b w:val="false"/>
          <w:color w:val="000000"/>
          <w:sz w:val="20"/>
        </w:rPr>
        <w:t xml:space="preserve">statements of operations and comprehensive income, if applicable. There was no change in the fair value </w:t>
      </w:r>
      <w:r>
        <w:rPr>
          <w:rFonts w:ascii="Times New Roman;sans-serif" w:hAnsi="Times New Roman;sans-serif"/>
          <w:b w:val="false"/>
          <w:color w:val="000000"/>
          <w:sz w:val="20"/>
          <w:shd w:fill="FFFFFF" w:val="clear"/>
        </w:rPr>
        <w:t xml:space="preserve">of the warrants </w:t>
      </w:r>
      <w:r>
        <w:rPr>
          <w:rFonts w:ascii="Times New Roman;sans-serif" w:hAnsi="Times New Roman;sans-serif"/>
          <w:b w:val="false"/>
          <w:color w:val="000000"/>
          <w:sz w:val="20"/>
        </w:rPr>
        <w:t>for the three and nine months ended September 30, 2023 and 2022.</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United States Securities and Exchange Commission and other applicable legal requirements. The repurchase program does not obligate the Company to acquire any particular amount of shares, and the repurchase program may be suspended or discontinued at any time at the Company’s discretion. As of </w:t>
      </w:r>
      <w:r>
        <w:rPr>
          <w:rFonts w:ascii="Times New Roman;sans-serif" w:hAnsi="Times New Roman;sans-serif"/>
          <w:b w:val="false"/>
          <w:color w:val="000000"/>
          <w:sz w:val="20"/>
          <w:shd w:fill="FFFFFF" w:val="clear"/>
        </w:rPr>
        <w:t>September 30, 2023, the Company acquired a total of 10,010,374 shares under the plan at a total purchase price of $103.6 million, of which 1,665,091 shares at a total purchase price of $15.7 million were acquired during the nine</w:t>
      </w:r>
      <w:r>
        <w:rPr>
          <w:color w:val="000000"/>
        </w:rPr>
        <w:t xml:space="preserve"> </w:t>
      </w:r>
      <w:r>
        <w:rPr>
          <w:rFonts w:ascii="Times New Roman;sans-serif" w:hAnsi="Times New Roman;sans-serif"/>
          <w:b w:val="false"/>
          <w:color w:val="000000"/>
          <w:sz w:val="20"/>
        </w:rPr>
        <w:t>months ended September 30, 2023</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Stock-based Compensation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Accel Entertainment, Inc. Long Term Incentive Plan, the Company issued 356,786 restricted stock units (“RSUs”) to the Board of Directors and certain eligible employees during the first quarter of 2023, which will vest over a period of 3 years for employees and by the end of 2023 for the Board of Directors. The Company also issued 182,494 performance-based restricted stock units (“PSUs”) to certain eligible employees during the first quarter of 2023,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$4.8 million.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402,202 RSUs to the Board of Directors and certain eligible employees during the second quarter of 2023, which will vest over a period of 3 to 4 years for employees and by the end of 2023 for the Board of Directors. The Company also issued 520,247 PSUs to certain eligible employees during the second quarter of 2023, which will vest after 3 years. The estimated grant date fair value of these RSUs and PSUs totaled $5.8 million.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171,750 RSUs to certain eligible employees during the third quarter of 2023, which will vest over a period of 3 to 4 years. The estimated grant date fair value of these RSUs totaled $1.9 million.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Stock-based compensation expense, which pertains to the Company’s stock options, RSUs and PSUs, was $2.7 million and $7.0 million for the three and nine months ended September 30, 2023, respectively. In comparison, stock-based compensation expense was $1.1 million and $5.0 million for the three and nine months ended September 30, 2022, respectively. Stock-based compensation expense is included within </w:t>
      </w:r>
      <w:r>
        <w:rPr>
          <w:rFonts w:ascii="Times New Roman;sans-serif" w:hAnsi="Times New Roman;sans-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tax expense of $4.6 million and $16.7 million for the three and nine months ended September 30, 2023, respectively. In comparison, income tax expense was $4.9 million and $16.5 million for the three and nine months ended September 30, 2022,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30.7% and 36.1% for the three and nine months ended September 30, 2023, respectively. In comparison, the effective tax rate was 18.0% and 21.4% for the three and nine months ended September 30, 2022, respectively. The Company’s effective income tax rate can vary from period to period depending on, among other factors, the amount of permanent tax adjustments and discrete items. The change in the fair value of the contingent earnout shares is considered a discrete item for income tax purposes and was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Commitments and Contingencies</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TextBody"/>
        <w:bidi w:val="0"/>
        <w:spacing w:lineRule="auto" w:line="345"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has established no reserves relating to such matters. There are also petitions pending with the IGB which could lead to the Company obtaining new locations.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2019, the Company filed a lawsuit in the Circuit Court of Cook County, Illinois against Jason Rowell and other parties related to Mr. Rowell’s breaches of his non-compete agreement with Accel.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Pre-trial discovery is ongoing as of the date of this report. Mr. Rowell's claims and the Company's claims are both being litigated in this lawsuit, while the original lawsuit remains pending against the other defendants.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2020, the Company received a disciplinary complaint from the IGB alleging violations of the Video Gaming Act and the IGB’s Adopted Rules for Video Gaming. The disciplinary complaint sought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similar initiatives with the IGB before implementing a new program or making any public announcements, require additional annual training of its employees, and provide additional compliance disclosures to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For more information, see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A responsive pleading is not yet due.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The Company incurred a similar penalty each month for the remaining months of 2022. After further negotiations with the municipality, in July 2023, the amount of the penalty for 2023 was increased and was made effective retroactively to the beginning of the year.</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results for the nine months ended September 30, 2023 included a loss of $1.4 million related to these matters, which is included within general and administrative expenses </w:t>
      </w:r>
      <w:r>
        <w:rPr>
          <w:rFonts w:ascii="Times New Roman;sans-serif" w:hAnsi="Times New Roman;sans-serif"/>
          <w:b w:val="false"/>
          <w:color w:val="000000"/>
          <w:sz w:val="20"/>
          <w:shd w:fill="FFFFFF" w:val="clear"/>
        </w:rPr>
        <w:t>in the condensed consolidated statements of operations and other comprehensive income</w:t>
      </w:r>
      <w:r>
        <w:rPr>
          <w:rFonts w:ascii="Times New Roman;sans-serif" w:hAnsi="Times New Roman;sans-serif"/>
          <w:b w:val="false"/>
          <w:color w:val="000000"/>
          <w:sz w:val="20"/>
        </w:rPr>
        <w:t xml:space="preserve">. The results for the nine months ended September 30, 2022 included a loss of $1.2 million, of which $1.0 million was recorded within other expenses, net and $0.2 million was recorded in general and administrative expenses </w:t>
      </w:r>
      <w:r>
        <w:rPr>
          <w:rFonts w:ascii="Times New Roman;sans-serif" w:hAnsi="Times New Roman;sans-serif"/>
          <w:b w:val="false"/>
          <w:color w:val="000000"/>
          <w:sz w:val="20"/>
          <w:shd w:fill="FFFFFF" w:val="clear"/>
        </w:rPr>
        <w:t>in the condensed consolidated statements of operations and other comprehensive income</w:t>
      </w:r>
      <w:r>
        <w:rPr>
          <w:rFonts w:ascii="Times New Roman;sans-serif" w:hAnsi="Times New Roman;sans-serif"/>
          <w:b w:val="false"/>
          <w:color w:val="000000"/>
          <w:sz w:val="20"/>
        </w:rPr>
        <w:t>. The Company paid legal settlements totaling $1.3 million and $1.6 million during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Related-Party Transactions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Company's acquisition of certain assets of Fair Share Gaming, LLC (“Fair Share”), G3 Gaming, LLC (“G3”), and Tom’s Amusement Company, Inc., (“Tom's Amusements”), the sellers became employees of the Company.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Fair Share seller was $0.7 million and $1.1 million as of September 30, 2023 and December 31, 2022, respectively. Payments to the Fair Share seller under the acquisition agreement were $0.8 million and $1.5 million during the nine months ended September 30, 2023 and 2022,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G3 sellers was $0.4 million as of December 31, 2022. Payments to the G3 sellers under the acquisition agreement were $0.5 million during the nine months ended September 30, 2023. There were no payments made to the G3 sellers during the nine months ended September 30, 2022.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Tom's Amusements seller was $0.1 million as of both September 30, 2023 and December 31, 2022. There were no payments to the Tom's Amusements seller during the nine months ended September 30, 2023 and $1.4 million during the nine months ended September 30, 2022.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engaged Much Shelist, P.C. (“Much Shelist”), as its legal counsel for general legal and business matters. An attorney at Much Shelist is a related party to management of the Company. Accel paid Much Shelist $0.3 million and $0.2 million for the nine months ended September 30, 2023 and 2022, respectively. These payments were included in general and administrative expenses within the </w:t>
      </w:r>
      <w:r>
        <w:rPr>
          <w:rFonts w:ascii="Times New Roman;sans-serif" w:hAnsi="Times New Roman;sans-serif"/>
          <w:b w:val="false"/>
          <w:color w:val="000000"/>
          <w:sz w:val="20"/>
          <w:shd w:fill="FFFFFF" w:val="clear"/>
        </w:rPr>
        <w:t xml:space="preserve">condensed </w:t>
      </w:r>
      <w:r>
        <w:rPr>
          <w:rFonts w:ascii="Times New Roman;sans-serif" w:hAnsi="Times New Roman;sans-serif"/>
          <w:b w:val="false"/>
          <w:color w:val="000000"/>
          <w:sz w:val="20"/>
        </w:rPr>
        <w:t>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738f096c76ef49f1a77fe8fbb110c09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Earnings Per Share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components of basic and diluted earnings per share </w:t>
      </w:r>
      <w:r>
        <w:rPr>
          <w:rFonts w:ascii="Times New Roman;sans-serif" w:hAnsi="Times New Roman;sans-serif"/>
          <w:b w:val="false"/>
          <w:color w:val="000000"/>
          <w:sz w:val="20"/>
          <w:shd w:fill="FFFFFF" w:val="clear"/>
        </w:rPr>
        <w:t>(“EPS”)</w:t>
      </w:r>
      <w:r>
        <w:rPr>
          <w:color w:val="000000"/>
        </w:rPr>
        <w:t xml:space="preserve"> </w:t>
      </w:r>
      <w:r>
        <w:rPr>
          <w:rFonts w:ascii="Times New Roman;sans-serif" w:hAnsi="Times New Roman;sans-serif"/>
          <w:b w:val="false"/>
          <w:color w:val="000000"/>
          <w:sz w:val="20"/>
        </w:rPr>
        <w:t>were as follows for the three and nine months ended September 30 (in thousands, except per share amounts):</w:t>
      </w:r>
    </w:p>
    <w:tbl>
      <w:tblPr>
        <w:tblW w:w="10205" w:type="dxa"/>
        <w:jc w:val="center"/>
        <w:tblInd w:w="0" w:type="dxa"/>
        <w:tblLayout w:type="fixed"/>
        <w:tblCellMar>
          <w:top w:w="28" w:type="dxa"/>
          <w:left w:w="28" w:type="dxa"/>
          <w:bottom w:w="28" w:type="dxa"/>
          <w:right w:w="28" w:type="dxa"/>
        </w:tblCellMar>
      </w:tblPr>
      <w:tblGrid>
        <w:gridCol w:w="1811"/>
        <w:gridCol w:w="1592"/>
        <w:gridCol w:w="161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outstanding shares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 for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outstanding shares of common stock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Anti-dilutive stock-based awards, contingent earnout shares and warrants excluded from the calculations of diluted EPS were 4,414,553 and 5,178,908 as of September 30,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but are not limited to, those identified below, those discussed in “Risk Factors” in this Quarterly Report on Form 10-Q, and those discussed in the section titled “Risk Factors” included in our Annual Report on Form 10-K for the year ended December 31, 2022. This discussion and analysis should also be read in conjunction with “Management’s Discussion and Analysis of Financial Condition and Results of Operations”, set forth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Company Overview</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a leading distributed gaming operator in the United States on an Adjusted EBITDA basis, and a preferred partner for local business owners in the markets we serve. Our business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We also operate stand-alone ATMs in gaming and non-gaming locations.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gaming-as-a-service platform provides local businesses with a turnkey, capital efficient gaming solution. We own all of our gaming equipment and manage the entire operating process for our location partners. We also offer our location partners gaming solutions that appeal to players who patronize those businesses. We devote significant resources to location partner retention, and seek to provide prompt, personalized player service and support, which we believe is unparalleled among other distributed gaming operators.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as a distributed gaming operator in the following states: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Illinois – we have been a licensed terminal operator by the Illinois Gaming Board (“IGB”) since 2012,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Montana – we were granted a manufacturer, distributor and route operator license by the Gambling Control Division of the Montana Department of Justice in June 2022, which has been renewed through June 2024,</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Nevada – we were granted a two-year terminal operator license by the Nevada Gaming Commission in June 2022,</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Georgia – we received approval from the Georgia Lottery Corporation as a Master Licensee in July 2020,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Iowa – we are registered with the Iowa Department of Inspections and Appeals to conduct operations since December 2021,</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Nebraska – we have been a licensed distributor of mechanical amusement devices since June 2022,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Pennsylvania – we have held a license from the Pennsylvania Gaming Control Board </w:t>
      </w:r>
      <w:r>
        <w:rPr>
          <w:rFonts w:ascii="Times New Roman;sans-serif" w:hAnsi="Times New Roman;sans-serif"/>
          <w:b w:val="false"/>
          <w:color w:val="000000"/>
          <w:sz w:val="20"/>
          <w:shd w:fill="FFFFFF" w:val="clear"/>
        </w:rPr>
        <w:t>since November 2020, and commenced operations in the second quarter of 2023.</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wholly owned subsidiary, Grand Vision Gaming, we also manufacture gaming terminals in the Montana, Nevada, South Dakota, Louisiana and West Virginia markets.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e are subject to the various gaming regulations in the states in which we operate, as well as various other federal, state and local laws and regulations.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Century Acquisition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June 1, 2022, we completed our previously announced acquisition of all of the outstanding equity interests of Century Gaming, Inc., a Montana corporation. The aggregate purchase consideration was $164.3 million, which included: (i) a cash payment made at closing of $45.5 million to the equity holders of Century; (ii) repayment of $113.2 million of Century's indebtedness; and (iii) 515,622 shares of our Class A-1 common stock issued to certain members of Century’s management with a fair value of $5.6 million on the acquisition date. The cash payments were financed using cash from a draw of approximately $160 million from our revolving credit facility and delayed draw term loan facility under our senior secured credit facility. Our financial results for the three and nine months ended </w:t>
      </w:r>
      <w:r>
        <w:rPr>
          <w:rFonts w:ascii="Times New Roman;sans-serif" w:hAnsi="Times New Roman;sans-serif"/>
          <w:b w:val="false"/>
          <w:color w:val="000000"/>
          <w:sz w:val="20"/>
          <w:shd w:fill="FFFFFF" w:val="clear"/>
        </w:rPr>
        <w:t xml:space="preserve">September 30, 2023 and the three months ended </w:t>
      </w:r>
      <w:r>
        <w:rPr>
          <w:rFonts w:ascii="Times New Roman;sans-serif" w:hAnsi="Times New Roman;sans-serif"/>
          <w:b w:val="false"/>
          <w:color w:val="000000"/>
          <w:sz w:val="20"/>
        </w:rPr>
        <w:t>September 30, 2022 includes the results of Century while our results for the nine months ended September 30, 2022 only include the results of Century from the date of acquisition.</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Macroeconomic Factors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Ongoing interest rate increases, persistent inflation and actual or perceived instability in the U.S. and global banking systems may increase the risk of an economic recession and volatility and dislocation in the capital or credit markets in the United States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To date, we have not observed material impacts in our business or outlook, but there can be no assurance that, in the event of a recession, levels of gaming activity would not be adversely affected. Further, as described in more detail below, we have observed certain increases in our costs, particularly higher wages, and increased interest expense on our debt. In addition, during 2023, we accelerated certain of our capital expenditures related to gaming machines and related components to manage our supply chain. 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Components of Performance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Revenues</w:t>
      </w:r>
    </w:p>
    <w:p>
      <w:pPr>
        <w:pStyle w:val="TextBody"/>
        <w:bidi w:val="0"/>
        <w:spacing w:lineRule="auto" w:line="345" w:before="160" w:after="283"/>
        <w:jc w:val="both"/>
        <w:rPr/>
      </w:pPr>
      <w:r>
        <w:rPr>
          <w:rFonts w:ascii="Times New Roman;sans-serif" w:hAnsi="Times New Roman;sans-serif"/>
          <w:b w:val="false"/>
          <w:i/>
          <w:color w:val="000000"/>
          <w:sz w:val="20"/>
          <w:shd w:fill="FFFFFF" w:val="clear"/>
        </w:rPr>
        <w:t xml:space="preserve">Net gaming. </w:t>
      </w:r>
      <w:r>
        <w:rPr>
          <w:rFonts w:ascii="Times New Roman;sans-serif" w:hAnsi="Times New Roman;sans-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ans-serif" w:hAnsi="Times New Roman;sans-serif"/>
          <w:b w:val="false"/>
          <w:i/>
          <w:color w:val="000000"/>
          <w:sz w:val="20"/>
        </w:rPr>
        <w:t xml:space="preserve">Amusement. </w:t>
      </w:r>
      <w:r>
        <w:rPr>
          <w:rFonts w:ascii="Times New Roman;sans-serif" w:hAnsi="Times New Roman;sans-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ans-serif" w:hAnsi="Times New Roman;sans-serif"/>
          <w:b w:val="false"/>
          <w:color w:val="000000"/>
          <w:sz w:val="20"/>
          <w:shd w:fill="FFFFFF" w:val="clear"/>
        </w:rPr>
        <w:t>partners</w:t>
      </w:r>
      <w:r>
        <w:rPr>
          <w:color w:val="000000"/>
        </w:rPr>
        <w:t xml:space="preserve"> </w:t>
      </w:r>
      <w:r>
        <w:rPr>
          <w:rFonts w:ascii="Times New Roman;sans-serif" w:hAnsi="Times New Roman;sans-serif"/>
          <w:b w:val="false"/>
          <w:color w:val="000000"/>
          <w:sz w:val="20"/>
        </w:rPr>
        <w:t>and is recognized at the point the amusement device is used.</w:t>
      </w:r>
    </w:p>
    <w:p>
      <w:pPr>
        <w:pStyle w:val="TextBody"/>
        <w:bidi w:val="0"/>
        <w:spacing w:lineRule="auto" w:line="345" w:before="160" w:after="283"/>
        <w:jc w:val="both"/>
        <w:rPr/>
      </w:pPr>
      <w:r>
        <w:rPr>
          <w:rFonts w:ascii="Times New Roman;sans-serif" w:hAnsi="Times New Roman;sans-serif"/>
          <w:b w:val="false"/>
          <w:i/>
          <w:color w:val="000000"/>
          <w:sz w:val="20"/>
        </w:rPr>
        <w:t xml:space="preserve">Manufacturing. </w:t>
      </w:r>
      <w:r>
        <w:rPr>
          <w:rFonts w:ascii="Times New Roman;sans-serif" w:hAnsi="Times New Roman;sans-serif"/>
          <w:b w:val="false"/>
          <w:color w:val="000000"/>
          <w:sz w:val="20"/>
        </w:rPr>
        <w:t>Manufacturing revenue represents sales of gaming terminals by Grand Vision Gaming, a wholly owned subsidiary of Century, which is a designer and manufacturer of gaming terminals and related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ATM fees and other. </w:t>
      </w:r>
      <w:r>
        <w:rPr>
          <w:rFonts w:ascii="Times New Roman;sans-serif" w:hAnsi="Times New Roman;sans-serif"/>
          <w:b w:val="false"/>
          <w:color w:val="000000"/>
          <w:sz w:val="20"/>
        </w:rPr>
        <w:t>ATM fees and other primarily represents fees charged for the withdrawal of funds from our redemption devices and stand-alone ATMs and is recognized at the time of the ATM transaction.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Cost of revenue consists of (i) taxes on net gaming revenue that is payable to the appropriate jurisdiction, (ii) licenses, permits and other fees required for the operation of gaming terminals and other equipment, (iii) location revenue share, which is governed by local governing bodies and location contracts, (iv) ATM and amusement commissions payable to locations, and (v) ATM and amusement fees.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pPr>
      <w:r>
        <w:rPr>
          <w:rFonts w:ascii="Times New Roman;sans-serif" w:hAnsi="Times New Roman;sans-serif"/>
          <w:b w:val="false"/>
          <w:i/>
          <w:color w:val="000000"/>
          <w:sz w:val="20"/>
        </w:rPr>
        <w:t xml:space="preserve">Cost of goods sold. </w:t>
      </w:r>
      <w:r>
        <w:rPr>
          <w:rFonts w:ascii="Times New Roman;sans-serif" w:hAnsi="Times New Roman;sans-serif"/>
          <w:b w:val="false"/>
          <w:color w:val="000000"/>
          <w:sz w:val="20"/>
        </w:rPr>
        <w:t>Cost of goods sold consists of costs associated with the sale of gaming terminals and related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consist of operating expense and general and administrative (“</w:t>
      </w:r>
      <w:r>
        <w:rPr>
          <w:rFonts w:ascii="Times New Roman;sans-serif" w:hAnsi="Times New Roman;sans-serif"/>
          <w:b w:val="false"/>
          <w:i/>
          <w:color w:val="000000"/>
          <w:sz w:val="20"/>
        </w:rPr>
        <w:t>G&amp;A</w:t>
      </w:r>
      <w:r>
        <w:rPr>
          <w:color w:val="000000"/>
        </w:rPr>
        <w:t>”</w:t>
      </w:r>
      <w:r>
        <w:rPr>
          <w:rFonts w:ascii="Times New Roman;sans-serif" w:hAnsi="Times New Roman;sans-serif"/>
          <w:b w:val="false"/>
          <w:color w:val="000000"/>
          <w:sz w:val="20"/>
        </w:rPr>
        <w:t>) expense. 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G&amp;A expense includes payroll and related expense for account managers, business development managers, marketing, and other corporate personnel. In addition, G&amp;A expense also includes marketing, information technology, insurance, rent and professional fees.</w:t>
      </w:r>
    </w:p>
    <w:p>
      <w:pPr>
        <w:pStyle w:val="TextBody"/>
        <w:bidi w:val="0"/>
        <w:spacing w:lineRule="auto" w:line="345" w:before="160" w:after="283"/>
        <w:jc w:val="both"/>
        <w:rPr/>
      </w:pPr>
      <w:r>
        <w:rPr>
          <w:rFonts w:ascii="Times New Roman;sans-serif" w:hAnsi="Times New Roman;sans-serif"/>
          <w:b w:val="false"/>
          <w:i/>
          <w:color w:val="000000"/>
          <w:sz w:val="20"/>
        </w:rPr>
        <w:t xml:space="preserve">Depreciation and amortization of property and equipment. </w:t>
      </w:r>
      <w:r>
        <w:rPr>
          <w:rFonts w:ascii="Times New Roman;sans-serif" w:hAnsi="Times New Roman;sans-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ans-serif" w:hAnsi="Times New Roman;sans-serif"/>
          <w:b w:val="false"/>
          <w:i/>
          <w:color w:val="000000"/>
          <w:sz w:val="20"/>
        </w:rPr>
        <w:t xml:space="preserve">Amortization of intangible assets and route and customer acquisition costs. </w:t>
      </w:r>
      <w:r>
        <w:rPr>
          <w:rFonts w:ascii="Times New Roman;sans-serif" w:hAnsi="Times New Roman;sans-serif"/>
          <w:b w:val="false"/>
          <w:color w:val="000000"/>
          <w:sz w:val="20"/>
        </w:rPr>
        <w:t>Route and customer acquisition costs consist of fees paid at the inception of 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 net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LIBOR/SOFR rate plus an applicable margin, as defined under the terms of the credit facility, ranging from 1.75% to 2.75% depending on the first lien net leverage ratio.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Income tax expense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345" w:before="240" w:after="283"/>
        <w:ind w:left="0" w:right="0" w:firstLine="360"/>
        <w:jc w:val="left"/>
        <w:rPr/>
      </w:pPr>
      <w:r>
        <w:rPr>
          <w:rFonts w:ascii="Times New Roman;sans-serif" w:hAnsi="Times New Roman;sans-serif"/>
          <w:b w:val="false"/>
          <w:color w:val="000000"/>
          <w:sz w:val="20"/>
          <w:shd w:fill="FFFFFF" w:val="clear"/>
        </w:rPr>
        <w:t>The following table summarizes Accel’s results of operations on a consolidated basis for the 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September 30, 2023 and 2022:</w:t>
      </w:r>
    </w:p>
    <w:tbl>
      <w:tblPr>
        <w:tblW w:w="10205" w:type="dxa"/>
        <w:jc w:val="center"/>
        <w:tblInd w:w="0" w:type="dxa"/>
        <w:tblLayout w:type="fixed"/>
        <w:tblCellMar>
          <w:top w:w="28" w:type="dxa"/>
          <w:left w:w="28" w:type="dxa"/>
          <w:bottom w:w="28" w:type="dxa"/>
          <w:right w:w="28" w:type="dxa"/>
        </w:tblCellMar>
      </w:tblPr>
      <w:tblGrid>
        <w:gridCol w:w="1818"/>
        <w:gridCol w:w="1470"/>
        <w:gridCol w:w="1430"/>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18"/>
        <w:gridCol w:w="298"/>
        <w:gridCol w:w="513"/>
      </w:tblGrid>
      <w:tr>
        <w:trPr/>
        <w:tc>
          <w:tcPr>
            <w:tcW w:w="181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three months ended September 30, 2023 were $287.5 million, an increase of $20.5 million, or 7.7%, compared to the prior-year period. This increase was primarily driven by higher net gaming revenue of $18.5 million, which reflected an increase in gaming terminals and locations. Net revenues by state are presented below (in thousands):</w:t>
      </w:r>
    </w:p>
    <w:tbl>
      <w:tblPr>
        <w:tblW w:w="4614"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three months ended September 30, 2023 was $198.7 million, an increase of $12.9 million, or 6.9%, compared to the prior-year period, driven by higher net gaming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three months ended September 30, 2023 was $2.1 million, an increase of $0.4 million, or 24.7%, compared to the prior-year period due primarily to higher manufacturing revenue.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three months ended September 30, 2023 were $45.2 million, an increase of $5.4 million, or 13.5%, compared to the prior-year period. The increase was attributable to higher payroll-related costs, as we continue to grow our operations, as well as higher stock-based compensation expense and parts and repair expense.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 for the three months ended September 30, 2023 was $9.4 million, an increase of $1.3 million, or 15.6%, compared to the prior-year period due to an increased number of gaming terminals and locations.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three months ended September 30, 2023 was $5.3 million, an increase of $0.1 million, or 2.8%, compared to the prior-year period.</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for the three months ended September 30, 2023 were $1.7 million, a decrease of $1.4 million, or 45.8%, compared to the prior-year period. The decrease was primarily attributable to lower non-recurring expenses related to lobbying efforts, partially offset by higher fair value adjustments associated with the revaluation of contingent consideration liabilities.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Interest expense, net for the three months ended September 30, 2023 was $8.4 million, an increase of $2.2 million, or 34.9%, compared to the prior-year period primarily due to higher interest rates, partially offset by the benefit realized on our interest rate caplets. For the three months ended September 30, 2023, the weighted average interest rate, excluding the impact of our interest rate caplets, was approximately 7.6% compared to a rate of approximately 4.3% for the prior-year period</w:t>
      </w:r>
      <w:r>
        <w:rPr>
          <w:rFonts w:ascii="Times New Roman;sans-serif" w:hAnsi="Times New Roman;sans-serif"/>
          <w:b w:val="false"/>
          <w:color w:val="000000"/>
          <w:sz w:val="20"/>
          <w:shd w:fill="FFFFFF" w:val="clear"/>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Loss on the change in fair value of contingent earnout shares for the three months ended September 30, 2023 was $1.6 million, compared to the prior-</w:t>
      </w:r>
      <w:r>
        <w:rPr>
          <w:rFonts w:ascii="Times New Roman;sans-serif" w:hAnsi="Times New Roman;sans-serif"/>
          <w:b w:val="false"/>
          <w:color w:val="000000"/>
          <w:sz w:val="20"/>
          <w:shd w:fill="FFFFFF" w:val="clear"/>
        </w:rPr>
        <w:t>year period, which had a gain of $10.4 million.</w:t>
      </w:r>
      <w:r>
        <w:rPr>
          <w:color w:val="000000"/>
        </w:rPr>
        <w:t xml:space="preserve"> </w:t>
      </w:r>
      <w:r>
        <w:rPr>
          <w:rFonts w:ascii="Times New Roman;sans-serif" w:hAnsi="Times New Roman;sans-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September 30, 2023 was $4.6 million, a decrease of $0.3 million, or 5.8%, compared to the prior-year period. The effective tax rate for the three months ended September 30, 2023 was 30.7% compared to 18.0%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The following table summarizes our results of operations on a consolidated basis for the nine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September 30, 2023 and 2022:</w:t>
      </w:r>
    </w:p>
    <w:tbl>
      <w:tblPr>
        <w:tblW w:w="10205" w:type="dxa"/>
        <w:jc w:val="center"/>
        <w:tblInd w:w="0" w:type="dxa"/>
        <w:tblLayout w:type="fixed"/>
        <w:tblCellMar>
          <w:top w:w="28" w:type="dxa"/>
          <w:left w:w="28" w:type="dxa"/>
          <w:bottom w:w="28" w:type="dxa"/>
          <w:right w:w="28" w:type="dxa"/>
        </w:tblCellMar>
      </w:tblPr>
      <w:tblGrid>
        <w:gridCol w:w="1818"/>
        <w:gridCol w:w="1470"/>
        <w:gridCol w:w="1430"/>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07"/>
        <w:gridCol w:w="309"/>
        <w:gridCol w:w="513"/>
      </w:tblGrid>
      <w:tr>
        <w:trPr/>
        <w:tc>
          <w:tcPr>
            <w:tcW w:w="181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nine months ended September 30, 2023 were $873.4 million, an increase of $181.6 million, or 26.3%, compared to the prior-year period. This increase was driven primarily by higher net gaming revenue of $168.6 million, or 25.4%, and higher manufacturing revenue of $6.5 million, or 190.1%. Higher net gaming revenue for the nine months ended September 30, 2023 was attributable to an increase in gaming terminals and locations due primarily to the acquisition of Century. Net revenues by state are presented below (in thousands):</w:t>
      </w:r>
    </w:p>
    <w:tbl>
      <w:tblPr>
        <w:tblW w:w="5439" w:type="dxa"/>
        <w:jc w:val="center"/>
        <w:tblInd w:w="0" w:type="dxa"/>
        <w:tblLayout w:type="fixed"/>
        <w:tblCellMar>
          <w:top w:w="28" w:type="dxa"/>
          <w:left w:w="28" w:type="dxa"/>
          <w:bottom w:w="28" w:type="dxa"/>
          <w:right w:w="28" w:type="dxa"/>
        </w:tblCellMar>
      </w:tblPr>
      <w:tblGrid>
        <w:gridCol w:w="705"/>
        <w:gridCol w:w="620"/>
        <w:gridCol w:w="624"/>
        <w:gridCol w:w="109"/>
        <w:gridCol w:w="109"/>
        <w:gridCol w:w="140"/>
        <w:gridCol w:w="140"/>
        <w:gridCol w:w="271"/>
        <w:gridCol w:w="1063"/>
        <w:gridCol w:w="140"/>
        <w:gridCol w:w="109"/>
        <w:gridCol w:w="109"/>
        <w:gridCol w:w="109"/>
        <w:gridCol w:w="211"/>
        <w:gridCol w:w="82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nine months ended September 30, 2023 was $604.6 million, an increase of $131.4 million, or 27.8%, compared to the prior-year period due primarily to higher gaming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nine months ended September 30, 2023 was $5.6 million, an increase of $3.2 million, or 132.4%, compared to the prior-year period due primarily to higher manufacturing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nine months ended September 30, 2023 were $132.4 million, an increase of $28.8 million, or 27.8%, compared to the prior-year period. The increase was attributable to higher payroll-related costs, as we continue to grow our operations, as well as higher parts and repair expense, higher stock-based compensation expense, and the settlement with the IGB of $1.1 million recorded in the second quarter of 2023.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Depreciation and amortization of property and equipment for the nine months ended September 30, 2023 was $27.9 million, an increase of $7.3 million, or 35.7%, compared to the prior-year period due to an increased number of locations and gaming terminals </w:t>
      </w:r>
      <w:r>
        <w:rPr>
          <w:rFonts w:ascii="Times New Roman;sans-serif" w:hAnsi="Times New Roman;sans-serif"/>
          <w:b w:val="false"/>
          <w:color w:val="000000"/>
          <w:sz w:val="20"/>
          <w:shd w:fill="FFFFFF" w:val="clear"/>
        </w:rPr>
        <w:t>primarily attributable to the acquisition of Century</w:t>
      </w:r>
      <w:r>
        <w:rPr>
          <w:rFonts w:ascii="Times New Roman;sans-serif" w:hAnsi="Times New Roman;sans-serif"/>
          <w:b w:val="false"/>
          <w:color w:val="000000"/>
          <w:sz w:val="20"/>
        </w:rPr>
        <w:t xml:space="preserv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nine months ended September 30, 2023 was $15.8 million, an increase of $3.5 million, or 28.9%, compared to the prior-year period due to an increase in location contracts acquired and amortization expense on other intangible assets acquired with Century.</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net for the nine months ended September 30, 2023 were $5.0 million, a decrease of $2.9 million, or 36.6%, compared to the prior-year period due to lower non-recurring expenses related to lobbying efforts and new market development and a $1.7 million gain recognized in the second quarter of 2023 on the convertible note settlement as discussed in Note 4 to the condensed consolidated financial statements, partially offset by higher fair value adjustments associated with the revaluation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for the nine months ended September 30, 2023 was $24.5 million, an increase of $10.5 million, or 74.9%, compared to the prior-year period primarily due to an increase in average outstanding debt and higher interest rates, partially offset by the benefit realized on our interest rate caplets. The weighted average interest rate, excluding the impact of the interest rate caplets, was approximately 7.2% for the nine months ended September 30, 2023 compared to 3.7% in the prior-year period.</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Loss on the change in fair value of contingent earnout shares for the nine months ended September 30, 2023 was $11.1 million, compared to the prior-</w:t>
      </w:r>
      <w:r>
        <w:rPr>
          <w:rFonts w:ascii="Times New Roman;sans-serif" w:hAnsi="Times New Roman;sans-serif"/>
          <w:b w:val="false"/>
          <w:color w:val="000000"/>
          <w:sz w:val="20"/>
          <w:shd w:fill="FFFFFF" w:val="clear"/>
        </w:rPr>
        <w:t xml:space="preserve">year period, which had a gain of </w:t>
      </w:r>
      <w:r>
        <w:rPr>
          <w:rFonts w:ascii="Times New Roman;sans-serif" w:hAnsi="Times New Roman;sans-serif"/>
          <w:b w:val="false"/>
          <w:color w:val="000000"/>
          <w:sz w:val="20"/>
        </w:rPr>
        <w:t xml:space="preserve">$19.5 million. 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nine months ended September 30, 2023 was $16.7 million, an increase of $0.2 million, or 1.2%, compared to the prior-year period. The effective tax rate for the nine months ended September 30, 2023 was 36.1% compared to 21.4%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Business Metrics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locations and;</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gaming terminals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primary locations:</w:t>
      </w:r>
    </w:p>
    <w:tbl>
      <w:tblPr>
        <w:tblW w:w="6199" w:type="dxa"/>
        <w:jc w:val="center"/>
        <w:tblInd w:w="0" w:type="dxa"/>
        <w:tblLayout w:type="fixed"/>
        <w:tblCellMar>
          <w:top w:w="28" w:type="dxa"/>
          <w:left w:w="28" w:type="dxa"/>
          <w:bottom w:w="28" w:type="dxa"/>
          <w:right w:w="28" w:type="dxa"/>
        </w:tblCellMar>
      </w:tblPr>
      <w:tblGrid>
        <w:gridCol w:w="487"/>
        <w:gridCol w:w="428"/>
        <w:gridCol w:w="435"/>
        <w:gridCol w:w="312"/>
        <w:gridCol w:w="304"/>
        <w:gridCol w:w="196"/>
        <w:gridCol w:w="196"/>
        <w:gridCol w:w="196"/>
        <w:gridCol w:w="196"/>
        <w:gridCol w:w="313"/>
        <w:gridCol w:w="303"/>
        <w:gridCol w:w="198"/>
        <w:gridCol w:w="109"/>
        <w:gridCol w:w="109"/>
        <w:gridCol w:w="109"/>
        <w:gridCol w:w="250"/>
        <w:gridCol w:w="250"/>
        <w:gridCol w:w="251"/>
        <w:gridCol w:w="174"/>
        <w:gridCol w:w="174"/>
        <w:gridCol w:w="174"/>
        <w:gridCol w:w="211"/>
        <w:gridCol w:w="211"/>
        <w:gridCol w:w="613"/>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locations</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number of gaming terminals in the primary locations:</w:t>
      </w:r>
    </w:p>
    <w:tbl>
      <w:tblPr>
        <w:tblW w:w="7184" w:type="dxa"/>
        <w:jc w:val="center"/>
        <w:tblInd w:w="0" w:type="dxa"/>
        <w:tblLayout w:type="fixed"/>
        <w:tblCellMar>
          <w:top w:w="28" w:type="dxa"/>
          <w:left w:w="28" w:type="dxa"/>
          <w:bottom w:w="28" w:type="dxa"/>
          <w:right w:w="28" w:type="dxa"/>
        </w:tblCellMar>
      </w:tblPr>
      <w:tblGrid>
        <w:gridCol w:w="724"/>
        <w:gridCol w:w="637"/>
        <w:gridCol w:w="648"/>
        <w:gridCol w:w="366"/>
        <w:gridCol w:w="355"/>
        <w:gridCol w:w="196"/>
        <w:gridCol w:w="196"/>
        <w:gridCol w:w="196"/>
        <w:gridCol w:w="196"/>
        <w:gridCol w:w="367"/>
        <w:gridCol w:w="354"/>
        <w:gridCol w:w="198"/>
        <w:gridCol w:w="109"/>
        <w:gridCol w:w="109"/>
        <w:gridCol w:w="109"/>
        <w:gridCol w:w="308"/>
        <w:gridCol w:w="308"/>
        <w:gridCol w:w="251"/>
        <w:gridCol w:w="174"/>
        <w:gridCol w:w="174"/>
        <w:gridCol w:w="174"/>
        <w:gridCol w:w="211"/>
        <w:gridCol w:w="211"/>
        <w:gridCol w:w="613"/>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gaming terminals</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22,429 </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Adjusted EBITDA and Adjusted net income are non-GAAP financial measures and are key metrics used to monitor ongoing core operations. Our management believes Adjusted EBITDA and Adjusted net income enhance the understanding of our underlying drivers of profitability and trends in our business and facilitate company-to-company and period-to-period comparisons, because these non-GAAP financial measures exclude the effects of certain non-cash items or represent certain nonrecurring items that are unrelated to core performance.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pPr>
      <w:r>
        <w:rPr>
          <w:rFonts w:ascii="Times New Roman;sans-serif" w:hAnsi="Times New Roman;sans-serif"/>
          <w:b/>
          <w:i/>
          <w:color w:val="000000"/>
          <w:sz w:val="20"/>
          <w:shd w:fill="FFFFFF" w:val="clear"/>
        </w:rPr>
        <w:t xml:space="preserve">Adjusted </w:t>
      </w:r>
      <w:r>
        <w:rPr>
          <w:rFonts w:ascii="Times New Roman;sans-serif" w:hAnsi="Times New Roman;sans-serif"/>
          <w:b/>
          <w:i/>
          <w:color w:val="000000"/>
          <w:sz w:val="20"/>
        </w:rPr>
        <w:t>net income</w:t>
      </w:r>
      <w:r>
        <w:rPr>
          <w:color w:val="000000"/>
          <w:shd w:fill="FFFFFF" w:val="clear"/>
        </w:rPr>
        <w:t xml:space="preserve"> </w:t>
      </w:r>
      <w:r>
        <w:rPr>
          <w:rFonts w:ascii="Times New Roman;sans-serif" w:hAnsi="Times New Roman;sans-serif"/>
          <w:b/>
          <w:i/>
          <w:color w:val="000000"/>
          <w:sz w:val="20"/>
          <w:shd w:fill="FFFFFF" w:val="clear"/>
        </w:rPr>
        <w:t>and Adjusted EBITDA</w:t>
      </w:r>
    </w:p>
    <w:tbl>
      <w:tblPr>
        <w:tblW w:w="10205" w:type="dxa"/>
        <w:jc w:val="center"/>
        <w:tblInd w:w="0" w:type="dxa"/>
        <w:tblLayout w:type="fixed"/>
        <w:tblCellMar>
          <w:top w:w="28" w:type="dxa"/>
          <w:left w:w="28" w:type="dxa"/>
          <w:bottom w:w="28" w:type="dxa"/>
          <w:right w:w="28" w:type="dxa"/>
        </w:tblCellMar>
      </w:tblPr>
      <w:tblGrid>
        <w:gridCol w:w="1748"/>
        <w:gridCol w:w="1518"/>
        <w:gridCol w:w="153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4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Amortization of intangible assets and route and customer acquisition costs </w:t>
            </w:r>
            <w:r>
              <w:rPr>
                <w:rFonts w:ascii="Times New Roman;sans-serif" w:hAnsi="Times New Roman;sans-serif"/>
                <w:b w:val="false"/>
                <w:color w:val="000000"/>
                <w:sz w:val="11"/>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1"/>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Loss (gain) on change in fair value of contingent earnout shares </w:t>
            </w:r>
            <w:r>
              <w:rPr>
                <w:rFonts w:ascii="Times New Roman;sans-serif" w:hAnsi="Times New Roman;sans-serif"/>
                <w:b w:val="false"/>
                <w:color w:val="000000"/>
                <w:sz w:val="10"/>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expenses, net </w:t>
            </w:r>
            <w:r>
              <w:rPr>
                <w:rFonts w:ascii="Times New Roman;sans-serif" w:hAnsi="Times New Roman;sans-serif"/>
                <w:b w:val="false"/>
                <w:color w:val="000000"/>
                <w:sz w:val="11"/>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Tax effect of adjustments </w:t>
            </w:r>
            <w:r>
              <w:rPr>
                <w:rFonts w:ascii="Times New Roman;sans-serif" w:hAnsi="Times New Roman;sans-serif"/>
                <w:b w:val="false"/>
                <w:color w:val="000000"/>
                <w:sz w:val="11"/>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Emerging markets </w:t>
            </w:r>
            <w:r>
              <w:rPr>
                <w:rFonts w:ascii="Times New Roman;sans-serif" w:hAnsi="Times New Roman;sans-serif"/>
                <w:b w:val="false"/>
                <w:color w:val="000000"/>
                <w:sz w:val="11"/>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hanging="36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Amortization of intangible assets and route and customer acquisition costs consist of upfront cash payments and future cash payments to third-party sales agents to acquire the location partners that are not connected with a business acquisition, as well as the amortization of other intangible assets. We amortize the upfront cash payment over the life of the contract, including expected renewals, beginning on the date the location goes live, and recognize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we do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line basis over the expected useful life of the contract of 15 years. “Amortization of intangible assets and route and customer acquisition costs” aggregates the non-cash amortization charges relating to upfront route and customer acquisition cost payments and location contracts acquired, as well as the amortization of other intangible assets.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Stock-based compensation consists of options, restricted stock units, and performance-based restricted stock units.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Loss (gain)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expenses, net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Calculated by excluding the impact of the non-GAAP adjustments from the current period tax provision calculations.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(6)</w:t>
      </w:r>
      <w:r>
        <w:rPr>
          <w:rFonts w:ascii="Times New Roman;sans-serif" w:hAnsi="Times New Roman;sans-serif"/>
          <w:b w:val="false"/>
          <w:color w:val="000000"/>
          <w:sz w:val="16"/>
        </w:rPr>
        <w:t>Emerging markets consist of the results, on an Adjusted EBITDA basis, for non-core jurisdictions where our operations are developing. Markets are no longer considered emerging when we have installed or acquired at least 500 gaming terminals in the jurisdiction, or when 24 months have elapsed from the date we first install or acquire gaming terminals in the jurisdiction, whichever occurs first. We currently view Iowa and Pennsylvania as emerging markets. Prior to April 2023, Nebraska was considered an emerging market. Prior to July 2022, Georgia was considered an emerging market.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Adjusted EBITDA for the three</w:t>
      </w:r>
      <w:r>
        <w:rPr>
          <w:color w:val="000000"/>
        </w:rPr>
        <w:t xml:space="preserve"> </w:t>
      </w:r>
      <w:r>
        <w:rPr>
          <w:rFonts w:ascii="Times New Roman;sans-serif" w:hAnsi="Times New Roman;sans-serif"/>
          <w:b w:val="false"/>
          <w:color w:val="000000"/>
          <w:sz w:val="20"/>
        </w:rPr>
        <w:t>months ended</w:t>
      </w:r>
      <w:r>
        <w:rPr>
          <w:color w:val="000000"/>
          <w:shd w:fill="FFFFFF" w:val="clear"/>
        </w:rPr>
        <w:t xml:space="preserve"> </w:t>
      </w:r>
      <w:r>
        <w:rPr>
          <w:rFonts w:ascii="Times New Roman;sans-serif" w:hAnsi="Times New Roman;sans-serif"/>
          <w:b w:val="false"/>
          <w:color w:val="000000"/>
          <w:sz w:val="20"/>
          <w:shd w:fill="FFFFFF" w:val="clear"/>
        </w:rPr>
        <w:t>September 30, 2023, was $44.1 million,</w:t>
      </w:r>
      <w:r>
        <w:rPr>
          <w:color w:val="000000"/>
        </w:rPr>
        <w:t xml:space="preserve"> </w:t>
      </w:r>
      <w:r>
        <w:rPr>
          <w:rFonts w:ascii="Times New Roman;sans-serif" w:hAnsi="Times New Roman;sans-serif"/>
          <w:b w:val="false"/>
          <w:color w:val="000000"/>
          <w:sz w:val="20"/>
        </w:rPr>
        <w:t xml:space="preserve">an increase of </w:t>
      </w:r>
      <w:r>
        <w:rPr>
          <w:rFonts w:ascii="Times New Roman;sans-serif" w:hAnsi="Times New Roman;sans-serif"/>
          <w:b w:val="false"/>
          <w:color w:val="000000"/>
          <w:sz w:val="20"/>
          <w:shd w:fill="FFFFFF" w:val="clear"/>
        </w:rPr>
        <w:t>$3.0</w:t>
      </w:r>
      <w:r>
        <w:rPr>
          <w:color w:val="000000"/>
        </w:rPr>
        <w:t xml:space="preserve"> </w:t>
      </w:r>
      <w:r>
        <w:rPr>
          <w:rFonts w:ascii="Times New Roman;sans-serif" w:hAnsi="Times New Roman;sans-serif"/>
          <w:b w:val="false"/>
          <w:color w:val="000000"/>
          <w:sz w:val="20"/>
        </w:rPr>
        <w:t>million, or 7.3%</w:t>
      </w:r>
      <w:r>
        <w:rPr>
          <w:rFonts w:ascii="Times New Roman;sans-serif" w:hAnsi="Times New Roman;sans-serif"/>
          <w:b w:val="false"/>
          <w:color w:val="000000"/>
          <w:sz w:val="20"/>
          <w:shd w:fill="FFFFFF" w:val="clear"/>
        </w:rPr>
        <w:t>, compared to the prior-year period. Adjusted EBITDA for the nine</w:t>
      </w:r>
      <w:r>
        <w:rPr>
          <w:color w:val="000000"/>
        </w:rPr>
        <w:t xml:space="preserve"> </w:t>
      </w:r>
      <w:r>
        <w:rPr>
          <w:rFonts w:ascii="Times New Roman;sans-serif" w:hAnsi="Times New Roman;sans-serif"/>
          <w:b w:val="false"/>
          <w:color w:val="000000"/>
          <w:sz w:val="20"/>
        </w:rPr>
        <w:t>months ended</w:t>
      </w:r>
      <w:r>
        <w:rPr>
          <w:color w:val="000000"/>
          <w:shd w:fill="FFFFFF" w:val="clear"/>
        </w:rPr>
        <w:t xml:space="preserve"> </w:t>
      </w:r>
      <w:r>
        <w:rPr>
          <w:rFonts w:ascii="Times New Roman;sans-serif" w:hAnsi="Times New Roman;sans-serif"/>
          <w:b w:val="false"/>
          <w:color w:val="000000"/>
          <w:sz w:val="20"/>
          <w:shd w:fill="FFFFFF" w:val="clear"/>
        </w:rPr>
        <w:t>September 30, 2023, was $136.9 million,</w:t>
      </w:r>
      <w:r>
        <w:rPr>
          <w:color w:val="000000"/>
        </w:rPr>
        <w:t xml:space="preserve"> </w:t>
      </w:r>
      <w:r>
        <w:rPr>
          <w:rFonts w:ascii="Times New Roman;sans-serif" w:hAnsi="Times New Roman;sans-serif"/>
          <w:b w:val="false"/>
          <w:color w:val="000000"/>
          <w:sz w:val="20"/>
        </w:rPr>
        <w:t>an increase of $17.8 million, or 14.9%</w:t>
      </w:r>
      <w:r>
        <w:rPr>
          <w:rFonts w:ascii="Times New Roman;sans-serif" w:hAnsi="Times New Roman;sans-serif"/>
          <w:b w:val="false"/>
          <w:color w:val="000000"/>
          <w:sz w:val="20"/>
          <w:shd w:fill="FFFFFF" w:val="clear"/>
        </w:rPr>
        <w:t xml:space="preserve">, compared to the prior-year period. </w:t>
      </w:r>
      <w:r>
        <w:rPr>
          <w:rFonts w:ascii="Times New Roman;sans-serif" w:hAnsi="Times New Roman;sans-serif"/>
          <w:b w:val="false"/>
          <w:color w:val="000000"/>
          <w:sz w:val="20"/>
        </w:rPr>
        <w:t xml:space="preserve">The increase </w:t>
      </w:r>
      <w:r>
        <w:rPr>
          <w:rFonts w:ascii="Times New Roman;sans-serif" w:hAnsi="Times New Roman;sans-serif"/>
          <w:b w:val="false"/>
          <w:color w:val="000000"/>
          <w:sz w:val="20"/>
          <w:shd w:fill="FFFFFF" w:val="clear"/>
        </w:rPr>
        <w:t>for the 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 xml:space="preserve">September 30, 2023 </w:t>
      </w:r>
      <w:r>
        <w:rPr>
          <w:rFonts w:ascii="Times New Roman;sans-serif" w:hAnsi="Times New Roman;sans-serif"/>
          <w:b w:val="false"/>
          <w:color w:val="000000"/>
          <w:sz w:val="20"/>
        </w:rPr>
        <w:t xml:space="preserve">was attributable to an increase in the number of locations and gaming terminals partially offset by higher payroll-related costs and parts and repair expense, while the increase for the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 xml:space="preserve">September 30, 2023 </w:t>
      </w:r>
      <w:r>
        <w:rPr>
          <w:rFonts w:ascii="Times New Roman;sans-serif" w:hAnsi="Times New Roman;sans-serif"/>
          <w:b w:val="false"/>
          <w:color w:val="000000"/>
          <w:sz w:val="20"/>
        </w:rPr>
        <w:t>was also impacted by the acquisition of Century.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purchases of property and equipment, servicing outstanding indebtedness, and funding our Board of Directors approved share repurchase program and near term acquisitions. As of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we had $230.4 million in cash and cash equivalents.</w:t>
      </w:r>
    </w:p>
    <w:p>
      <w:pPr>
        <w:pStyle w:val="TextBody"/>
        <w:bidi w:val="0"/>
        <w:spacing w:lineRule="auto" w:line="345"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13, 2019, we entered into a credit agreement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$100.0 million revolving credit facility, including a letter of credit facility with a $10.0 million sublimit and a swing line facility with a $10.0 million sublimit,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$240.0 million initial term loan facility and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$125.0 million additional term loan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additional term loan facility was available for borrowings until November 13, 2020. Each of the revolving loans and the term loans were scheduled to mature on November 13,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On August 4, 2020, in order to provide a waiver of financial covenant breach for the periods ended September 30, 2020 through March 31, 2021 of the First Lien Net Leverage Ratio and Fixed Charge Coverage Ratio (each as defined under the Credit Agreement), we and the other parties thereto entered into </w:t>
      </w:r>
      <w:r>
        <w:rPr>
          <w:rFonts w:ascii="Times New Roman;sans-serif" w:hAnsi="Times New Roman;sans-serif"/>
          <w:b w:val="false"/>
          <w:color w:val="000000"/>
          <w:sz w:val="20"/>
        </w:rPr>
        <w:t>Amendment No. 1 to the Credit Agreement (“Amendment No. 1”)</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Amendment No. 1</w:t>
      </w:r>
      <w:r>
        <w:rPr>
          <w:color w:val="000000"/>
          <w:shd w:fill="FFFFFF" w:val="clear"/>
        </w:rPr>
        <w:t xml:space="preserve"> </w:t>
      </w:r>
      <w:r>
        <w:rPr>
          <w:rFonts w:ascii="Times New Roman;sans-serif" w:hAnsi="Times New Roman;sans-serif"/>
          <w:b w:val="false"/>
          <w:color w:val="000000"/>
          <w:sz w:val="20"/>
          <w:shd w:fill="FFFFFF" w:val="clear"/>
        </w:rPr>
        <w:t>also raised the floor for the adjusted LIBOR rate to 0.50% and the floor for the Base Rate to 1.50%. The waivers of financial covenant breach were never utilized as we remained in compliance with all debt covenants during these periods.</w:t>
      </w:r>
    </w:p>
    <w:p>
      <w:pPr>
        <w:pStyle w:val="TextBody"/>
        <w:bidi w:val="0"/>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in order to increase the borrowing capacity under the Credit Agreement, we and the other parties thereto entered into Amendment No. 2 to the Credit Agreement (“Amendment No. 2”). Amendment No. 2, among other things, provides for: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an increase in the amount of the revolving credit facility from $100.0 million to $150.0 million,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 $350.0 million initial term loan facility, the proceeds of which were applied to refinancing existing indebtedness and </w:t>
      </w:r>
    </w:p>
    <w:p>
      <w:pPr>
        <w:pStyle w:val="TextBody"/>
        <w:bidi w:val="0"/>
        <w:spacing w:lineRule="auto" w:line="348" w:before="180" w:after="283"/>
        <w:jc w:val="both"/>
        <w:rPr/>
      </w:pPr>
      <w:r>
        <w:rPr>
          <w:color w:val="000000"/>
          <w:shd w:fill="FFFFFF" w:val="clear"/>
        </w:rPr>
        <w:t>•</w:t>
      </w:r>
      <w:r>
        <w:rPr>
          <w:rFonts w:ascii="Times New Roman;sans-serif" w:hAnsi="Times New Roman;sans-serif"/>
          <w:b w:val="false"/>
          <w:color w:val="000000"/>
          <w:sz w:val="20"/>
        </w:rPr>
        <w:t xml:space="preserve">a $400.0 million delayed draw term loan facility, which was originally available for borrowing until October 22, 2023 and was extended to October 22, 2024 by Amendment No. 4 (as described below). </w:t>
      </w:r>
    </w:p>
    <w:p>
      <w:pPr>
        <w:pStyle w:val="TextBody"/>
        <w:bidi w:val="0"/>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maturity date of the Credit Agreement was extended to October 22, 2026. The interest rate and covenants remain unchanged. </w:t>
      </w:r>
    </w:p>
    <w:p>
      <w:pPr>
        <w:pStyle w:val="TextBody"/>
        <w:bidi w:val="0"/>
        <w:spacing w:lineRule="auto" w:line="348" w:before="180" w:after="283"/>
        <w:ind w:left="0" w:right="0" w:firstLine="360"/>
        <w:jc w:val="both"/>
        <w:rPr/>
      </w:pPr>
      <w:r>
        <w:rPr>
          <w:rFonts w:ascii="Times New Roman;sans-serif" w:hAnsi="Times New Roman;sans-serif"/>
          <w:b w:val="false"/>
          <w:color w:val="000000"/>
          <w:sz w:val="20"/>
        </w:rPr>
        <w:t xml:space="preserve">On June 7, 2023, in order to replace the referenced LIBOR interest rate in the Credit Agreement with the </w:t>
      </w:r>
      <w:r>
        <w:rPr>
          <w:rFonts w:ascii="Times New Roman;sans-serif" w:hAnsi="Times New Roman;sans-serif"/>
          <w:b w:val="false"/>
          <w:color w:val="000000"/>
          <w:sz w:val="20"/>
          <w:shd w:fill="FFFFFF" w:val="clear"/>
        </w:rPr>
        <w:t>Secured Overnight Financing Rate (“SOFR”)</w:t>
      </w:r>
      <w:r>
        <w:rPr>
          <w:rFonts w:ascii="Times New Roman;sans-serif" w:hAnsi="Times New Roman;sans-serif"/>
          <w:b w:val="false"/>
          <w:color w:val="000000"/>
          <w:sz w:val="20"/>
        </w:rPr>
        <w:t xml:space="preserve">, we and the other parties thereto entered into Amendment No. 3 to the Credit Agreement (“Amendment No. 3”).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23, 2023, we entered into Amendment No. 4 to the Credit Agreement (“Amendment No. 4”), which extended the termination date to draw on the delayed draw term loan to October 22, 2024.</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In June 2023, the Company completed a $100 million draw on the </w:t>
      </w:r>
      <w:r>
        <w:rPr>
          <w:rFonts w:ascii="Times New Roman;sans-serif" w:hAnsi="Times New Roman;sans-serif"/>
          <w:b w:val="false"/>
          <w:color w:val="000000"/>
          <w:sz w:val="20"/>
        </w:rPr>
        <w:t xml:space="preserve">delayed draw term loan facility and used all of the proceeds to pay down an equal portion of the revolving credit facility. </w:t>
      </w:r>
      <w:r>
        <w:rPr>
          <w:rFonts w:ascii="Times New Roman;sans-serif" w:hAnsi="Times New Roman;sans-serif"/>
          <w:b w:val="false"/>
          <w:color w:val="000000"/>
          <w:sz w:val="20"/>
          <w:shd w:fill="FFFFFF" w:val="clear"/>
        </w:rPr>
        <w:t xml:space="preserve">As of September 30, 2023, there remained $342 million of availability under the Credit Agreement.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obligations under the Credit Agreement are guaranteed by us and our wholly-owned domestic subsidiaries, subject to certain exceptions (collectively, the “Guarantors”). The obligations under the Credit Agreement are secured by substantially all of the assets of the Guarantors, subject to certain exceptions. Certain future-formed or acquired wholly-owned domestic subsidiaries by us will also be required to guarantee the Credit Agreement and grant a security interest in substantially all of our assets (subject to certain exceptions) to secure the obligations under the Credit Agreement.</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Borrowings under the Credit Agreement bear interest, at our option, at a rate per annum equal to either (a) the adjusted Term SOFR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and (iii) SOFR for a 1-month Interest Period on such day plus 1.0%. As of September 30, 2023, the weighted-average interest rate was approximately 7.2%.</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is payable quarterly in arrears for ABR loans, at the end of the applicable interest period for SOFR loans (but not less frequently than quarterly) and upon the prepayment or maturity of the underlying loans. We are required to pay a commitment fee quarterly in arrears in respect of unused commitments under the revolving credit facility and the additional term loan facility.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applicable SOFR and ABR margins and the commitment fee rate are calculated based upon the first lien net leverage ratio of us and our restricted subsidiaries on a consolidated basis, as defined in the Credit Agreement. The revolving loans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term loans bear interest at either (a) ABR (150 bps floor) plus a margin up to 1.75% or (b) SOFR (50bps floor) plus a margin up to 2.75%, at our option.</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loans and, once drawn, the additional term loans will amortize at an annual rate equal to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SOFR “breakage” costs.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contains certain customary affirmative and negative covenants and events of default, and requires us and certain of our affiliates obligated under the Credit Agreement to make customary representations and warranties in connection with credit extensions thereunder.</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Credit Agreement requires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by us for which financial statements have been delivered pursuant to the Credit Agreement, subject to customary “equity cure” rights.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owed under the Credit Agreement may result in an increase in the interest rate applicable thereto.</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We were in compliance with all debt covenants</w:t>
      </w:r>
      <w:r>
        <w:rPr>
          <w:color w:val="000000"/>
        </w:rPr>
        <w:t xml:space="preserve"> </w:t>
      </w:r>
      <w:r>
        <w:rPr>
          <w:rFonts w:ascii="Times New Roman;sans-serif" w:hAnsi="Times New Roman;sans-serif"/>
          <w:b w:val="false"/>
          <w:color w:val="000000"/>
          <w:sz w:val="20"/>
        </w:rPr>
        <w:t>in our credit facility</w:t>
      </w:r>
      <w:r>
        <w:rPr>
          <w:color w:val="000000"/>
          <w:shd w:fill="FFFFFF" w:val="clear"/>
        </w:rPr>
        <w:t xml:space="preserve"> </w:t>
      </w:r>
      <w:r>
        <w:rPr>
          <w:rFonts w:ascii="Times New Roman;sans-serif" w:hAnsi="Times New Roman;sans-serif"/>
          <w:b w:val="false"/>
          <w:color w:val="000000"/>
          <w:sz w:val="20"/>
          <w:shd w:fill="FFFFFF" w:val="clear"/>
        </w:rPr>
        <w:t>as of September 30, 2023. W</w:t>
      </w:r>
      <w:r>
        <w:rPr>
          <w:rFonts w:ascii="Times New Roman;sans-serif" w:hAnsi="Times New Roman;sans-serif"/>
          <w:b w:val="false"/>
          <w:color w:val="000000"/>
          <w:sz w:val="20"/>
        </w:rPr>
        <w:t xml:space="preserve">e expect to meet our cash obligations as well as remain in compliance with the debt covenants for the next 12 months. </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manage our exposure to some of our interest rate risk through the use of interest rate caplets, which are derivative financial instruments. On January 12, 2022, we hedged the variability of the cash flows attributable to the changes in the 1-month LIBOR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In connection with the entry into Amendment No. 3, the referenced rate in the caplets was simultaneously changed from LIBOR to SOFR.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We recognized an </w:t>
      </w:r>
      <w:r>
        <w:rPr>
          <w:rFonts w:ascii="Times New Roman;sans-serif" w:hAnsi="Times New Roman;sans-serif"/>
          <w:b w:val="false"/>
          <w:color w:val="000000"/>
          <w:sz w:val="20"/>
        </w:rPr>
        <w:t>unrealized gain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$0.1 million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nd an unrealized loss </w:t>
      </w:r>
      <w:r>
        <w:rPr>
          <w:rFonts w:ascii="Times New Roman;sans-serif" w:hAnsi="Times New Roman;sans-serif"/>
          <w:b w:val="false"/>
          <w:color w:val="000000"/>
          <w:sz w:val="20"/>
          <w:shd w:fill="FFFFFF" w:val="clear"/>
        </w:rPr>
        <w:t xml:space="preserve">of less than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net of taxes,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2023, respectively. In comparison, we recognized an unrealized gain on the change in fair value of the caplets of $5.9 million and $12.7 million, net of taxes,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2022, respectively. </w:t>
      </w:r>
      <w:r>
        <w:rPr>
          <w:rFonts w:ascii="Times New Roman;sans-serif" w:hAnsi="Times New Roman;sans-serif"/>
          <w:b w:val="false"/>
          <w:color w:val="000000"/>
          <w:sz w:val="20"/>
        </w:rPr>
        <w:t>Fu</w:t>
      </w:r>
      <w:r>
        <w:rPr>
          <w:rFonts w:ascii="Times New Roman;sans-serif" w:hAnsi="Times New Roman;sans-serif"/>
          <w:b w:val="false"/>
          <w:color w:val="000000"/>
          <w:sz w:val="20"/>
          <w:shd w:fill="FFFFFF" w:val="clear"/>
        </w:rPr>
        <w:t xml:space="preserve">rther, as the 1-month LIBOR/SOFR interest rate exceeded 2% beginning in the second half of 2022, we recognized interest income on the caplets of $2.5 million and $6.7 million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2023, respectively, and $0.2 million </w:t>
      </w:r>
      <w:r>
        <w:rPr>
          <w:rFonts w:ascii="Times New Roman;sans-serif" w:hAnsi="Times New Roman;sans-serif"/>
          <w:b w:val="false"/>
          <w:color w:val="000000"/>
          <w:sz w:val="20"/>
        </w:rPr>
        <w:t xml:space="preserve">for both the three and nine months ended </w:t>
      </w:r>
      <w:r>
        <w:rPr>
          <w:rFonts w:ascii="Times New Roman;sans-serif" w:hAnsi="Times New Roman;sans-serif"/>
          <w:b w:val="false"/>
          <w:color w:val="000000"/>
          <w:sz w:val="20"/>
          <w:shd w:fill="FFFFFF" w:val="clear"/>
        </w:rPr>
        <w:t xml:space="preserve">September 30, 2022, which are reflected in interest expense, net </w:t>
      </w:r>
      <w:r>
        <w:rPr>
          <w:rFonts w:ascii="Times New Roman;sans-serif" w:hAnsi="Times New Roman;sans-serif"/>
          <w:b w:val="false"/>
          <w:color w:val="000000"/>
          <w:sz w:val="20"/>
        </w:rPr>
        <w:t>in the condensed consolidated statements of operations and other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6669" w:type="dxa"/>
        <w:jc w:val="center"/>
        <w:tblInd w:w="0" w:type="dxa"/>
        <w:tblLayout w:type="fixed"/>
        <w:tblCellMar>
          <w:top w:w="28" w:type="dxa"/>
          <w:left w:w="28" w:type="dxa"/>
          <w:bottom w:w="28" w:type="dxa"/>
          <w:right w:w="28" w:type="dxa"/>
        </w:tblCellMar>
      </w:tblPr>
      <w:tblGrid>
        <w:gridCol w:w="1528"/>
        <w:gridCol w:w="1342"/>
        <w:gridCol w:w="1345"/>
        <w:gridCol w:w="211"/>
        <w:gridCol w:w="721"/>
        <w:gridCol w:w="109"/>
        <w:gridCol w:w="109"/>
        <w:gridCol w:w="109"/>
        <w:gridCol w:w="109"/>
        <w:gridCol w:w="211"/>
        <w:gridCol w:w="721"/>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operating activities was $92.0 million, an increase of $13.8 million over the comparable period due primarily to higher working capital adjustments.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investing activities was $35.4 million, a decrease of $133.5 million over the comparable period and was primarily attributable to less cash used for business and asset acquisitions primarily due to the acquisition of Century in 2022 and the proceeds received from the settlement of the convertible notes in 2023, partially offset by more cash used for the purchases of property and equipment and advances against a portion of the purchase price on our pending business acquisition. We anticipate our capital expenditures for the purchases of property and equipment will be approximately $70–80 million in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provided by financing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financing activities was $50.3 million, compared to cash provided by financing activities of $103.9 million in the prior-year period. The change reflects a reduction in borrowings to fund business and asset acquisitions, partially offset by lower repurchases of common stock and payments on consideration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condensed consolidated financial statements, we applied the same critical accounting policies as described in our Annual Report on Form 10-K for the year ended December 31, 2022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Holidays, vacation seasons, and sporting events may also cause our results to fluctuate.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 risk represents the risk of loss that may impact our financial position due to adverse changes in financial market prices and rates. Market risk exposure is primarily the result of fluctuations in interest rates.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We are exposed to interest rate risk in the ordinary course of business. Borrowings under our senior secured credit facility were $515.5 million as of September 30, 2023. If the underlying interest rates were to increase by 1.0%, or 100 basis points, the increase in interest expense on our floating rate debt would negatively impact future earnings and cash flows by approximately $2.2 million annually, assuming the balance outstanding under the credit facility remained at $515.5 million. </w:t>
      </w:r>
      <w:r>
        <w:rPr>
          <w:rFonts w:ascii="Times New Roman;sans-serif" w:hAnsi="Times New Roman;sans-serif"/>
          <w:b w:val="false"/>
          <w:color w:val="000000"/>
          <w:sz w:val="20"/>
          <w:shd w:fill="FFFFFF" w:val="clear"/>
        </w:rPr>
        <w:t>In order to protect against higher interest rates in the future on our credit facility, we hedged the variability of the cash flows attributable to the changes in the 1-month LIBOR/SOFR interest rate on the first $300 million of the term loan by entering into a 4-year series of 48 deferred premium caplets (“caplets</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on January 12, 2022. The caplets mature at the end of each month and are used to protect our exposure as the 1-month LIBOR/SOFR interest rate exceeded 2% beginning in the second half of 2022.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Form 10-Q for the quarter ended September 30, 2023,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the material weaknesses previously identified in Item 9A. “Controls and Procedures” of our Annual Report on Form 10-K for the year ended December 31, 2022 were still present as of September 30, 2023 (the “Evaluation Date”). Based on the material weaknesses, and the evaluation of our disclosure controls and procedures, our CEO and CFO concluded that our disclosure controls and procedures were not effective as of the Evaluation Date.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identified material weaknesses, management believes that the condensed consolidated financial statements included in this Form 10-Q fairly present in all material respects our financial condition, results of operations, and cash flows as of September 30, 2023. </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during the quarter ended September 30, 2023 in our internal control over financial reporting that have materially affected, or are reasonably likely to materially affect, our internal control over financial reporting. The integration of the internal controls relating to Century, which was acquired on June 1, 2022, have been completed and Century will be included in our evaluation of the effectiveness of our internal controls over financial reporting for the fiscal year ended December 31, 2023. </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discussion in Note 16,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a high degree of risk. You should carefully consider the risk factors described under Part I - Item 1A. “Risk Factors” in our Annual Report on Form 10-K for the year ended December 31, 2022 and our condensed consolidated financial statements and related notes contained in this Quarterly Report on Form 10-Q in analyzing an investment in our common stock. If any such risks occur, our business, financial condition, and results of operations would likely suffer, the trading price of our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as set forth below, there have been no material changes in the risk factors described in Item 1A. “Risk Factors” in our Annual Report on Form 10-K for the year ended December 31, 2022.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Unfavorable economic conditions or decreased discretionary spending due to other factors such as terrorist activity or threat thereof, epidemics, pandemics or other public health issues, civil unrest or other economic or political uncertainties, may adversely affect Accel’s business, results of operations, cash flows and financial condition.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economic conditions, including recession, economic slowdown, decreased liquidity in the financial markets, decreased availability of credit, rising interest rates and labor shortages, or inflation or stagflation, could have a negative effect on Accel’s business. Unfavorable economic conditions could cause location partners to shut down or ultimately declare bankruptcy, which could adversely affect Accel’s business. Unfavorable economic conditions may also result in volatility in the credit and equity markets. For example, U.S. capital and credit markets may be adversely affected by numerous factors including: instability in the U.S. and global banking systems due to financial institutions experiencing financial distress, entering into receivership or becoming insolvent, or concerns or rumors about any events of these kinds; uncertainty with respect to the U.S. federal budget, including whether a spending bill will be passed by congress by November 17, 2023 and, if not, whether there will be a closure of the federal government; the war in Israel, and the possibility of a wider Middle Eastern or global conflict; and the war between Russia and Ukraine, the possibility of a wider European or global conflict and global sanctions imposed in response thereto. The difficulty or inability of location partners to access their funds or generate or obtain adequate levels of capital to finance their ongoing operations may cause some to close or ultimately declare bankruptcy. Accel cannot fully predict the effects that unfavorable social, political and economic conditions and economic uncertainties and decreased discretionary spending could have on its business.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Accel’s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Accel’s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Accel.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Condition</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Accel’s financial condition and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credit and liquidity problems. For example, in March 2023, Silicon Valley Bank and Signature Bank were closed and taken over by the Federal Deposit Insurance Corporation (the “FDIC”) as receiver and Credit Suisse and UBS entered into a merger agreement following the intervention of the Swiss regulators and, in May 2023, First Republic Bank was also closed and taken over by the FDIC. Although Accel did not have cash or cash equivalent balances on deposit with these institutions, and these institutions were not lenders under Accel’s indebtedness or counterparties to Accel’s interest rate hedging arrangements, instability in the U.S. or international financial systems could result in less favorable commercial financing or derivative terms, including higher interest rates or costs and tighter financial and operating covenants, or systemic limitations on access to credit and liquidity sources or hedging, thereby making it more difficult for Accel to obtain financing on terms favorable to it, which could have a material adverse impact on Accel’s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share repurchases were made under the Company’s publicly announced program, and there are no other programs under which the Company repurchases shares. Repurchases under our program are executed under the terms of a pre-set trading plan meeting the requirements of Rule 10b5-1(c) of the Securities Exchange Act of 1934, as amended (the “Exchange Act”). The following table presents a summary of share repurchases made during the third quarter of 2023:</w:t>
      </w:r>
    </w:p>
    <w:tbl>
      <w:tblPr>
        <w:tblW w:w="10205" w:type="dxa"/>
        <w:jc w:val="center"/>
        <w:tblInd w:w="0" w:type="dxa"/>
        <w:tblLayout w:type="fixed"/>
        <w:tblCellMar>
          <w:top w:w="28" w:type="dxa"/>
          <w:left w:w="28" w:type="dxa"/>
          <w:bottom w:w="28" w:type="dxa"/>
          <w:right w:w="28" w:type="dxa"/>
        </w:tblCellMar>
      </w:tblPr>
      <w:tblGrid>
        <w:gridCol w:w="857"/>
        <w:gridCol w:w="538"/>
        <w:gridCol w:w="540"/>
        <w:gridCol w:w="109"/>
        <w:gridCol w:w="109"/>
        <w:gridCol w:w="109"/>
        <w:gridCol w:w="571"/>
        <w:gridCol w:w="571"/>
        <w:gridCol w:w="573"/>
        <w:gridCol w:w="109"/>
        <w:gridCol w:w="109"/>
        <w:gridCol w:w="109"/>
        <w:gridCol w:w="488"/>
        <w:gridCol w:w="488"/>
        <w:gridCol w:w="489"/>
        <w:gridCol w:w="109"/>
        <w:gridCol w:w="109"/>
        <w:gridCol w:w="109"/>
        <w:gridCol w:w="1202"/>
        <w:gridCol w:w="1202"/>
        <w:gridCol w:w="1705"/>
      </w:tblGrid>
      <w:tr>
        <w:trPr/>
        <w:tc>
          <w:tcPr>
            <w:tcW w:w="85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of shares that may yet be purchased under the program (in millions)</w:t>
            </w:r>
          </w:p>
        </w:tc>
      </w:tr>
      <w:tr>
        <w:trPr/>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$99.7</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$99.7</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$96.4</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345"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2"/>
        <w:gridCol w:w="265"/>
        <w:gridCol w:w="267"/>
        <w:gridCol w:w="109"/>
        <w:gridCol w:w="109"/>
        <w:gridCol w:w="109"/>
        <w:gridCol w:w="2643"/>
        <w:gridCol w:w="2643"/>
        <w:gridCol w:w="3758"/>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Amendment to Executive Employment Agreement, dated July 15, 2023, by and between Accel Entertainment, Inc., and Derek Harmer (Incorporated by reference to Exhibit 10.11(B) to the Company's Current Report on Form 8-K dated July 18, 2023)</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No. 4 to the Credit Agreement, by and among the Registrant, Capital One, National Association and the other parties thereto, dated November 13, 2019 (Incorporated by reference to Exhibit 10.9(D) to the Company's Current Report on Form 8-K dated August 25, 2023)</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4"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4"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4"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4"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93023.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93023.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93023.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93023.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bl>
    <w:p>
      <w:pPr>
        <w:pStyle w:val="TextBody"/>
        <w:bidi w:val="0"/>
        <w:spacing w:before="0" w:after="0"/>
        <w:ind w:left="0" w:right="0" w:hanging="360"/>
        <w:jc w:val="left"/>
        <w:rPr/>
      </w:pPr>
      <w:r>
        <w:rPr/>
      </w:r>
    </w:p>
    <w:p>
      <w:pPr>
        <w:pStyle w:val="TextBody"/>
        <w:bidi w:val="0"/>
        <w:spacing w:lineRule="auto" w:line="417"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Indicates management contract or compensation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38f096c76ef49f1a77fe8fbb110c0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45"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675" w:type="dxa"/>
        <w:jc w:val="center"/>
        <w:tblInd w:w="0" w:type="dxa"/>
        <w:tblLayout w:type="fixed"/>
        <w:tblCellMar>
          <w:top w:w="28" w:type="dxa"/>
          <w:left w:w="28" w:type="dxa"/>
          <w:bottom w:w="28" w:type="dxa"/>
          <w:right w:w="28" w:type="dxa"/>
        </w:tblCellMar>
      </w:tblPr>
      <w:tblGrid>
        <w:gridCol w:w="759"/>
        <w:gridCol w:w="668"/>
        <w:gridCol w:w="672"/>
        <w:gridCol w:w="457"/>
        <w:gridCol w:w="457"/>
        <w:gridCol w:w="457"/>
        <w:gridCol w:w="644"/>
        <w:gridCol w:w="644"/>
        <w:gridCol w:w="91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b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417"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Andrew Rubenstein,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866"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299"/>
        <w:gridCol w:w="1299"/>
        <w:gridCol w:w="184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Mathew Ellis,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745"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264"/>
        <w:gridCol w:w="1264"/>
        <w:gridCol w:w="179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Executive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September 30, 2023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September 30, 2023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7"/>
        <w:gridCol w:w="1731"/>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98991/000169899123000033/amendment1todhemploymentag.htm" TargetMode="External"/><Relationship Id="rId3" Type="http://schemas.openxmlformats.org/officeDocument/2006/relationships/hyperlink" Target="http://www.sec.gov/Archives/edgar/data/1698991/000169899123000043/creditagreement-amendment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22255</Words>
  <Characters>123503</Characters>
  <CharactersWithSpaces>144588</CharactersWithSpaces>
  <Paragraphs>2465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