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205740</wp:posOffset>
            </wp:positionH>
            <wp:positionV relativeFrom="page">
              <wp:posOffset>782955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807720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36" w:lineRule="exact"/>
        <w:rPr>
          <w:sz w:val="24"/>
          <w:szCs w:val="24"/>
          <w:color w:val="auto"/>
        </w:rPr>
      </w:pPr>
    </w:p>
    <w:p>
      <w:pPr>
        <w:ind w:left="1380" w:hanging="327"/>
        <w:spacing w:after="0"/>
        <w:tabs>
          <w:tab w:leader="none" w:pos="13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June 30, 2024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7" w:lineRule="exact"/>
        <w:rPr>
          <w:sz w:val="24"/>
          <w:szCs w:val="24"/>
          <w:color w:val="auto"/>
        </w:rPr>
      </w:pPr>
    </w:p>
    <w:p>
      <w:pPr>
        <w:ind w:left="1420" w:hanging="344"/>
        <w:spacing w:after="0"/>
        <w:tabs>
          <w:tab w:leader="none" w:pos="14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6" w:lineRule="exact"/>
        <w:rPr>
          <w:rFonts w:ascii="MS PGothic" w:cs="MS PGothic" w:eastAsia="MS PGothic" w:hAnsi="MS PGothic"/>
          <w:sz w:val="17"/>
          <w:szCs w:val="17"/>
          <w:color w:val="auto"/>
        </w:rPr>
      </w:pPr>
    </w:p>
    <w:p>
      <w:pPr>
        <w:ind w:left="396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For the transition period from _______ to ______</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2125345</wp:posOffset>
            </wp:positionH>
            <wp:positionV relativeFrom="paragraph">
              <wp:posOffset>122555</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Accel Entertainment,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2125345</wp:posOffset>
            </wp:positionH>
            <wp:positionV relativeFrom="paragraph">
              <wp:posOffset>116205</wp:posOffset>
            </wp:positionV>
            <wp:extent cx="2891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91" w:lineRule="exact"/>
        <w:rPr>
          <w:sz w:val="24"/>
          <w:szCs w:val="24"/>
          <w:color w:val="auto"/>
        </w:rPr>
      </w:pPr>
    </w:p>
    <w:tbl>
      <w:tblPr>
        <w:tblLayout w:type="fixed"/>
        <w:tblInd w:w="220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20" w:type="dxa"/>
            <w:vAlign w:val="bottom"/>
          </w:tcPr>
          <w:p>
            <w:pPr>
              <w:spacing w:after="0"/>
              <w:rPr>
                <w:sz w:val="16"/>
                <w:szCs w:val="16"/>
                <w:color w:val="auto"/>
              </w:rPr>
            </w:pPr>
          </w:p>
        </w:tc>
        <w:tc>
          <w:tcPr>
            <w:tcW w:w="2860" w:type="dxa"/>
            <w:vAlign w:val="bottom"/>
            <w:gridSpan w:val="2"/>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98-1350261</w:t>
            </w:r>
          </w:p>
        </w:tc>
        <w:tc>
          <w:tcPr>
            <w:tcW w:w="220" w:type="dxa"/>
            <w:vAlign w:val="bottom"/>
          </w:tcPr>
          <w:p>
            <w:pPr>
              <w:spacing w:after="0"/>
              <w:rPr>
                <w:sz w:val="16"/>
                <w:szCs w:val="16"/>
                <w:color w:val="auto"/>
              </w:rPr>
            </w:pPr>
          </w:p>
        </w:tc>
      </w:tr>
      <w:tr>
        <w:trPr>
          <w:trHeight w:val="224"/>
        </w:trPr>
        <w:tc>
          <w:tcPr>
            <w:tcW w:w="25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7"/>
              </w:rPr>
              <w:t>(State or other jurisdiction of</w:t>
            </w:r>
          </w:p>
        </w:tc>
        <w:tc>
          <w:tcPr>
            <w:tcW w:w="1720" w:type="dxa"/>
            <w:vAlign w:val="bottom"/>
          </w:tcPr>
          <w:p>
            <w:pPr>
              <w:spacing w:after="0"/>
              <w:rPr>
                <w:sz w:val="19"/>
                <w:szCs w:val="19"/>
                <w:color w:val="auto"/>
              </w:rPr>
            </w:pPr>
          </w:p>
        </w:tc>
        <w:tc>
          <w:tcPr>
            <w:tcW w:w="2120" w:type="dxa"/>
            <w:vAlign w:val="bottom"/>
            <w:gridSpan w:val="3"/>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05"/>
        </w:trPr>
        <w:tc>
          <w:tcPr>
            <w:tcW w:w="25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7"/>
              </w:rPr>
              <w:t>incorporation or organization)</w:t>
            </w:r>
          </w:p>
        </w:tc>
        <w:tc>
          <w:tcPr>
            <w:tcW w:w="1720" w:type="dxa"/>
            <w:vAlign w:val="bottom"/>
          </w:tcPr>
          <w:p>
            <w:pPr>
              <w:spacing w:after="0"/>
              <w:rPr>
                <w:sz w:val="17"/>
                <w:szCs w:val="17"/>
                <w:color w:val="auto"/>
              </w:rPr>
            </w:pPr>
          </w:p>
        </w:tc>
        <w:tc>
          <w:tcPr>
            <w:tcW w:w="2120" w:type="dxa"/>
            <w:vAlign w:val="bottom"/>
            <w:gridSpan w:val="3"/>
          </w:tcPr>
          <w:p>
            <w:pPr>
              <w:jc w:val="center"/>
              <w:ind w:left="822"/>
              <w:spacing w:after="0"/>
              <w:rPr>
                <w:sz w:val="20"/>
                <w:szCs w:val="20"/>
                <w:color w:val="auto"/>
              </w:rPr>
            </w:pPr>
            <w:r>
              <w:rPr>
                <w:rFonts w:ascii="Times New Roman" w:cs="Times New Roman" w:eastAsia="Times New Roman" w:hAnsi="Times New Roman"/>
                <w:sz w:val="16"/>
                <w:szCs w:val="16"/>
                <w:b w:val="1"/>
                <w:bCs w:val="1"/>
                <w:color w:val="auto"/>
                <w:w w:val="97"/>
              </w:rPr>
              <w:t>Identification No.)</w:t>
            </w:r>
          </w:p>
        </w:tc>
      </w:tr>
      <w:tr>
        <w:trPr>
          <w:trHeight w:val="299"/>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40" w:type="dxa"/>
            <w:vAlign w:val="bottom"/>
            <w:gridSpan w:val="4"/>
          </w:tcPr>
          <w:p>
            <w:pPr>
              <w:jc w:val="center"/>
              <w:ind w:right="2100"/>
              <w:spacing w:after="0"/>
              <w:rPr>
                <w:sz w:val="20"/>
                <w:szCs w:val="20"/>
                <w:color w:val="auto"/>
              </w:rPr>
            </w:pPr>
            <w:r>
              <w:rPr>
                <w:rFonts w:ascii="Times New Roman" w:cs="Times New Roman" w:eastAsia="Times New Roman" w:hAnsi="Times New Roman"/>
                <w:sz w:val="16"/>
                <w:szCs w:val="16"/>
                <w:b w:val="1"/>
                <w:bCs w:val="1"/>
                <w:color w:val="auto"/>
                <w:w w:val="95"/>
              </w:rPr>
              <w:t>140 Tower Drive</w:t>
            </w:r>
          </w:p>
        </w:tc>
      </w:tr>
      <w:tr>
        <w:trPr>
          <w:trHeight w:val="201"/>
        </w:trPr>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40" w:type="dxa"/>
            <w:vAlign w:val="bottom"/>
            <w:gridSpan w:val="4"/>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w w:val="97"/>
              </w:rPr>
              <w:t>Burr Ridge, Illinois 60527</w:t>
            </w: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(630) 972-2235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26"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060" w:type="dxa"/>
            <w:vAlign w:val="bottom"/>
            <w:gridSpan w:val="2"/>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820" w:type="dxa"/>
            <w:vAlign w:val="bottom"/>
            <w:gridSpan w:val="2"/>
          </w:tcPr>
          <w:p>
            <w:pPr>
              <w:jc w:val="center"/>
              <w:ind w:left="1171"/>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30"/>
        </w:trPr>
        <w:tc>
          <w:tcPr>
            <w:tcW w:w="402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color w:val="auto"/>
                <w:w w:val="98"/>
              </w:rPr>
              <w:t>Class A-1 Common Stock, par value $.0001 per share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ACEL</w:t>
            </w:r>
          </w:p>
        </w:tc>
        <w:tc>
          <w:tcPr>
            <w:tcW w:w="124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The New York Stock Exchange</w:t>
            </w:r>
          </w:p>
        </w:tc>
      </w:tr>
    </w:tbl>
    <w:p>
      <w:pPr>
        <w:spacing w:after="0" w:line="369" w:lineRule="exact"/>
        <w:rPr>
          <w:sz w:val="24"/>
          <w:szCs w:val="24"/>
          <w:color w:val="auto"/>
        </w:rPr>
      </w:pPr>
    </w:p>
    <w:p>
      <w:pPr>
        <w:jc w:val="both"/>
        <w:ind w:firstLine="312"/>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ind w:firstLine="312"/>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20" w:type="dxa"/>
        <w:tblCellMar>
          <w:top w:w="0" w:type="dxa"/>
          <w:left w:w="0" w:type="dxa"/>
          <w:bottom w:w="0" w:type="dxa"/>
          <w:right w:w="0" w:type="dxa"/>
        </w:tblCellMar>
      </w:tblPr>
      <w:tr>
        <w:trPr>
          <w:trHeight w:val="22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9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9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5"/>
        </w:trPr>
        <w:tc>
          <w:tcPr>
            <w:tcW w:w="2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4" w:lineRule="exact"/>
        <w:rPr>
          <w:sz w:val="24"/>
          <w:szCs w:val="24"/>
          <w:color w:val="auto"/>
        </w:rPr>
      </w:pPr>
    </w:p>
    <w:p>
      <w:pPr>
        <w:ind w:firstLine="312"/>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 w:lineRule="exact"/>
        <w:rPr>
          <w:sz w:val="24"/>
          <w:szCs w:val="24"/>
          <w:color w:val="auto"/>
        </w:rPr>
      </w:pPr>
    </w:p>
    <w:p>
      <w:pPr>
        <w:ind w:left="320"/>
        <w:spacing w:after="0" w:line="196" w:lineRule="exact"/>
        <w:tabs>
          <w:tab w:leader="none" w:pos="7620" w:val="left"/>
          <w:tab w:leader="none" w:pos="828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5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July 26, 2024, there were 82,634,762 shares outstanding of the registrant’s Class A-1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560705</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118745</wp:posOffset>
            </wp:positionV>
            <wp:extent cx="700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024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143510</wp:posOffset>
            </wp:positionV>
            <wp:extent cx="700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7520" w:type="dxa"/>
            <w:vAlign w:val="bottom"/>
          </w:tcPr>
          <w:p>
            <w:pPr>
              <w:jc w:val="center"/>
              <w:ind w:right="573"/>
              <w:spacing w:after="0"/>
              <w:rPr>
                <w:sz w:val="20"/>
                <w:szCs w:val="20"/>
                <w:color w:val="auto"/>
              </w:rPr>
            </w:pPr>
            <w:r>
              <w:rPr>
                <w:rFonts w:ascii="Times New Roman" w:cs="Times New Roman" w:eastAsia="Times New Roman" w:hAnsi="Times New Roman"/>
                <w:sz w:val="17"/>
                <w:szCs w:val="17"/>
                <w:b w:val="1"/>
                <w:bCs w:val="1"/>
                <w:color w:val="auto"/>
              </w:rPr>
              <w:t>ACCEL ENTERTAINMENT, INC.</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7520" w:type="dxa"/>
            <w:vAlign w:val="bottom"/>
          </w:tcPr>
          <w:p>
            <w:pPr>
              <w:jc w:val="center"/>
              <w:ind w:right="593"/>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7520" w:type="dxa"/>
            <w:vAlign w:val="bottom"/>
          </w:tcPr>
          <w:p>
            <w:pPr>
              <w:jc w:val="center"/>
              <w:ind w:right="593"/>
              <w:spacing w:after="0"/>
              <w:rPr>
                <w:sz w:val="20"/>
                <w:szCs w:val="20"/>
                <w:color w:val="auto"/>
              </w:rPr>
            </w:pPr>
            <w:r>
              <w:rPr>
                <w:rFonts w:ascii="Times New Roman" w:cs="Times New Roman" w:eastAsia="Times New Roman" w:hAnsi="Times New Roman"/>
                <w:sz w:val="17"/>
                <w:szCs w:val="17"/>
                <w:b w:val="1"/>
                <w:bCs w:val="1"/>
                <w:color w:val="auto"/>
              </w:rPr>
              <w:t>FOR THE QUARTER ENDED JUNE 30, 2024</w:t>
            </w:r>
          </w:p>
        </w:tc>
        <w:tc>
          <w:tcPr>
            <w:tcW w:w="0" w:type="dxa"/>
            <w:vAlign w:val="bottom"/>
          </w:tcPr>
          <w:p>
            <w:pPr>
              <w:spacing w:after="0"/>
              <w:rPr>
                <w:sz w:val="1"/>
                <w:szCs w:val="1"/>
                <w:color w:val="auto"/>
              </w:rPr>
            </w:pPr>
          </w:p>
        </w:tc>
      </w:tr>
      <w:tr>
        <w:trPr>
          <w:trHeight w:val="572"/>
        </w:trPr>
        <w:tc>
          <w:tcPr>
            <w:tcW w:w="1080" w:type="dxa"/>
            <w:vAlign w:val="bottom"/>
          </w:tcPr>
          <w:p>
            <w:pPr>
              <w:spacing w:after="0"/>
              <w:rPr>
                <w:sz w:val="24"/>
                <w:szCs w:val="24"/>
                <w:color w:val="auto"/>
              </w:rPr>
            </w:pPr>
          </w:p>
        </w:tc>
        <w:tc>
          <w:tcPr>
            <w:tcW w:w="7520" w:type="dxa"/>
            <w:vAlign w:val="bottom"/>
          </w:tcPr>
          <w:p>
            <w:pPr>
              <w:jc w:val="center"/>
              <w:ind w:right="593"/>
              <w:spacing w:after="0"/>
              <w:rPr>
                <w:sz w:val="20"/>
                <w:szCs w:val="20"/>
                <w:color w:val="auto"/>
              </w:rPr>
            </w:pPr>
            <w:r>
              <w:rPr>
                <w:rFonts w:ascii="Times New Roman" w:cs="Times New Roman" w:eastAsia="Times New Roman" w:hAnsi="Times New Roman"/>
                <w:sz w:val="17"/>
                <w:szCs w:val="17"/>
                <w:color w:val="auto"/>
              </w:rPr>
              <w:t>TABLE OF CONTENTS</w:t>
            </w:r>
          </w:p>
        </w:tc>
        <w:tc>
          <w:tcPr>
            <w:tcW w:w="0" w:type="dxa"/>
            <w:vAlign w:val="bottom"/>
          </w:tcPr>
          <w:p>
            <w:pPr>
              <w:spacing w:after="0"/>
              <w:rPr>
                <w:sz w:val="1"/>
                <w:szCs w:val="1"/>
                <w:color w:val="auto"/>
              </w:rPr>
            </w:pPr>
          </w:p>
        </w:tc>
      </w:tr>
      <w:tr>
        <w:trPr>
          <w:trHeight w:val="325"/>
        </w:trPr>
        <w:tc>
          <w:tcPr>
            <w:tcW w:w="1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0" w:type="dxa"/>
            <w:vAlign w:val="bottom"/>
          </w:tcPr>
          <w:p>
            <w:pPr>
              <w:spacing w:after="0"/>
              <w:rPr>
                <w:sz w:val="1"/>
                <w:szCs w:val="1"/>
                <w:color w:val="auto"/>
              </w:rPr>
            </w:pPr>
          </w:p>
        </w:tc>
      </w:tr>
      <w:tr>
        <w:trPr>
          <w:trHeight w:val="255"/>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FINANCIAL STATEMENTS</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7520" w:type="dxa"/>
            <w:vAlign w:val="bottom"/>
          </w:tcPr>
          <w:p>
            <w:pPr>
              <w:ind w:left="40"/>
              <w:spacing w:after="0" w:line="175" w:lineRule="exact"/>
              <w:rPr>
                <w:sz w:val="20"/>
                <w:szCs w:val="20"/>
                <w:color w:val="auto"/>
              </w:rPr>
            </w:pPr>
            <w:r>
              <w:rPr>
                <w:rFonts w:ascii="Times New Roman" w:cs="Times New Roman" w:eastAsia="Times New Roman" w:hAnsi="Times New Roman"/>
                <w:sz w:val="17"/>
                <w:szCs w:val="17"/>
                <w:color w:val="auto"/>
              </w:rPr>
              <w:t>Condensed Consolidated Statements of Operations and Comprehensive Income (Unaudited) for the three</w:t>
            </w: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and six months ended June 30, 2024 and 2023</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4"/>
                <w:szCs w:val="24"/>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Condensed Consolidated Balance Sheets (Unaudited) as of June 30, 2024 and December 31, 2023</w:t>
            </w:r>
          </w:p>
        </w:tc>
        <w:tc>
          <w:tcPr>
            <w:tcW w:w="0" w:type="dxa"/>
            <w:vAlign w:val="bottom"/>
          </w:tcPr>
          <w:p>
            <w:pPr>
              <w:spacing w:after="0"/>
              <w:rPr>
                <w:sz w:val="1"/>
                <w:szCs w:val="1"/>
                <w:color w:val="auto"/>
              </w:rPr>
            </w:pPr>
          </w:p>
        </w:tc>
      </w:tr>
      <w:tr>
        <w:trPr>
          <w:trHeight w:val="416"/>
        </w:trPr>
        <w:tc>
          <w:tcPr>
            <w:tcW w:w="1080" w:type="dxa"/>
            <w:vAlign w:val="bottom"/>
          </w:tcPr>
          <w:p>
            <w:pPr>
              <w:spacing w:after="0"/>
              <w:rPr>
                <w:sz w:val="24"/>
                <w:szCs w:val="24"/>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 for the three and six months</w:t>
            </w: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ended June 30, 2024 and 2023</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 for the six months ended June 30, 2024</w:t>
            </w: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and 2023</w:t>
            </w:r>
          </w:p>
        </w:tc>
        <w:tc>
          <w:tcPr>
            <w:tcW w:w="0" w:type="dxa"/>
            <w:vAlign w:val="bottom"/>
          </w:tcPr>
          <w:p>
            <w:pPr>
              <w:spacing w:after="0"/>
              <w:rPr>
                <w:sz w:val="1"/>
                <w:szCs w:val="1"/>
                <w:color w:val="auto"/>
              </w:rPr>
            </w:pPr>
          </w:p>
        </w:tc>
      </w:tr>
      <w:tr>
        <w:trPr>
          <w:trHeight w:val="268"/>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ITEM 2.</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Notes to the Condensed Consolidated Financial Statements (Unaudited)</w:t>
            </w:r>
          </w:p>
        </w:tc>
        <w:tc>
          <w:tcPr>
            <w:tcW w:w="0" w:type="dxa"/>
            <w:vAlign w:val="bottom"/>
          </w:tcPr>
          <w:p>
            <w:pPr>
              <w:spacing w:after="0"/>
              <w:rPr>
                <w:sz w:val="1"/>
                <w:szCs w:val="1"/>
                <w:color w:val="auto"/>
              </w:rPr>
            </w:pPr>
          </w:p>
        </w:tc>
      </w:tr>
      <w:tr>
        <w:trPr>
          <w:trHeight w:val="182"/>
        </w:trPr>
        <w:tc>
          <w:tcPr>
            <w:tcW w:w="1080" w:type="dxa"/>
            <w:vAlign w:val="bottom"/>
            <w:vMerge w:val="continue"/>
          </w:tcPr>
          <w:p>
            <w:pPr>
              <w:spacing w:after="0"/>
              <w:rPr>
                <w:sz w:val="15"/>
                <w:szCs w:val="15"/>
                <w:color w:val="auto"/>
              </w:rPr>
            </w:pPr>
          </w:p>
        </w:tc>
        <w:tc>
          <w:tcPr>
            <w:tcW w:w="7520" w:type="dxa"/>
            <w:vAlign w:val="bottom"/>
          </w:tcPr>
          <w:p>
            <w:pPr>
              <w:ind w:left="40"/>
              <w:spacing w:after="0" w:line="182" w:lineRule="exact"/>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w:t>
            </w: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OPERATIONS</w:t>
            </w:r>
          </w:p>
        </w:tc>
        <w:tc>
          <w:tcPr>
            <w:tcW w:w="0" w:type="dxa"/>
            <w:vAlign w:val="bottom"/>
          </w:tcPr>
          <w:p>
            <w:pPr>
              <w:spacing w:after="0"/>
              <w:rPr>
                <w:sz w:val="1"/>
                <w:szCs w:val="1"/>
                <w:color w:val="auto"/>
              </w:rPr>
            </w:pPr>
          </w:p>
        </w:tc>
      </w:tr>
      <w:tr>
        <w:trPr>
          <w:trHeight w:val="268"/>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CONTROLS AND PROCEDURES</w:t>
            </w:r>
          </w:p>
        </w:tc>
        <w:tc>
          <w:tcPr>
            <w:tcW w:w="0" w:type="dxa"/>
            <w:vAlign w:val="bottom"/>
          </w:tcPr>
          <w:p>
            <w:pPr>
              <w:spacing w:after="0"/>
              <w:rPr>
                <w:sz w:val="1"/>
                <w:szCs w:val="1"/>
                <w:color w:val="auto"/>
              </w:rPr>
            </w:pPr>
          </w:p>
        </w:tc>
      </w:tr>
      <w:tr>
        <w:trPr>
          <w:trHeight w:val="507"/>
        </w:trPr>
        <w:tc>
          <w:tcPr>
            <w:tcW w:w="1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LEGAL PROCEEDINGS</w:t>
            </w: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RISK FACTORS</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MINE SAFETY DISCLOSURES</w:t>
            </w: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INFORMATION</w:t>
            </w: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EXHIBITS</w:t>
            </w:r>
          </w:p>
        </w:tc>
        <w:tc>
          <w:tcPr>
            <w:tcW w:w="0" w:type="dxa"/>
            <w:vAlign w:val="bottom"/>
          </w:tcPr>
          <w:p>
            <w:pPr>
              <w:spacing w:after="0"/>
              <w:rPr>
                <w:sz w:val="1"/>
                <w:szCs w:val="1"/>
                <w:color w:val="auto"/>
              </w:rPr>
            </w:pPr>
          </w:p>
        </w:tc>
      </w:tr>
      <w:tr>
        <w:trPr>
          <w:trHeight w:val="52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7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598805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0000FF"/>
        </w:rPr>
        <w:t>1</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0000FF"/>
        </w:rPr>
        <w:t>1</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0000FF"/>
        </w:rPr>
        <w:t>1</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0000FF"/>
        </w:rPr>
        <w:t>2</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0000FF"/>
        </w:rPr>
        <w:t>3</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0000FF"/>
        </w:rPr>
        <w:t>4</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0000FF"/>
        </w:rPr>
        <w:t>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37</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37</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38</w:t>
      </w:r>
    </w:p>
    <w:p>
      <w:pPr>
        <w:sectPr>
          <w:pgSz w:w="11900" w:h="16838" w:orient="portrait"/>
          <w:cols w:equalWidth="0" w:num="2">
            <w:col w:w="8600" w:space="240"/>
            <w:col w:w="180"/>
          </w:cols>
          <w:pgMar w:left="1440" w:top="926" w:right="1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5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2"/>
        </w:trPr>
        <w:tc>
          <w:tcPr>
            <w:tcW w:w="8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920" w:type="dxa"/>
            <w:vAlign w:val="bottom"/>
            <w:gridSpan w:val="5"/>
          </w:tcPr>
          <w:p>
            <w:pPr>
              <w:jc w:val="center"/>
              <w:ind w:left="2753"/>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gridSpan w:val="5"/>
          </w:tcPr>
          <w:p>
            <w:pPr>
              <w:jc w:val="center"/>
              <w:ind w:left="2773"/>
              <w:spacing w:after="0"/>
              <w:rPr>
                <w:sz w:val="20"/>
                <w:szCs w:val="20"/>
                <w:color w:val="auto"/>
              </w:rPr>
            </w:pPr>
            <w:r>
              <w:rPr>
                <w:rFonts w:ascii="Times New Roman" w:cs="Times New Roman" w:eastAsia="Times New Roman" w:hAnsi="Times New Roman"/>
                <w:sz w:val="17"/>
                <w:szCs w:val="17"/>
                <w:b w:val="1"/>
                <w:bCs w:val="1"/>
                <w:color w:val="auto"/>
              </w:rPr>
              <w:t>ACCEL ENTERTAINMENT, INC.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20" w:type="dxa"/>
            <w:vAlign w:val="bottom"/>
            <w:gridSpan w:val="11"/>
          </w:tcPr>
          <w:p>
            <w:pPr>
              <w:ind w:left="4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0" w:type="dxa"/>
            <w:vAlign w:val="bottom"/>
            <w:gridSpan w:val="4"/>
          </w:tcPr>
          <w:p>
            <w:pPr>
              <w:jc w:val="center"/>
              <w:ind w:left="309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thousands, except per share amounts)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gaming</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293,240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277,551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581,377</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556,931</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Amusement</w:t>
            </w:r>
          </w:p>
        </w:tc>
        <w:tc>
          <w:tcPr>
            <w:tcW w:w="2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5,539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5,630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12,428</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Manufacturing</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5,208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4,430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7,417</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6,552</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ATM fees and other</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5,426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5,036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10,768</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9,944</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net revenues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309,413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292,647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611,230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585,855</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3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Cost of revenue (exclusive of depreciation and amortization</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 shown below)</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213,317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202,306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422,484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405,860</w:t>
            </w: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Cost of manufacturing goods sold (exclusive of depreciation</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amortization expense shown below)</w:t>
            </w:r>
          </w:p>
        </w:tc>
        <w:tc>
          <w:tcPr>
            <w:tcW w:w="22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3,162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3,562</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46,541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44,220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94,175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87,238</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2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10,794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9,446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18,509</w:t>
            </w: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3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Amortization of intangible assets and route and customer</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5,589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5,284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10,526</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expenses, net</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7,327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9,753</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3,324</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286,730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263,483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562,988</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529,019</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8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2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22,683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29,164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56,836</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8,906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8,243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17,566</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16,131</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(Gain) loss on change in fair value of contingent earnout shares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4,836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9,438</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18,519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16,085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31,267</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3,933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6,102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8,700</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12,102</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14,586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9,983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22,002</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19,165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tcPr>
          <w:p>
            <w:pPr>
              <w:spacing w:after="0"/>
              <w:rPr>
                <w:sz w:val="16"/>
                <w:szCs w:val="16"/>
                <w:color w:val="auto"/>
              </w:rPr>
            </w:pPr>
          </w:p>
        </w:tc>
        <w:tc>
          <w:tcPr>
            <w:tcW w:w="4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0.12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0.11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83,911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86,184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84,105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86,529</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85,054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86,820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85,178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86,971</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48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20" w:type="dxa"/>
            <w:vAlign w:val="bottom"/>
          </w:tcPr>
          <w:p>
            <w:pPr>
              <w:spacing w:after="0"/>
              <w:rPr>
                <w:sz w:val="22"/>
                <w:szCs w:val="22"/>
                <w:color w:val="auto"/>
              </w:rPr>
            </w:pPr>
          </w:p>
        </w:tc>
        <w:tc>
          <w:tcPr>
            <w:tcW w:w="48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14,586</w:t>
            </w:r>
          </w:p>
        </w:tc>
        <w:tc>
          <w:tcPr>
            <w:tcW w:w="12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9,983</w:t>
            </w:r>
          </w:p>
        </w:tc>
        <w:tc>
          <w:tcPr>
            <w:tcW w:w="1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22,002</w:t>
            </w:r>
          </w:p>
        </w:tc>
        <w:tc>
          <w:tcPr>
            <w:tcW w:w="140" w:type="dxa"/>
            <w:vAlign w:val="bottom"/>
          </w:tcPr>
          <w:p>
            <w:pPr>
              <w:spacing w:after="0"/>
              <w:rPr>
                <w:sz w:val="22"/>
                <w:szCs w:val="22"/>
                <w:color w:val="auto"/>
              </w:rPr>
            </w:pP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19,165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Unrealized (loss) gain on interest rate caplets (net of income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1"/>
                <w:szCs w:val="21"/>
                <w:color w:val="auto"/>
              </w:rPr>
            </w:pPr>
          </w:p>
        </w:tc>
        <w:tc>
          <w:tcPr>
            <w:tcW w:w="4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taxes of $(403), $789, $2, and $(40) respectively)</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2,062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38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13,509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12,045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22,006</w:t>
            </w:r>
          </w:p>
        </w:tc>
        <w:tc>
          <w:tcPr>
            <w:tcW w:w="140" w:type="dxa"/>
            <w:vAlign w:val="bottom"/>
          </w:tcPr>
          <w:p>
            <w:pPr>
              <w:spacing w:after="0"/>
              <w:rPr>
                <w:sz w:val="22"/>
                <w:szCs w:val="22"/>
                <w:color w:val="auto"/>
              </w:rPr>
            </w:pPr>
          </w:p>
        </w:tc>
        <w:tc>
          <w:tcPr>
            <w:tcW w:w="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19,061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0460"/>
          </w:cols>
          <w:pgMar w:left="320" w:top="113"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460"/>
          </w:cols>
          <w:pgMar w:left="320" w:top="113" w:right="11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3"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35"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par value and share amounts)</w:t>
            </w:r>
          </w:p>
        </w:tc>
        <w:tc>
          <w:tcPr>
            <w:tcW w:w="22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1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8"/>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254,923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261,611</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15,149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13,467</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8,765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6,287</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7,533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7,681</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rate caplets</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8,801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8,140</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15,919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6,555</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11,111</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8,853</w:t>
            </w:r>
          </w:p>
        </w:tc>
        <w:tc>
          <w:tcPr>
            <w:tcW w:w="0" w:type="dxa"/>
            <w:vAlign w:val="bottom"/>
          </w:tcPr>
          <w:p>
            <w:pPr>
              <w:spacing w:after="0"/>
              <w:rPr>
                <w:sz w:val="1"/>
                <w:szCs w:val="1"/>
                <w:color w:val="auto"/>
              </w:rPr>
            </w:pPr>
          </w:p>
        </w:tc>
      </w:tr>
      <w:tr>
        <w:trPr>
          <w:trHeight w:val="178"/>
        </w:trPr>
        <w:tc>
          <w:tcPr>
            <w:tcW w:w="63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322,201</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312,594</w:t>
            </w:r>
          </w:p>
        </w:tc>
        <w:tc>
          <w:tcPr>
            <w:tcW w:w="0" w:type="dxa"/>
            <w:vAlign w:val="bottom"/>
          </w:tcPr>
          <w:p>
            <w:pPr>
              <w:spacing w:after="0"/>
              <w:rPr>
                <w:sz w:val="1"/>
                <w:szCs w:val="1"/>
                <w:color w:val="auto"/>
              </w:rPr>
            </w:pPr>
          </w:p>
        </w:tc>
      </w:tr>
      <w:tr>
        <w:trPr>
          <w:trHeight w:val="36"/>
        </w:trPr>
        <w:tc>
          <w:tcPr>
            <w:tcW w:w="63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276,477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260,813</w:t>
            </w:r>
          </w:p>
        </w:tc>
        <w:tc>
          <w:tcPr>
            <w:tcW w:w="0" w:type="dxa"/>
            <w:vAlign w:val="bottom"/>
          </w:tcPr>
          <w:p>
            <w:pPr>
              <w:spacing w:after="0"/>
              <w:rPr>
                <w:sz w:val="1"/>
                <w:szCs w:val="1"/>
                <w:color w:val="auto"/>
              </w:rPr>
            </w:pPr>
          </w:p>
        </w:tc>
      </w:tr>
      <w:tr>
        <w:trPr>
          <w:trHeight w:val="16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Route and customer acquisition costs, net</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23,705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19,188</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Location contracts acquired, net</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181,350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176,311</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101,859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101,554</w:t>
            </w:r>
          </w:p>
        </w:tc>
        <w:tc>
          <w:tcPr>
            <w:tcW w:w="0" w:type="dxa"/>
            <w:vAlign w:val="bottom"/>
          </w:tcPr>
          <w:p>
            <w:pPr>
              <w:spacing w:after="0"/>
              <w:rPr>
                <w:sz w:val="1"/>
                <w:szCs w:val="1"/>
                <w:color w:val="auto"/>
              </w:rPr>
            </w:pPr>
          </w:p>
        </w:tc>
      </w:tr>
      <w:tr>
        <w:trPr>
          <w:trHeight w:val="198"/>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2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19,324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20,542</w:t>
            </w: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rate caplets, net of current</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3,730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4,871</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21,702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17,020</w:t>
            </w:r>
          </w:p>
        </w:tc>
        <w:tc>
          <w:tcPr>
            <w:tcW w:w="0" w:type="dxa"/>
            <w:vAlign w:val="bottom"/>
          </w:tcPr>
          <w:p>
            <w:pPr>
              <w:spacing w:after="0"/>
              <w:rPr>
                <w:sz w:val="1"/>
                <w:szCs w:val="1"/>
                <w:color w:val="auto"/>
              </w:rPr>
            </w:pPr>
          </w:p>
        </w:tc>
      </w:tr>
      <w:tr>
        <w:trPr>
          <w:trHeight w:val="36"/>
        </w:trPr>
        <w:tc>
          <w:tcPr>
            <w:tcW w:w="63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3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351,670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339,486</w:t>
            </w:r>
          </w:p>
        </w:tc>
        <w:tc>
          <w:tcPr>
            <w:tcW w:w="0" w:type="dxa"/>
            <w:vAlign w:val="bottom"/>
          </w:tcPr>
          <w:p>
            <w:pPr>
              <w:spacing w:after="0"/>
              <w:rPr>
                <w:sz w:val="1"/>
                <w:szCs w:val="1"/>
                <w:color w:val="auto"/>
              </w:rPr>
            </w:pPr>
          </w:p>
        </w:tc>
      </w:tr>
      <w:tr>
        <w:trPr>
          <w:trHeight w:val="209"/>
        </w:trPr>
        <w:tc>
          <w:tcPr>
            <w:tcW w:w="63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950,348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912,893</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4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maturities of debt</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28,489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28,483</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portion of route and customer acquisition costs payable</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location gaming expense</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9,129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9,350</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state gaming expense</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17,177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18,364</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34,476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36,012</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11,195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12,648</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portion of consideration payable</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3,275</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3,288</w:t>
            </w:r>
          </w:p>
        </w:tc>
        <w:tc>
          <w:tcPr>
            <w:tcW w:w="0" w:type="dxa"/>
            <w:vAlign w:val="bottom"/>
          </w:tcPr>
          <w:p>
            <w:pPr>
              <w:spacing w:after="0"/>
              <w:rPr>
                <w:sz w:val="1"/>
                <w:szCs w:val="1"/>
                <w:color w:val="auto"/>
              </w:rPr>
            </w:pPr>
          </w:p>
        </w:tc>
      </w:tr>
      <w:tr>
        <w:trPr>
          <w:trHeight w:val="178"/>
        </w:trPr>
        <w:tc>
          <w:tcPr>
            <w:tcW w:w="63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105,755</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109,650</w:t>
            </w:r>
          </w:p>
        </w:tc>
        <w:tc>
          <w:tcPr>
            <w:tcW w:w="0" w:type="dxa"/>
            <w:vAlign w:val="bottom"/>
          </w:tcPr>
          <w:p>
            <w:pPr>
              <w:spacing w:after="0"/>
              <w:rPr>
                <w:sz w:val="1"/>
                <w:szCs w:val="1"/>
                <w:color w:val="auto"/>
              </w:rPr>
            </w:pPr>
          </w:p>
        </w:tc>
      </w:tr>
      <w:tr>
        <w:trPr>
          <w:trHeight w:val="36"/>
        </w:trPr>
        <w:tc>
          <w:tcPr>
            <w:tcW w:w="63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Debt, net of current maturities</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537,252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514,091</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Route and customer acquisition costs payable, less current portion</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7,482</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4,955</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Consideration payable, less current portion</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9,794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4,201</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Contingent earnout share liability</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31,801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31,827</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6,713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7,015</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income tax liability, net</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42,463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42,750</w:t>
            </w:r>
          </w:p>
        </w:tc>
        <w:tc>
          <w:tcPr>
            <w:tcW w:w="0" w:type="dxa"/>
            <w:vAlign w:val="bottom"/>
          </w:tcPr>
          <w:p>
            <w:pPr>
              <w:spacing w:after="0"/>
              <w:rPr>
                <w:sz w:val="1"/>
                <w:szCs w:val="1"/>
                <w:color w:val="auto"/>
              </w:rPr>
            </w:pPr>
          </w:p>
        </w:tc>
      </w:tr>
      <w:tr>
        <w:trPr>
          <w:trHeight w:val="178"/>
        </w:trPr>
        <w:tc>
          <w:tcPr>
            <w:tcW w:w="63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Total long-term liabilities</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635,505</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604,839</w:t>
            </w:r>
          </w:p>
        </w:tc>
        <w:tc>
          <w:tcPr>
            <w:tcW w:w="0" w:type="dxa"/>
            <w:vAlign w:val="bottom"/>
          </w:tcPr>
          <w:p>
            <w:pPr>
              <w:spacing w:after="0"/>
              <w:rPr>
                <w:sz w:val="1"/>
                <w:szCs w:val="1"/>
                <w:color w:val="auto"/>
              </w:rPr>
            </w:pPr>
          </w:p>
        </w:tc>
      </w:tr>
      <w:tr>
        <w:trPr>
          <w:trHeight w:val="36"/>
        </w:trPr>
        <w:tc>
          <w:tcPr>
            <w:tcW w:w="63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Preferred Stock, par value of $0.0001; 1,000,000 shares authorized; 0 shares issued and outstanding at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June 30, 2024 and December 31, 2023</w:t>
            </w: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340" w:type="dxa"/>
            <w:vAlign w:val="bottom"/>
            <w:shd w:val="clear" w:color="auto" w:fill="CCEEFF"/>
          </w:tcPr>
          <w:p>
            <w:pPr>
              <w:ind w:left="460"/>
              <w:spacing w:after="0" w:line="139" w:lineRule="exact"/>
              <w:rPr>
                <w:sz w:val="20"/>
                <w:szCs w:val="20"/>
                <w:color w:val="auto"/>
              </w:rPr>
            </w:pPr>
            <w:r>
              <w:rPr>
                <w:rFonts w:ascii="Times New Roman" w:cs="Times New Roman" w:eastAsia="Times New Roman" w:hAnsi="Times New Roman"/>
                <w:sz w:val="14"/>
                <w:szCs w:val="14"/>
                <w:color w:val="auto"/>
              </w:rPr>
              <w:t>Class A-1 Common Stock, par value $0.0001; 250,000,000 shares authorized; 95,352,477 shares issued</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340" w:type="dxa"/>
            <w:vAlign w:val="bottom"/>
            <w:shd w:val="clear" w:color="auto" w:fill="CCEEFF"/>
          </w:tcPr>
          <w:p>
            <w:pPr>
              <w:ind w:left="460"/>
              <w:spacing w:after="0" w:line="140" w:lineRule="exact"/>
              <w:rPr>
                <w:sz w:val="20"/>
                <w:szCs w:val="20"/>
                <w:color w:val="auto"/>
              </w:rPr>
            </w:pPr>
            <w:r>
              <w:rPr>
                <w:rFonts w:ascii="Times New Roman" w:cs="Times New Roman" w:eastAsia="Times New Roman" w:hAnsi="Times New Roman"/>
                <w:sz w:val="14"/>
                <w:szCs w:val="14"/>
                <w:color w:val="auto"/>
              </w:rPr>
              <w:t>and 82,958,153 shares outstanding at June 30, 2024; 95,016,960 shares issued and 84,123,385 shares</w:t>
            </w:r>
          </w:p>
        </w:tc>
        <w:tc>
          <w:tcPr>
            <w:tcW w:w="2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2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207,199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203,046</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Treasury stock, at cost</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(127,545)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(112,070)</w:t>
            </w:r>
          </w:p>
        </w:tc>
        <w:tc>
          <w:tcPr>
            <w:tcW w:w="0" w:type="dxa"/>
            <w:vAlign w:val="bottom"/>
          </w:tcPr>
          <w:p>
            <w:pPr>
              <w:spacing w:after="0"/>
              <w:rPr>
                <w:sz w:val="1"/>
                <w:szCs w:val="1"/>
                <w:color w:val="auto"/>
              </w:rPr>
            </w:pPr>
          </w:p>
        </w:tc>
      </w:tr>
      <w:tr>
        <w:trPr>
          <w:trHeight w:val="185"/>
        </w:trPr>
        <w:tc>
          <w:tcPr>
            <w:tcW w:w="6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7,940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7,936</w:t>
            </w: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6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Accumulated earnings</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121,486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99,484</w:t>
            </w:r>
          </w:p>
        </w:tc>
        <w:tc>
          <w:tcPr>
            <w:tcW w:w="0" w:type="dxa"/>
            <w:vAlign w:val="bottom"/>
          </w:tcPr>
          <w:p>
            <w:pPr>
              <w:spacing w:after="0"/>
              <w:rPr>
                <w:sz w:val="1"/>
                <w:szCs w:val="1"/>
                <w:color w:val="auto"/>
              </w:rPr>
            </w:pPr>
          </w:p>
        </w:tc>
      </w:tr>
      <w:tr>
        <w:trPr>
          <w:trHeight w:val="178"/>
        </w:trPr>
        <w:tc>
          <w:tcPr>
            <w:tcW w:w="63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209,088</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198,404</w:t>
            </w:r>
          </w:p>
        </w:tc>
        <w:tc>
          <w:tcPr>
            <w:tcW w:w="0" w:type="dxa"/>
            <w:vAlign w:val="bottom"/>
          </w:tcPr>
          <w:p>
            <w:pPr>
              <w:spacing w:after="0"/>
              <w:rPr>
                <w:sz w:val="1"/>
                <w:szCs w:val="1"/>
                <w:color w:val="auto"/>
              </w:rPr>
            </w:pPr>
          </w:p>
        </w:tc>
      </w:tr>
      <w:tr>
        <w:trPr>
          <w:trHeight w:val="36"/>
        </w:trPr>
        <w:tc>
          <w:tcPr>
            <w:tcW w:w="63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3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950,348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912,893</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0160"/>
          </w:cols>
          <w:pgMar w:left="320" w:top="121" w:right="141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60"/>
          </w:cols>
          <w:pgMar w:left="320" w:top="121" w:right="14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shares)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Accumulated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color w:val="auto"/>
              </w:rPr>
              <w:t>Class A-1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40" w:type="dxa"/>
            <w:vAlign w:val="bottom"/>
          </w:tcPr>
          <w:p>
            <w:pPr>
              <w:spacing w:after="0"/>
              <w:rPr>
                <w:sz w:val="16"/>
                <w:szCs w:val="16"/>
                <w:color w:val="auto"/>
              </w:rPr>
            </w:pPr>
          </w:p>
        </w:tc>
        <w:tc>
          <w:tcPr>
            <w:tcW w:w="112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w w:val="96"/>
              </w:rPr>
              <w:t>Treasury</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208"/>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color w:val="auto"/>
                <w:w w:val="98"/>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6"/>
              </w:rPr>
              <w:t>Paid-In</w:t>
            </w:r>
          </w:p>
        </w:tc>
        <w:tc>
          <w:tcPr>
            <w:tcW w:w="40" w:type="dxa"/>
            <w:vAlign w:val="bottom"/>
          </w:tcPr>
          <w:p>
            <w:pPr>
              <w:spacing w:after="0"/>
              <w:rPr>
                <w:sz w:val="18"/>
                <w:szCs w:val="18"/>
                <w:color w:val="auto"/>
              </w:rPr>
            </w:pPr>
          </w:p>
        </w:tc>
        <w:tc>
          <w:tcPr>
            <w:tcW w:w="112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color w:val="auto"/>
              </w:rPr>
              <w:t>Stock</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Comprehensive</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Accumulated</w:t>
            </w:r>
          </w:p>
        </w:tc>
        <w:tc>
          <w:tcPr>
            <w:tcW w:w="100" w:type="dxa"/>
            <w:vAlign w:val="bottom"/>
          </w:tcPr>
          <w:p>
            <w:pPr>
              <w:spacing w:after="0"/>
              <w:rPr>
                <w:sz w:val="18"/>
                <w:szCs w:val="18"/>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8"/>
              </w:rPr>
              <w:t>Capital</w:t>
            </w:r>
          </w:p>
        </w:tc>
        <w:tc>
          <w:tcPr>
            <w:tcW w:w="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Income</w:t>
            </w:r>
          </w:p>
        </w:tc>
        <w:tc>
          <w:tcPr>
            <w:tcW w:w="120" w:type="dxa"/>
            <w:vAlign w:val="bottom"/>
          </w:tcPr>
          <w:p>
            <w:pPr>
              <w:spacing w:after="0"/>
              <w:rPr>
                <w:sz w:val="2"/>
                <w:szCs w:val="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2"/>
                <w:szCs w:val="2"/>
                <w:color w:val="auto"/>
              </w:rPr>
            </w:pPr>
          </w:p>
        </w:tc>
        <w:tc>
          <w:tcPr>
            <w:tcW w:w="88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2024</w:t>
            </w:r>
          </w:p>
        </w:tc>
        <w:tc>
          <w:tcPr>
            <w:tcW w:w="80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84,123,385</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203,046</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(10,893,575)</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(112,070)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7,936</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99,484</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198,404</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(594,817)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(594,817)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2,350</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stock-based awards, net of shares withheld</w:t>
            </w:r>
          </w:p>
        </w:tc>
        <w:tc>
          <w:tcPr>
            <w:tcW w:w="8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249,700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interest rate caplets, net of taxes</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1,081</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80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83,778,268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204,456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(11,488,392)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(118,252)</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9,017</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106,900</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202,129</w:t>
            </w:r>
          </w:p>
        </w:tc>
        <w:tc>
          <w:tcPr>
            <w:tcW w:w="0" w:type="dxa"/>
            <w:vAlign w:val="bottom"/>
          </w:tcPr>
          <w:p>
            <w:pPr>
              <w:spacing w:after="0"/>
              <w:rPr>
                <w:sz w:val="1"/>
                <w:szCs w:val="1"/>
                <w:color w:val="auto"/>
              </w:rPr>
            </w:pPr>
          </w:p>
        </w:tc>
      </w:tr>
      <w:tr>
        <w:trPr>
          <w:trHeight w:val="18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(905,932)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(905,932)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(9,293)</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3,235</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stock-based awards, net of shares withheld</w:t>
            </w:r>
          </w:p>
        </w:tc>
        <w:tc>
          <w:tcPr>
            <w:tcW w:w="8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85,817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interest rate caplets, net of taxes</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w:t>
            </w: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80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82,958,153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207,199</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(12,394,324)</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7,940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121,486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209,088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shares)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3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color w:val="auto"/>
              </w:rPr>
              <w:t>Class A-1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Additional</w:t>
            </w:r>
          </w:p>
        </w:tc>
        <w:tc>
          <w:tcPr>
            <w:tcW w:w="40" w:type="dxa"/>
            <w:vAlign w:val="bottom"/>
          </w:tcPr>
          <w:p>
            <w:pPr>
              <w:spacing w:after="0"/>
              <w:rPr>
                <w:sz w:val="16"/>
                <w:szCs w:val="16"/>
                <w:color w:val="auto"/>
              </w:rPr>
            </w:pPr>
          </w:p>
        </w:tc>
        <w:tc>
          <w:tcPr>
            <w:tcW w:w="1900" w:type="dxa"/>
            <w:vAlign w:val="bottom"/>
            <w:gridSpan w:val="7"/>
          </w:tcPr>
          <w:p>
            <w:pPr>
              <w:ind w:left="640"/>
              <w:spacing w:after="0"/>
              <w:rPr>
                <w:sz w:val="20"/>
                <w:szCs w:val="20"/>
                <w:color w:val="auto"/>
              </w:rPr>
            </w:pPr>
            <w:r>
              <w:rPr>
                <w:rFonts w:ascii="Times New Roman" w:cs="Times New Roman" w:eastAsia="Times New Roman" w:hAnsi="Times New Roman"/>
                <w:sz w:val="14"/>
                <w:szCs w:val="14"/>
                <w:color w:val="auto"/>
              </w:rPr>
              <w:t>Treasury</w:t>
            </w:r>
          </w:p>
        </w:tc>
        <w:tc>
          <w:tcPr>
            <w:tcW w:w="8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208"/>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Paid-In</w:t>
            </w:r>
          </w:p>
        </w:tc>
        <w:tc>
          <w:tcPr>
            <w:tcW w:w="40" w:type="dxa"/>
            <w:vAlign w:val="bottom"/>
          </w:tcPr>
          <w:p>
            <w:pPr>
              <w:spacing w:after="0"/>
              <w:rPr>
                <w:sz w:val="18"/>
                <w:szCs w:val="18"/>
                <w:color w:val="auto"/>
              </w:rPr>
            </w:pPr>
          </w:p>
        </w:tc>
        <w:tc>
          <w:tcPr>
            <w:tcW w:w="112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Stock</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Comprehensive</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Accumulated</w:t>
            </w:r>
          </w:p>
        </w:tc>
        <w:tc>
          <w:tcPr>
            <w:tcW w:w="100" w:type="dxa"/>
            <w:vAlign w:val="bottom"/>
          </w:tcPr>
          <w:p>
            <w:pPr>
              <w:spacing w:after="0"/>
              <w:rPr>
                <w:sz w:val="18"/>
                <w:szCs w:val="18"/>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Capital</w:t>
            </w:r>
          </w:p>
        </w:tc>
        <w:tc>
          <w:tcPr>
            <w:tcW w:w="4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Income</w:t>
            </w:r>
          </w:p>
        </w:tc>
        <w:tc>
          <w:tcPr>
            <w:tcW w:w="120" w:type="dxa"/>
            <w:vAlign w:val="bottom"/>
          </w:tcPr>
          <w:p>
            <w:pPr>
              <w:spacing w:after="0"/>
              <w:rPr>
                <w:sz w:val="2"/>
                <w:szCs w:val="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2"/>
                <w:szCs w:val="2"/>
                <w:color w:val="auto"/>
              </w:rPr>
            </w:pPr>
          </w:p>
        </w:tc>
        <w:tc>
          <w:tcPr>
            <w:tcW w:w="88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2023</w:t>
            </w:r>
          </w:p>
        </w:tc>
        <w:tc>
          <w:tcPr>
            <w:tcW w:w="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86,674,390</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194,157</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(7,829,661)</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(81,697)</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12,240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53,881</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178,590</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98"/>
              </w:rPr>
              <w:t>(476,718)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(476,718)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stock-based awards, net of shares withheld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247,153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interest rate caplets, net of taxes</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94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9,182</w:t>
            </w: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86,444,825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195,243</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(8,306,379)</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(85,903)</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10,074</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63,063</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182,486</w:t>
            </w:r>
          </w:p>
        </w:tc>
        <w:tc>
          <w:tcPr>
            <w:tcW w:w="0" w:type="dxa"/>
            <w:vAlign w:val="bottom"/>
          </w:tcPr>
          <w:p>
            <w:pPr>
              <w:spacing w:after="0"/>
              <w:rPr>
                <w:sz w:val="1"/>
                <w:szCs w:val="1"/>
                <w:color w:val="auto"/>
              </w:rPr>
            </w:pPr>
          </w:p>
        </w:tc>
      </w:tr>
      <w:tr>
        <w:trPr>
          <w:trHeight w:val="18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0" w:type="dxa"/>
            <w:vAlign w:val="bottom"/>
          </w:tcPr>
          <w:p>
            <w:pPr>
              <w:spacing w:after="0"/>
              <w:rPr>
                <w:sz w:val="15"/>
                <w:szCs w:val="15"/>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(887,174)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(887,174)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(8,230)</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stock-based awards, net of shares withheld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48,074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interest rate caplets, net of taxes</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2,062</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94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9,983</w:t>
            </w: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85,605,725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197,690</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(9,193,553)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(94,133)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12,136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73,046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188,748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jc w:val="center"/>
        <w:ind w:right="-1079"/>
        <w:spacing w:after="0" w:line="223" w:lineRule="auto"/>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0160"/>
          </w:cols>
          <w:pgMar w:left="320" w:top="121" w:right="1419" w:bottom="1440" w:gutter="0" w:footer="0" w:header="0"/>
        </w:sectPr>
      </w:pP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160020</wp:posOffset>
            </wp:positionV>
            <wp:extent cx="5749290" cy="14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Cash flows from operating activities:</w:t>
      </w:r>
    </w:p>
    <w:p>
      <w:pPr>
        <w:spacing w:after="0" w:line="60" w:lineRule="exact"/>
        <w:rPr>
          <w:sz w:val="20"/>
          <w:szCs w:val="20"/>
          <w:color w:val="auto"/>
        </w:rPr>
      </w:pPr>
    </w:p>
    <w:p>
      <w:pPr>
        <w:ind w:left="1540"/>
        <w:spacing w:after="0"/>
        <w:tabs>
          <w:tab w:leader="none" w:pos="7600" w:val="left"/>
        </w:tabs>
        <w:rPr>
          <w:sz w:val="20"/>
          <w:szCs w:val="20"/>
          <w:color w:val="auto"/>
        </w:rPr>
      </w:pPr>
      <w:r>
        <w:rPr>
          <w:rFonts w:ascii="Times New Roman" w:cs="Times New Roman" w:eastAsia="Times New Roman" w:hAnsi="Times New Roman"/>
          <w:sz w:val="14"/>
          <w:szCs w:val="14"/>
          <w:color w:val="auto"/>
        </w:rPr>
        <w:t>Net income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6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Depreciation and amortization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940" w:right="1620"/>
        <w:spacing w:after="0" w:line="329" w:lineRule="auto"/>
        <w:rPr>
          <w:sz w:val="20"/>
          <w:szCs w:val="20"/>
          <w:color w:val="auto"/>
        </w:rPr>
      </w:pPr>
      <w:r>
        <w:rPr>
          <w:rFonts w:ascii="Times New Roman" w:cs="Times New Roman" w:eastAsia="Times New Roman" w:hAnsi="Times New Roman"/>
          <w:sz w:val="14"/>
          <w:szCs w:val="14"/>
          <w:color w:val="auto"/>
        </w:rPr>
        <w:t>Amortization of intangible assets and route and customer acquisition costs 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-1270</wp:posOffset>
            </wp:positionV>
            <wp:extent cx="5749290" cy="14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4"/>
          <w:szCs w:val="14"/>
          <w:color w:val="auto"/>
        </w:rPr>
        <w:t>(Gain) loss on change in fair value of contingent earnout shares</w:t>
      </w:r>
    </w:p>
    <w:p>
      <w:pPr>
        <w:spacing w:after="0" w:line="6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Loss (gain) on disposal of property and equipment</w:t>
      </w:r>
    </w:p>
    <w:p>
      <w:pPr>
        <w:spacing w:after="0" w:line="47" w:lineRule="exact"/>
        <w:rPr>
          <w:sz w:val="20"/>
          <w:szCs w:val="20"/>
          <w:color w:val="auto"/>
        </w:rPr>
      </w:pPr>
    </w:p>
    <w:p>
      <w:pPr>
        <w:ind w:left="2080" w:right="100" w:hanging="155"/>
        <w:spacing w:after="0" w:line="244" w:lineRule="auto"/>
        <w:rPr>
          <w:sz w:val="20"/>
          <w:szCs w:val="20"/>
          <w:color w:val="auto"/>
        </w:rPr>
      </w:pPr>
      <w:r>
        <w:rPr>
          <w:rFonts w:ascii="Times New Roman" w:cs="Times New Roman" w:eastAsia="Times New Roman" w:hAnsi="Times New Roman"/>
          <w:sz w:val="14"/>
          <w:szCs w:val="14"/>
          <w:color w:val="auto"/>
        </w:rPr>
        <w:t>Net loss on write-off of route and customer acquisition costs and route and customer acquisition costs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4445</wp:posOffset>
            </wp:positionV>
            <wp:extent cx="5749290" cy="14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4"/>
          <w:szCs w:val="14"/>
          <w:color w:val="auto"/>
        </w:rPr>
        <w:t>Remeasurement of contingent consideration</w:t>
      </w:r>
    </w:p>
    <w:p>
      <w:pPr>
        <w:spacing w:after="0" w:line="4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Payments on consideration payable</w:t>
      </w:r>
    </w:p>
    <w:p>
      <w:pPr>
        <w:spacing w:after="0" w:line="34" w:lineRule="exact"/>
        <w:rPr>
          <w:sz w:val="20"/>
          <w:szCs w:val="20"/>
          <w:color w:val="auto"/>
        </w:rPr>
      </w:pPr>
    </w:p>
    <w:p>
      <w:pPr>
        <w:ind w:left="2080" w:right="220" w:hanging="155"/>
        <w:spacing w:after="0" w:line="244" w:lineRule="auto"/>
        <w:rPr>
          <w:sz w:val="20"/>
          <w:szCs w:val="20"/>
          <w:color w:val="auto"/>
        </w:rPr>
      </w:pPr>
      <w:r>
        <w:rPr>
          <w:rFonts w:ascii="Times New Roman" w:cs="Times New Roman" w:eastAsia="Times New Roman" w:hAnsi="Times New Roman"/>
          <w:sz w:val="14"/>
          <w:szCs w:val="14"/>
          <w:color w:val="auto"/>
        </w:rPr>
        <w:t>Accretion of interest on route and customer acquisition costs payable, contingent consideration, and contingent 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-201295</wp:posOffset>
            </wp:positionV>
            <wp:extent cx="5749290" cy="206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9290" cy="20637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Changes in operating assets and liabilities:</w:t>
      </w:r>
    </w:p>
    <w:p>
      <w:pPr>
        <w:spacing w:after="0" w:line="6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Prepaid expenses, deposits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6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Route and customer acquisition costs</w:t>
      </w:r>
    </w:p>
    <w:p>
      <w:pPr>
        <w:spacing w:after="0" w:line="6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Route and customer acquisition costs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Accounts payable and accrued expenses</w:t>
      </w:r>
    </w:p>
    <w:p>
      <w:pPr>
        <w:spacing w:after="0" w:line="6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Accrued compensation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Other assets</w:t>
      </w:r>
    </w:p>
    <w:p>
      <w:pPr>
        <w:spacing w:after="0" w:line="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37465</wp:posOffset>
            </wp:positionV>
            <wp:extent cx="5749290" cy="140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Cash flows from investing activities:</w:t>
      </w:r>
    </w:p>
    <w:p>
      <w:pPr>
        <w:spacing w:after="0" w:line="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Proceeds from the settlement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27940</wp:posOffset>
            </wp:positionV>
            <wp:extent cx="5749290" cy="140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Deposits against a portion of the purchase price on a pending business acquisition</w:t>
      </w:r>
    </w:p>
    <w:p>
      <w:pPr>
        <w:spacing w:after="0" w:line="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Investment in unconsolidated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27940</wp:posOffset>
            </wp:positionV>
            <wp:extent cx="5749290" cy="140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Business and asset acquisitions, net of cash acquired</w:t>
      </w:r>
    </w:p>
    <w:p>
      <w:pPr>
        <w:spacing w:after="0" w:line="5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37465</wp:posOffset>
            </wp:positionV>
            <wp:extent cx="5749290" cy="140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Cash flows from financing activities:</w:t>
      </w:r>
    </w:p>
    <w:p>
      <w:pPr>
        <w:spacing w:after="0" w:line="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Proceeds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Payments on debt</w:t>
      </w:r>
    </w:p>
    <w:p>
      <w:pPr>
        <w:spacing w:after="0" w:line="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Payments for 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Payments on interest rate caplets</w:t>
      </w:r>
    </w:p>
    <w:p>
      <w:pPr>
        <w:spacing w:after="0" w:line="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Proceeds from exercise of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Payments on finance leases</w:t>
      </w:r>
    </w:p>
    <w:p>
      <w:pPr>
        <w:spacing w:after="0" w:line="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Payments on consideration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36195</wp:posOffset>
            </wp:positionV>
            <wp:extent cx="5749290" cy="140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9290" cy="140335"/>
                    </a:xfrm>
                    <a:prstGeom prst="rect">
                      <a:avLst/>
                    </a:prstGeom>
                    <a:noFill/>
                  </pic:spPr>
                </pic:pic>
              </a:graphicData>
            </a:graphic>
          </wp:anchor>
        </w:drawing>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Tax withholding on stock-based payments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9525</wp:posOffset>
            </wp:positionV>
            <wp:extent cx="16192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93"/>
              </w:rPr>
              <w:t>22,002</w:t>
            </w:r>
          </w:p>
        </w:tc>
        <w:tc>
          <w:tcPr>
            <w:tcW w:w="5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19,165</w:t>
            </w:r>
          </w:p>
        </w:tc>
      </w:tr>
      <w:tr>
        <w:trPr>
          <w:trHeight w:val="442"/>
        </w:trPr>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93"/>
              </w:rPr>
              <w:t>21,228</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18,509</w:t>
            </w:r>
          </w:p>
        </w:tc>
      </w:tr>
      <w:tr>
        <w:trPr>
          <w:trHeight w:val="221"/>
        </w:trPr>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93"/>
              </w:rPr>
              <w:t>11,027</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10,526</w:t>
            </w:r>
          </w:p>
        </w:tc>
      </w:tr>
    </w:tbl>
    <w:p>
      <w:pPr>
        <w:spacing w:after="0" w:line="40" w:lineRule="exact"/>
        <w:rPr>
          <w:sz w:val="20"/>
          <w:szCs w:val="20"/>
          <w:color w:val="auto"/>
        </w:rPr>
      </w:pPr>
    </w:p>
    <w:p>
      <w:pPr>
        <w:ind w:left="1800" w:hanging="1330"/>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893</w:t>
      </w:r>
    </w:p>
    <w:p>
      <w:pPr>
        <w:spacing w:after="0" w:line="60" w:lineRule="exact"/>
        <w:rPr>
          <w:rFonts w:ascii="Times New Roman" w:cs="Times New Roman" w:eastAsia="Times New Roman" w:hAnsi="Times New Roman"/>
          <w:sz w:val="14"/>
          <w:szCs w:val="14"/>
          <w:color w:val="auto"/>
        </w:rPr>
      </w:pPr>
    </w:p>
    <w:p>
      <w:pPr>
        <w:ind w:left="1700" w:hanging="1219"/>
        <w:spacing w:after="0"/>
        <w:tabs>
          <w:tab w:leader="none" w:pos="170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9,438</w:t>
      </w:r>
    </w:p>
    <w:p>
      <w:pPr>
        <w:spacing w:after="0" w:line="60"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color w:val="auto"/>
              </w:rPr>
              <w:t>5,585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w:t>
            </w:r>
          </w:p>
        </w:tc>
      </w:tr>
      <w:tr>
        <w:trPr>
          <w:trHeight w:val="221"/>
        </w:trPr>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color w:val="auto"/>
              </w:rPr>
              <w:t>218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325"/>
        </w:trPr>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color w:val="auto"/>
              </w:rPr>
              <w:t>841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221"/>
        </w:trPr>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color w:val="auto"/>
              </w:rPr>
              <w:t>4,552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8"/>
        </w:trPr>
        <w:tc>
          <w:tcPr>
            <w:tcW w:w="88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97"/>
              </w:rPr>
              <w:t>(1,258)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r>
    </w:tbl>
    <w:p>
      <w:pPr>
        <w:spacing w:after="0" w:line="131" w:lineRule="exact"/>
        <w:rPr>
          <w:sz w:val="20"/>
          <w:szCs w:val="20"/>
          <w:color w:val="auto"/>
        </w:rPr>
      </w:pPr>
    </w:p>
    <w:p>
      <w:pPr>
        <w:ind w:left="460"/>
        <w:spacing w:after="0"/>
        <w:tabs>
          <w:tab w:leader="none" w:pos="1780" w:val="left"/>
        </w:tabs>
        <w:rPr>
          <w:sz w:val="20"/>
          <w:szCs w:val="20"/>
          <w:color w:val="auto"/>
        </w:rPr>
      </w:pPr>
      <w:r>
        <w:rPr>
          <w:rFonts w:ascii="Times New Roman" w:cs="Times New Roman" w:eastAsia="Times New Roman" w:hAnsi="Times New Roman"/>
          <w:sz w:val="14"/>
          <w:szCs w:val="14"/>
          <w:color w:val="auto"/>
        </w:rPr>
        <w:t>647</w:t>
      </w:r>
      <w:r>
        <w:rPr>
          <w:sz w:val="20"/>
          <w:szCs w:val="20"/>
          <w:color w:val="auto"/>
        </w:rPr>
        <w:tab/>
      </w:r>
      <w:r>
        <w:rPr>
          <w:rFonts w:ascii="Times New Roman" w:cs="Times New Roman" w:eastAsia="Times New Roman" w:hAnsi="Times New Roman"/>
          <w:sz w:val="14"/>
          <w:szCs w:val="14"/>
          <w:color w:val="auto"/>
        </w:rPr>
        <w:t>771</w:t>
      </w:r>
    </w:p>
    <w:p>
      <w:pPr>
        <w:spacing w:after="0" w:line="60" w:lineRule="exact"/>
        <w:rPr>
          <w:sz w:val="20"/>
          <w:szCs w:val="20"/>
          <w:color w:val="auto"/>
        </w:rPr>
      </w:pPr>
    </w:p>
    <w:p>
      <w:pPr>
        <w:ind w:left="1700" w:hanging="1288"/>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6,342</w:t>
      </w:r>
    </w:p>
    <w:p>
      <w:pPr>
        <w:spacing w:after="0" w:line="281"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(3,659)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34"/>
        </w:trPr>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(1,682)</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1,453</w:t>
            </w:r>
          </w:p>
        </w:tc>
        <w:tc>
          <w:tcPr>
            <w:tcW w:w="0" w:type="dxa"/>
            <w:vAlign w:val="bottom"/>
          </w:tcPr>
          <w:p>
            <w:pPr>
              <w:spacing w:after="0"/>
              <w:rPr>
                <w:sz w:val="1"/>
                <w:szCs w:val="1"/>
                <w:color w:val="auto"/>
              </w:rPr>
            </w:pPr>
          </w:p>
        </w:tc>
      </w:tr>
      <w:tr>
        <w:trPr>
          <w:trHeight w:val="221"/>
        </w:trPr>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148</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08"/>
        </w:trPr>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(6,414)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221"/>
        </w:trPr>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2,865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221"/>
        </w:trPr>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1,337</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2,201</w:t>
            </w:r>
          </w:p>
        </w:tc>
        <w:tc>
          <w:tcPr>
            <w:tcW w:w="0" w:type="dxa"/>
            <w:vAlign w:val="bottom"/>
          </w:tcPr>
          <w:p>
            <w:pPr>
              <w:spacing w:after="0"/>
              <w:rPr>
                <w:sz w:val="1"/>
                <w:szCs w:val="1"/>
                <w:color w:val="auto"/>
              </w:rPr>
            </w:pPr>
          </w:p>
        </w:tc>
      </w:tr>
      <w:tr>
        <w:trPr>
          <w:trHeight w:val="221"/>
        </w:trPr>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(1,453)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0" w:type="dxa"/>
            <w:vAlign w:val="bottom"/>
          </w:tcPr>
          <w:p>
            <w:pPr>
              <w:spacing w:after="0"/>
              <w:rPr>
                <w:sz w:val="1"/>
                <w:szCs w:val="1"/>
                <w:color w:val="auto"/>
              </w:rPr>
            </w:pPr>
          </w:p>
        </w:tc>
      </w:tr>
      <w:tr>
        <w:trPr>
          <w:trHeight w:val="221"/>
        </w:trPr>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1,041</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w:t>
            </w:r>
          </w:p>
        </w:tc>
        <w:tc>
          <w:tcPr>
            <w:tcW w:w="0" w:type="dxa"/>
            <w:vAlign w:val="bottom"/>
          </w:tcPr>
          <w:p>
            <w:pPr>
              <w:spacing w:after="0"/>
              <w:rPr>
                <w:sz w:val="1"/>
                <w:szCs w:val="1"/>
                <w:color w:val="auto"/>
              </w:rPr>
            </w:pPr>
          </w:p>
        </w:tc>
      </w:tr>
      <w:tr>
        <w:trPr>
          <w:trHeight w:val="36"/>
        </w:trPr>
        <w:tc>
          <w:tcPr>
            <w:tcW w:w="6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57,614</w:t>
            </w: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40" w:type="dxa"/>
            <w:vAlign w:val="bottom"/>
            <w:vMerge w:val="continue"/>
          </w:tcPr>
          <w:p>
            <w:pPr>
              <w:spacing w:after="0"/>
              <w:rPr>
                <w:sz w:val="15"/>
                <w:szCs w:val="15"/>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63,845</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6"/>
              </w:rPr>
              <w:t>(38,147)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-405765</wp:posOffset>
            </wp:positionV>
            <wp:extent cx="7683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0" cy="8255"/>
                    </a:xfrm>
                    <a:prstGeom prst="rect">
                      <a:avLst/>
                    </a:prstGeom>
                    <a:noFill/>
                  </pic:spPr>
                </pic:pic>
              </a:graphicData>
            </a:graphic>
          </wp:anchor>
        </w:drawing>
      </w:r>
    </w:p>
    <w:p>
      <w:pPr>
        <w:spacing w:after="0" w:line="20" w:lineRule="exact"/>
        <w:rPr>
          <w:sz w:val="20"/>
          <w:szCs w:val="20"/>
          <w:color w:val="auto"/>
        </w:rPr>
      </w:pPr>
    </w:p>
    <w:p>
      <w:pPr>
        <w:ind w:left="1700" w:hanging="1230"/>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1,142</w:t>
      </w:r>
    </w:p>
    <w:p>
      <w:pPr>
        <w:spacing w:after="0" w:line="60"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32,065</w:t>
      </w:r>
    </w:p>
    <w:p>
      <w:pPr>
        <w:spacing w:after="0" w:line="60"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(9,043)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0" w:type="dxa"/>
            <w:vAlign w:val="bottom"/>
          </w:tcPr>
          <w:p>
            <w:pPr>
              <w:spacing w:after="0"/>
              <w:rPr>
                <w:sz w:val="1"/>
                <w:szCs w:val="1"/>
                <w:color w:val="auto"/>
              </w:rPr>
            </w:pPr>
          </w:p>
        </w:tc>
      </w:tr>
      <w:tr>
        <w:trPr>
          <w:trHeight w:val="221"/>
        </w:trPr>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(5,000)</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6"/>
              </w:rPr>
              <w:t>(17,464)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36"/>
        </w:trPr>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w w:val="96"/>
              </w:rPr>
              <w:t>(69,324)</w:t>
            </w: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40" w:type="dxa"/>
            <w:vAlign w:val="bottom"/>
            <w:vMerge w:val="continue"/>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(16,245)</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-156210</wp:posOffset>
            </wp:positionV>
            <wp:extent cx="7683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0" cy="8255"/>
                    </a:xfrm>
                    <a:prstGeom prst="rect">
                      <a:avLst/>
                    </a:prstGeom>
                    <a:noFill/>
                  </pic:spPr>
                </pic:pic>
              </a:graphicData>
            </a:graphic>
          </wp:anchor>
        </w:drawing>
      </w:r>
    </w:p>
    <w:p>
      <w:pPr>
        <w:spacing w:after="0" w:line="205"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4"/>
          <w:szCs w:val="14"/>
          <w:color w:val="auto"/>
        </w:rPr>
        <w:t>47,500</w:t>
      </w:r>
      <w:r>
        <w:rPr>
          <w:sz w:val="20"/>
          <w:szCs w:val="20"/>
          <w:color w:val="auto"/>
        </w:rPr>
        <w:tab/>
      </w:r>
      <w:r>
        <w:rPr>
          <w:rFonts w:ascii="Times New Roman" w:cs="Times New Roman" w:eastAsia="Times New Roman" w:hAnsi="Times New Roman"/>
          <w:sz w:val="14"/>
          <w:szCs w:val="14"/>
          <w:color w:val="auto"/>
        </w:rPr>
        <w:t>115,000</w:t>
      </w:r>
    </w:p>
    <w:p>
      <w:pPr>
        <w:spacing w:after="0" w:line="60" w:lineRule="exact"/>
        <w:rPr>
          <w:sz w:val="20"/>
          <w:szCs w:val="20"/>
          <w:color w:val="auto"/>
        </w:rPr>
      </w:pPr>
    </w:p>
    <w:p>
      <w:pPr>
        <w:jc w:val="both"/>
        <w:ind w:left="240"/>
        <w:spacing w:after="0"/>
        <w:tabs>
          <w:tab w:leader="none" w:pos="1480" w:val="left"/>
        </w:tabs>
        <w:rPr>
          <w:sz w:val="20"/>
          <w:szCs w:val="20"/>
          <w:color w:val="auto"/>
        </w:rPr>
      </w:pPr>
      <w:r>
        <w:rPr>
          <w:rFonts w:ascii="Times New Roman" w:cs="Times New Roman" w:eastAsia="Times New Roman" w:hAnsi="Times New Roman"/>
          <w:sz w:val="14"/>
          <w:szCs w:val="14"/>
          <w:color w:val="auto"/>
        </w:rPr>
        <w:t>(24,750)</w:t>
      </w:r>
      <w:r>
        <w:rPr>
          <w:sz w:val="20"/>
          <w:szCs w:val="20"/>
          <w:color w:val="auto"/>
        </w:rPr>
        <w:tab/>
      </w:r>
      <w:r>
        <w:rPr>
          <w:rFonts w:ascii="Times New Roman" w:cs="Times New Roman" w:eastAsia="Times New Roman" w:hAnsi="Times New Roman"/>
          <w:sz w:val="14"/>
          <w:szCs w:val="14"/>
          <w:color w:val="auto"/>
        </w:rPr>
        <w:t>(139,250)</w:t>
      </w:r>
    </w:p>
    <w:p>
      <w:pPr>
        <w:spacing w:after="0" w:line="60" w:lineRule="exact"/>
        <w:rPr>
          <w:sz w:val="20"/>
          <w:szCs w:val="20"/>
          <w:color w:val="auto"/>
        </w:rPr>
      </w:pPr>
    </w:p>
    <w:p>
      <w:pPr>
        <w:jc w:val="both"/>
        <w:ind w:left="240"/>
        <w:spacing w:after="0"/>
        <w:tabs>
          <w:tab w:leader="none" w:pos="1560" w:val="left"/>
        </w:tabs>
        <w:rPr>
          <w:sz w:val="20"/>
          <w:szCs w:val="20"/>
          <w:color w:val="auto"/>
        </w:rPr>
      </w:pPr>
      <w:r>
        <w:rPr>
          <w:rFonts w:ascii="Times New Roman" w:cs="Times New Roman" w:eastAsia="Times New Roman" w:hAnsi="Times New Roman"/>
          <w:sz w:val="14"/>
          <w:szCs w:val="14"/>
          <w:color w:val="auto"/>
        </w:rPr>
        <w:t>(15,321)</w:t>
      </w:r>
      <w:r>
        <w:rPr>
          <w:sz w:val="20"/>
          <w:szCs w:val="20"/>
          <w:color w:val="auto"/>
        </w:rPr>
        <w:tab/>
      </w:r>
      <w:r>
        <w:rPr>
          <w:rFonts w:ascii="Times New Roman" w:cs="Times New Roman" w:eastAsia="Times New Roman" w:hAnsi="Times New Roman"/>
          <w:sz w:val="14"/>
          <w:szCs w:val="14"/>
          <w:color w:val="auto"/>
        </w:rPr>
        <w:t>(12,313)</w:t>
      </w:r>
    </w:p>
    <w:p>
      <w:pPr>
        <w:spacing w:after="0" w:line="60" w:lineRule="exact"/>
        <w:rPr>
          <w:sz w:val="20"/>
          <w:szCs w:val="20"/>
          <w:color w:val="auto"/>
        </w:rPr>
      </w:pPr>
    </w:p>
    <w:p>
      <w:pPr>
        <w:ind w:left="1760" w:hanging="1348"/>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(481)</w:t>
      </w:r>
    </w:p>
    <w:p>
      <w:pPr>
        <w:spacing w:after="0" w:line="60" w:lineRule="exact"/>
        <w:rPr>
          <w:sz w:val="20"/>
          <w:szCs w:val="20"/>
          <w:color w:val="auto"/>
        </w:rPr>
      </w:pPr>
    </w:p>
    <w:p>
      <w:pPr>
        <w:ind w:left="540"/>
        <w:spacing w:after="0"/>
        <w:tabs>
          <w:tab w:leader="none" w:pos="1860" w:val="left"/>
        </w:tabs>
        <w:rPr>
          <w:sz w:val="20"/>
          <w:szCs w:val="20"/>
          <w:color w:val="auto"/>
        </w:rPr>
      </w:pPr>
      <w:r>
        <w:rPr>
          <w:rFonts w:ascii="Times New Roman" w:cs="Times New Roman" w:eastAsia="Times New Roman" w:hAnsi="Times New Roman"/>
          <w:sz w:val="14"/>
          <w:szCs w:val="14"/>
          <w:color w:val="auto"/>
        </w:rPr>
        <w:t>68</w:t>
      </w:r>
      <w:r>
        <w:rPr>
          <w:sz w:val="20"/>
          <w:szCs w:val="20"/>
          <w:color w:val="auto"/>
        </w:rPr>
        <w:tab/>
      </w:r>
      <w:r>
        <w:rPr>
          <w:rFonts w:ascii="Times New Roman" w:cs="Times New Roman" w:eastAsia="Times New Roman" w:hAnsi="Times New Roman"/>
          <w:sz w:val="14"/>
          <w:szCs w:val="14"/>
          <w:color w:val="auto"/>
        </w:rPr>
        <w:t>—</w:t>
      </w:r>
    </w:p>
    <w:p>
      <w:pPr>
        <w:spacing w:after="0" w:line="60" w:lineRule="exact"/>
        <w:rPr>
          <w:sz w:val="20"/>
          <w:szCs w:val="20"/>
          <w:color w:val="auto"/>
        </w:rPr>
      </w:pPr>
    </w:p>
    <w:p>
      <w:pPr>
        <w:ind w:left="1880" w:hanging="1399"/>
        <w:spacing w:after="0"/>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60" w:lineRule="exact"/>
        <w:rPr>
          <w:sz w:val="20"/>
          <w:szCs w:val="20"/>
          <w:color w:val="auto"/>
        </w:rPr>
      </w:pPr>
    </w:p>
    <w:p>
      <w:pPr>
        <w:ind w:left="1760" w:hanging="1348"/>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(354)</w:t>
      </w:r>
    </w:p>
    <w:p>
      <w:pPr>
        <w:spacing w:after="0" w:line="60" w:lineRule="exact"/>
        <w:rPr>
          <w:rFonts w:ascii="Times New Roman" w:cs="Times New Roman" w:eastAsia="Times New Roman" w:hAnsi="Times New Roman"/>
          <w:sz w:val="14"/>
          <w:szCs w:val="14"/>
          <w:color w:val="auto"/>
        </w:rPr>
      </w:pPr>
    </w:p>
    <w:p>
      <w:pPr>
        <w:ind w:left="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(1,680)</w:t>
      </w:r>
      <w:r>
        <w:rPr>
          <w:rFonts w:ascii="Times New Roman" w:cs="Times New Roman" w:eastAsia="Times New Roman" w:hAnsi="Times New Roman"/>
          <w:sz w:val="13"/>
          <w:szCs w:val="13"/>
          <w:color w:val="auto"/>
        </w:rPr>
        <w:t>(881)</w:t>
      </w:r>
    </w:p>
    <w:p>
      <w:pPr>
        <w:spacing w:after="0" w:line="24" w:lineRule="exact"/>
        <w:rPr>
          <w:sz w:val="20"/>
          <w:szCs w:val="20"/>
          <w:color w:val="auto"/>
        </w:rPr>
      </w:pPr>
    </w:p>
    <w:p>
      <w:pPr>
        <w:sectPr>
          <w:pgSz w:w="11900" w:h="16838" w:orient="portrait"/>
          <w:cols w:equalWidth="0" w:num="2">
            <w:col w:w="7680" w:space="380"/>
            <w:col w:w="2100"/>
          </w:cols>
          <w:pgMar w:left="320" w:top="121" w:right="1419" w:bottom="1440" w:gutter="0" w:footer="0" w:header="0"/>
          <w:type w:val="continuous"/>
        </w:sectPr>
      </w:pPr>
    </w:p>
    <w:tbl>
      <w:tblPr>
        <w:tblLayout w:type="fixed"/>
        <w:tblInd w:w="1100" w:type="dxa"/>
        <w:tblCellMar>
          <w:top w:w="0" w:type="dxa"/>
          <w:left w:w="0" w:type="dxa"/>
          <w:bottom w:w="0" w:type="dxa"/>
          <w:right w:w="0" w:type="dxa"/>
        </w:tblCellMar>
      </w:tblPr>
      <w:tr>
        <w:trPr>
          <w:trHeight w:val="214"/>
        </w:trPr>
        <w:tc>
          <w:tcPr>
            <w:tcW w:w="6500" w:type="dxa"/>
            <w:vAlign w:val="bottom"/>
            <w:tcBorders>
              <w:bottom w:val="single" w:sz="8" w:color="CCEEFF"/>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5,022</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(38,279)</w:t>
            </w:r>
          </w:p>
        </w:tc>
      </w:tr>
      <w:tr>
        <w:trPr>
          <w:trHeight w:val="188"/>
        </w:trPr>
        <w:tc>
          <w:tcPr>
            <w:tcW w:w="6500" w:type="dxa"/>
            <w:vAlign w:val="bottom"/>
            <w:tcBorders>
              <w:bottom w:val="single" w:sz="8" w:color="CCEEFF"/>
            </w:tcBorders>
            <w:shd w:val="clear" w:color="auto" w:fill="CCEEFF"/>
          </w:tcPr>
          <w:p>
            <w:pPr>
              <w:ind w:left="170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3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(6,688)</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9,321</w:t>
            </w:r>
          </w:p>
        </w:tc>
      </w:tr>
      <w:tr>
        <w:trPr>
          <w:trHeight w:val="18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6"/>
        </w:trPr>
        <w:tc>
          <w:tcPr>
            <w:tcW w:w="6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1"/>
        </w:trPr>
        <w:tc>
          <w:tcPr>
            <w:tcW w:w="6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Beginning of period</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261,611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224,113</w:t>
            </w:r>
          </w:p>
        </w:tc>
      </w:tr>
      <w:tr>
        <w:trPr>
          <w:trHeight w:val="209"/>
        </w:trPr>
        <w:tc>
          <w:tcPr>
            <w:tcW w:w="6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End of period</w:t>
            </w: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254,923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233,434</w:t>
            </w:r>
          </w:p>
        </w:tc>
      </w:tr>
      <w:tr>
        <w:trPr>
          <w:trHeight w:val="24"/>
        </w:trPr>
        <w:tc>
          <w:tcPr>
            <w:tcW w:w="6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160"/>
          </w:cols>
          <w:pgMar w:left="320" w:top="121"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60"/>
          </w:cols>
          <w:pgMar w:left="320" w:top="121" w:right="14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jc w:val="center"/>
        <w:ind w:right="-1079"/>
        <w:spacing w:after="0" w:line="223" w:lineRule="auto"/>
        <w:rPr>
          <w:sz w:val="20"/>
          <w:szCs w:val="20"/>
          <w:color w:val="auto"/>
        </w:rPr>
      </w:pPr>
      <w:r>
        <w:rPr>
          <w:rFonts w:ascii="Times New Roman" w:cs="Times New Roman" w:eastAsia="Times New Roman" w:hAnsi="Times New Roman"/>
          <w:sz w:val="17"/>
          <w:szCs w:val="17"/>
          <w:b w:val="1"/>
          <w:bCs w:val="1"/>
          <w:color w:val="auto"/>
        </w:rPr>
        <w:t>CONDENSED CONSOLIDATED STATEMENTS OF CASH FLOWS - (Continued)</w:t>
      </w: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10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80" w:type="dxa"/>
            <w:vAlign w:val="bottom"/>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7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Cash payments for:</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64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Interest, net</w:t>
            </w:r>
          </w:p>
        </w:tc>
        <w:tc>
          <w:tcPr>
            <w:tcW w:w="76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3"/>
              </w:rPr>
              <w:t>15,918</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8"/>
              </w:rPr>
              <w:t>15,035</w:t>
            </w:r>
          </w:p>
        </w:tc>
        <w:tc>
          <w:tcPr>
            <w:tcW w:w="0" w:type="dxa"/>
            <w:vAlign w:val="bottom"/>
          </w:tcPr>
          <w:p>
            <w:pPr>
              <w:spacing w:after="0"/>
              <w:rPr>
                <w:sz w:val="1"/>
                <w:szCs w:val="1"/>
                <w:color w:val="auto"/>
              </w:rPr>
            </w:pPr>
          </w:p>
        </w:tc>
      </w:tr>
      <w:tr>
        <w:trPr>
          <w:trHeight w:val="211"/>
        </w:trPr>
        <w:tc>
          <w:tcPr>
            <w:tcW w:w="64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Income taxes</w:t>
            </w:r>
          </w:p>
        </w:tc>
        <w:tc>
          <w:tcPr>
            <w:tcW w:w="76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93"/>
              </w:rPr>
              <w:t>11,214</w:t>
            </w:r>
          </w:p>
        </w:tc>
        <w:tc>
          <w:tcPr>
            <w:tcW w:w="120" w:type="dxa"/>
            <w:vAlign w:val="bottom"/>
          </w:tcPr>
          <w:p>
            <w:pPr>
              <w:spacing w:after="0"/>
              <w:rPr>
                <w:sz w:val="18"/>
                <w:szCs w:val="18"/>
                <w:color w:val="auto"/>
              </w:rPr>
            </w:pPr>
          </w:p>
        </w:tc>
        <w:tc>
          <w:tcPr>
            <w:tcW w:w="76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6,200</w:t>
            </w:r>
          </w:p>
        </w:tc>
        <w:tc>
          <w:tcPr>
            <w:tcW w:w="0" w:type="dxa"/>
            <w:vAlign w:val="bottom"/>
          </w:tcPr>
          <w:p>
            <w:pPr>
              <w:spacing w:after="0"/>
              <w:rPr>
                <w:sz w:val="1"/>
                <w:szCs w:val="1"/>
                <w:color w:val="auto"/>
              </w:rPr>
            </w:pPr>
          </w:p>
        </w:tc>
      </w:tr>
      <w:tr>
        <w:trPr>
          <w:trHeight w:val="36"/>
        </w:trPr>
        <w:tc>
          <w:tcPr>
            <w:tcW w:w="6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schedules of noncash investing and financing activities:</w:t>
            </w:r>
          </w:p>
        </w:tc>
        <w:tc>
          <w:tcPr>
            <w:tcW w:w="7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 and accrued liabilities</w:t>
            </w:r>
          </w:p>
        </w:tc>
        <w:tc>
          <w:tcPr>
            <w:tcW w:w="76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93"/>
              </w:rPr>
              <w:t>10,382</w:t>
            </w:r>
          </w:p>
        </w:tc>
        <w:tc>
          <w:tcPr>
            <w:tcW w:w="120" w:type="dxa"/>
            <w:vAlign w:val="bottom"/>
          </w:tcPr>
          <w:p>
            <w:pPr>
              <w:spacing w:after="0"/>
              <w:rPr>
                <w:sz w:val="18"/>
                <w:szCs w:val="18"/>
                <w:color w:val="auto"/>
              </w:rPr>
            </w:pPr>
          </w:p>
        </w:tc>
        <w:tc>
          <w:tcPr>
            <w:tcW w:w="76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98"/>
              </w:rPr>
              <w:t>10,346</w:t>
            </w:r>
          </w:p>
        </w:tc>
        <w:tc>
          <w:tcPr>
            <w:tcW w:w="0" w:type="dxa"/>
            <w:vAlign w:val="bottom"/>
          </w:tcPr>
          <w:p>
            <w:pPr>
              <w:spacing w:after="0"/>
              <w:rPr>
                <w:sz w:val="1"/>
                <w:szCs w:val="1"/>
                <w:color w:val="auto"/>
              </w:rPr>
            </w:pPr>
          </w:p>
        </w:tc>
      </w:tr>
      <w:tr>
        <w:trPr>
          <w:trHeight w:val="36"/>
        </w:trPr>
        <w:tc>
          <w:tcPr>
            <w:tcW w:w="6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6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premium on interest rate caplets</w:t>
            </w:r>
          </w:p>
        </w:tc>
        <w:tc>
          <w:tcPr>
            <w:tcW w:w="76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1,571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2,544</w:t>
            </w:r>
          </w:p>
        </w:tc>
        <w:tc>
          <w:tcPr>
            <w:tcW w:w="0" w:type="dxa"/>
            <w:vAlign w:val="bottom"/>
          </w:tcPr>
          <w:p>
            <w:pPr>
              <w:spacing w:after="0"/>
              <w:rPr>
                <w:sz w:val="1"/>
                <w:szCs w:val="1"/>
                <w:color w:val="auto"/>
              </w:rPr>
            </w:pPr>
          </w:p>
        </w:tc>
      </w:tr>
      <w:tr>
        <w:trPr>
          <w:trHeight w:val="211"/>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businesses and assets: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6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identifiable net assets acquired</w:t>
            </w:r>
          </w:p>
        </w:tc>
        <w:tc>
          <w:tcPr>
            <w:tcW w:w="76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3"/>
              </w:rPr>
              <w:t>19,566</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211"/>
        </w:trPr>
        <w:tc>
          <w:tcPr>
            <w:tcW w:w="6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Less consideration payable</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(2,102)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
        </w:trPr>
        <w:tc>
          <w:tcPr>
            <w:tcW w:w="64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purchase price</w:t>
            </w:r>
          </w:p>
        </w:tc>
        <w:tc>
          <w:tcPr>
            <w:tcW w:w="76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3"/>
              </w:rPr>
              <w:t>17,464</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60"/>
          </w:cols>
          <w:pgMar w:left="320" w:top="121" w:right="1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Business</w:t>
      </w:r>
    </w:p>
    <w:p>
      <w:pPr>
        <w:spacing w:after="0" w:line="171" w:lineRule="exact"/>
        <w:rPr>
          <w:sz w:val="20"/>
          <w:szCs w:val="20"/>
          <w:color w:val="auto"/>
        </w:rPr>
      </w:pPr>
    </w:p>
    <w:p>
      <w:pPr>
        <w:jc w:val="both"/>
        <w:ind w:firstLine="312"/>
        <w:spacing w:after="0" w:line="330" w:lineRule="auto"/>
        <w:rPr>
          <w:sz w:val="20"/>
          <w:szCs w:val="20"/>
          <w:color w:val="auto"/>
        </w:rPr>
      </w:pPr>
      <w:r>
        <w:rPr>
          <w:rFonts w:ascii="Times New Roman" w:cs="Times New Roman" w:eastAsia="Times New Roman" w:hAnsi="Times New Roman"/>
          <w:sz w:val="17"/>
          <w:szCs w:val="17"/>
          <w:color w:val="auto"/>
        </w:rPr>
        <w:t>Accel Entertainment, Inc. (and together with its subsidiaries, the “Company” or “Accel”) is a leading distributed gaming operator in the United States (“U.S.”). The Company has operations in Illinois, Montana, Nevada, Nebraska, Georgia, Iowa, and Pennsylvania. The Company is subject to the various gaming regulations in the states in which it operates, as well as various other federal, state and local laws and regulations.</w:t>
      </w:r>
    </w:p>
    <w:p>
      <w:pPr>
        <w:spacing w:after="0" w:line="78" w:lineRule="exact"/>
        <w:rPr>
          <w:sz w:val="20"/>
          <w:szCs w:val="20"/>
          <w:color w:val="auto"/>
        </w:rPr>
      </w:pPr>
    </w:p>
    <w:p>
      <w:pPr>
        <w:jc w:val="both"/>
        <w:ind w:firstLine="312"/>
        <w:spacing w:after="0" w:line="321" w:lineRule="auto"/>
        <w:rPr>
          <w:sz w:val="20"/>
          <w:szCs w:val="20"/>
          <w:color w:val="auto"/>
        </w:rPr>
      </w:pPr>
      <w:r>
        <w:rPr>
          <w:rFonts w:ascii="Times New Roman" w:cs="Times New Roman" w:eastAsia="Times New Roman" w:hAnsi="Times New Roman"/>
          <w:sz w:val="17"/>
          <w:szCs w:val="17"/>
          <w:color w:val="auto"/>
        </w:rPr>
        <w:t>The Company’s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restaurants, bars, taverns, convenience stores, liquor stores, truck stops, and grocery stores. The Company also operates stand-alone ATMs in gaming and non-gaming locations.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8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b w:val="1"/>
          <w:bCs w:val="1"/>
          <w:color w:val="auto"/>
        </w:rPr>
        <w:t>Basis of presentation and preparation</w:t>
      </w:r>
      <w:r>
        <w:rPr>
          <w:rFonts w:ascii="Times New Roman" w:cs="Times New Roman" w:eastAsia="Times New Roman" w:hAnsi="Times New Roman"/>
          <w:sz w:val="17"/>
          <w:szCs w:val="17"/>
          <w:color w:val="auto"/>
        </w:rPr>
        <w:t>: The condensed consolidated financial statements and accompanying notes were prepared in conformity with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accepted accounting principles (“GAAP”) and the rules and regulations of the Securities and Exchange Commission (“SEC”). The condensed consolidated financial statements include the accounts of the Company and of its wholly 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2023 (the “Form 10-K”).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w:t>
      </w:r>
    </w:p>
    <w:p>
      <w:pPr>
        <w:spacing w:after="0" w:line="10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color w:val="auto"/>
        </w:rPr>
        <w:t>Use of estimates</w:t>
      </w:r>
      <w:r>
        <w:rPr>
          <w:rFonts w:ascii="Times New Roman" w:cs="Times New Roman" w:eastAsia="Times New Roman" w:hAnsi="Times New Roman"/>
          <w:sz w:val="17"/>
          <w:szCs w:val="17"/>
          <w:color w:val="auto"/>
        </w:rPr>
        <w:t>: The preparation of the condensed consolidated financial statements requires management to make estimates and assumptions that affect (i)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reported 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selection of useful lives for depreciable and amortizable assets in conjunction with business acquisitions, the valuation of level 3 investments, the valuation of contingent earnout shares and warrants, the valuation of interest rate caplets, contingencies, and the expected term of share-based compensation awards and stock price volatility when computing stock-based compensation expense. Actual results may differ from those estimates.</w:t>
      </w:r>
    </w:p>
    <w:p>
      <w:pPr>
        <w:spacing w:after="0" w:line="12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7"/>
          <w:szCs w:val="17"/>
          <w:b w:val="1"/>
          <w:bCs w:val="1"/>
          <w:color w:val="auto"/>
        </w:rPr>
        <w:t>Segment information</w:t>
      </w:r>
      <w:r>
        <w:rPr>
          <w:rFonts w:ascii="Times New Roman" w:cs="Times New Roman" w:eastAsia="Times New Roman" w:hAnsi="Times New Roman"/>
          <w:sz w:val="17"/>
          <w:szCs w:val="17"/>
          <w:color w:val="auto"/>
        </w:rPr>
        <w:t>: The Company operates as a single reportable segment. The Company’s chief operating decision maker (“CODM”) is the chief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who has ultimate responsibility for the operating performance of the Company and the allocation of its resources. The CODM assesses the Company’s performance and allocates resources based on consolidated results, and this is the only discrete financial information that is regularly reviewed by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Equity method investments: </w:t>
      </w:r>
      <w:r>
        <w:rPr>
          <w:rFonts w:ascii="Times New Roman" w:cs="Times New Roman" w:eastAsia="Times New Roman" w:hAnsi="Times New Roman"/>
          <w:sz w:val="17"/>
          <w:szCs w:val="17"/>
          <w:color w:val="auto"/>
        </w:rPr>
        <w:t>Investments in unconsolidated affiliates, which do not meet the controlling financial interest consolidation criteria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authoritative accounting guidance for voting interest or variable interest entities, are accounted for under the equity method. The Company will record its share of net income or loss from equity method investments within “Other non-operating income, net” in the condensed consolidated statements of operations and comprehensive income and adjust the carrying value of its investments in unconsolidated affiliates.</w:t>
      </w:r>
    </w:p>
    <w:p>
      <w:pPr>
        <w:spacing w:after="0" w:line="85"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On June 17, 2024, the Company invested $5.0 million in HBC Gaming LLC (“HBC”), in exchange for a 5% equity interest in HBC. HBC is a local entertainment company based in Hampton, New Hampshire specializing in providing a variety of gaming services to its customers. The Company’s 5% investment qualifies for equity method accounting. The Company recorded its initial investment of $5.0 million within other assets on the condensed consolidated balance sheets, and will recognize its share of HBC’s net income or loss utilizing the most recent and available financials after a lag of one quarter. The Company also has obligations to fund additional equity investments in the event certain construction and development milestones are met in an amount up to 10% ownership of HBC, on an undiluted basis, at an additional cost of up to $6.5 million.</w:t>
      </w:r>
    </w:p>
    <w:p>
      <w:pPr>
        <w:spacing w:after="0" w:line="103"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 The Company generates revenues from the following types of services: gaming terminals, amusements, and ATMs. The Company also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generates manufacturing revenue from the sales of gaming terminals and associated software. Revenue is disaggregated by type of revenue and is presented on the face of the condensed consolidated statements of operations and comprehensive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net revenues for the three and six months ended June 30, 2024 and 2023 are further disaggregated by the primary states in which the Company operates.</w:t>
      </w:r>
    </w:p>
    <w:p>
      <w:pPr>
        <w:spacing w:after="0" w:line="232" w:lineRule="exact"/>
        <w:rPr>
          <w:sz w:val="20"/>
          <w:szCs w:val="20"/>
          <w:color w:val="auto"/>
        </w:rPr>
      </w:pPr>
    </w:p>
    <w:tbl>
      <w:tblPr>
        <w:tblLayout w:type="fixed"/>
        <w:tblInd w:w="1520" w:type="dxa"/>
        <w:tblCellMar>
          <w:top w:w="0" w:type="dxa"/>
          <w:left w:w="0" w:type="dxa"/>
          <w:bottom w:w="0" w:type="dxa"/>
          <w:right w:w="0" w:type="dxa"/>
        </w:tblCellMar>
      </w:tblPr>
      <w:tr>
        <w:trPr>
          <w:trHeight w:val="208"/>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8"/>
                <w:szCs w:val="18"/>
                <w:color w:val="auto"/>
              </w:rPr>
            </w:pPr>
          </w:p>
        </w:tc>
        <w:tc>
          <w:tcPr>
            <w:tcW w:w="2140" w:type="dxa"/>
            <w:vAlign w:val="bottom"/>
            <w:gridSpan w:val="4"/>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9"/>
                <w:szCs w:val="19"/>
                <w:color w:val="auto"/>
              </w:rPr>
            </w:pPr>
          </w:p>
        </w:tc>
        <w:tc>
          <w:tcPr>
            <w:tcW w:w="1300" w:type="dxa"/>
            <w:vAlign w:val="bottom"/>
            <w:gridSpan w:val="3"/>
          </w:tcPr>
          <w:p>
            <w:pPr>
              <w:ind w:left="6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Pr>
          <w:p>
            <w:pPr>
              <w:spacing w:after="0"/>
              <w:rPr>
                <w:sz w:val="19"/>
                <w:szCs w:val="19"/>
                <w:color w:val="auto"/>
              </w:rPr>
            </w:pPr>
          </w:p>
        </w:tc>
      </w:tr>
      <w:tr>
        <w:trPr>
          <w:trHeight w:val="26"/>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7"/>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0"/>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revenues by state:</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34"/>
        </w:trPr>
        <w:tc>
          <w:tcPr>
            <w:tcW w:w="3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Illinois</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227,093</w:t>
            </w:r>
          </w:p>
        </w:tc>
        <w:tc>
          <w:tcPr>
            <w:tcW w:w="12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215,947</w:t>
            </w:r>
          </w:p>
        </w:tc>
        <w:tc>
          <w:tcPr>
            <w:tcW w:w="140" w:type="dxa"/>
            <w:vAlign w:val="bottom"/>
          </w:tcPr>
          <w:p>
            <w:pPr>
              <w:spacing w:after="0"/>
              <w:rPr>
                <w:sz w:val="20"/>
                <w:szCs w:val="20"/>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451,956</w:t>
            </w:r>
          </w:p>
        </w:tc>
        <w:tc>
          <w:tcPr>
            <w:tcW w:w="14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435,790</w:t>
            </w:r>
          </w:p>
        </w:tc>
      </w:tr>
      <w:tr>
        <w:trPr>
          <w:trHeight w:val="26"/>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Montana</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39,275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80,724</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75,726</w:t>
            </w:r>
          </w:p>
        </w:tc>
      </w:tr>
      <w:tr>
        <w:trPr>
          <w:trHeight w:val="234"/>
        </w:trPr>
        <w:tc>
          <w:tcPr>
            <w:tcW w:w="3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Nevada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29,869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58,531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59,830</w:t>
            </w:r>
          </w:p>
        </w:tc>
      </w:tr>
      <w:tr>
        <w:trPr>
          <w:trHeight w:val="26"/>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3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Nebraska</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4,488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12,083</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r>
      <w:tr>
        <w:trPr>
          <w:trHeight w:val="234"/>
        </w:trPr>
        <w:tc>
          <w:tcPr>
            <w:tcW w:w="3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3,068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6,097</w:t>
            </w:r>
          </w:p>
        </w:tc>
      </w:tr>
      <w:tr>
        <w:trPr>
          <w:trHeight w:val="26"/>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8"/>
        </w:trPr>
        <w:tc>
          <w:tcPr>
            <w:tcW w:w="3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net revenues</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292,647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611,230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585,855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November 27, 2023, the Financial Accounting Standards Board (“FASB”) issued Accounting Standards Update</w:t>
      </w:r>
    </w:p>
    <w:p>
      <w:pPr>
        <w:spacing w:after="0" w:line="52"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 xml:space="preserve">(“ASU”) 2023-07,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xml:space="preserve"> which requires public entities to disclose information about their reportable segments’ significant expenses regularly provided to the CODM.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is effective for fiscal years beginning after December 15, 2023, and interim periods within fiscal years beginning after December 15, 2024. Entities must adopt the changes to the segment reporting guidance on a retrospective basis. The Company is currently evaluating the potential effect that this ASU will have on its financial statement disclosures.</w:t>
      </w:r>
    </w:p>
    <w:p>
      <w:pPr>
        <w:spacing w:after="0" w:line="10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 xml:space="preserve">On December 14,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ASU requires disaggregated information about a reporting entity’s effective tax rate reconciliation as well as information on income taxes paid disaggregated by jurisdiction. The new requirements will be effective for annual periods beginning after December 15, 2024, and will be applied on a prospective basis with the option to apply the standard retrospectively. The Company is currently evaluating the potential effect that this ASU will have on its financial statement disclosures.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7"/>
          <w:szCs w:val="17"/>
          <w:color w:val="auto"/>
        </w:rPr>
        <w:t>Other recently issued accounting standards or pronouncements have been excluded because they are either not relevant to the Company, or are not expected to have, or did not have, a material effect on its condensed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Inventories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consist of the following as of June 30, 2024 and December 31, 2023 (in thousands):</w:t>
      </w:r>
    </w:p>
    <w:p>
      <w:pPr>
        <w:spacing w:after="0" w:line="271" w:lineRule="exact"/>
        <w:rPr>
          <w:sz w:val="20"/>
          <w:szCs w:val="20"/>
          <w:color w:val="auto"/>
        </w:rPr>
      </w:pPr>
    </w:p>
    <w:tbl>
      <w:tblPr>
        <w:tblLayout w:type="fixed"/>
        <w:tblInd w:w="2160" w:type="dxa"/>
        <w:tblCellMar>
          <w:top w:w="0" w:type="dxa"/>
          <w:left w:w="0" w:type="dxa"/>
          <w:bottom w:w="0" w:type="dxa"/>
          <w:right w:w="0" w:type="dxa"/>
        </w:tblCellMar>
      </w:tblPr>
      <w:tr>
        <w:trPr>
          <w:trHeight w:val="208"/>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 w:type="dxa"/>
            <w:vAlign w:val="bottom"/>
          </w:tcPr>
          <w:p>
            <w:pPr>
              <w:spacing w:after="0"/>
              <w:rPr>
                <w:sz w:val="18"/>
                <w:szCs w:val="18"/>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 and manufacturing supplies</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6,103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5,693</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Finished products</w:t>
            </w:r>
          </w:p>
        </w:tc>
        <w:tc>
          <w:tcPr>
            <w:tcW w:w="20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1,988</w:t>
            </w:r>
          </w:p>
        </w:tc>
      </w:tr>
      <w:tr>
        <w:trPr>
          <w:trHeight w:val="26"/>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8"/>
        </w:trPr>
        <w:tc>
          <w:tcPr>
            <w:tcW w:w="4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 inventories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7,533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7,681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June 30, 2024 and December 31, 2023, no inventory valuation allowance was determined to be necessary.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Investment in Convertible Notes</w:t>
      </w:r>
    </w:p>
    <w:p>
      <w:pPr>
        <w:spacing w:after="0" w:line="197" w:lineRule="exact"/>
        <w:rPr>
          <w:sz w:val="20"/>
          <w:szCs w:val="20"/>
          <w:color w:val="auto"/>
        </w:rPr>
      </w:pPr>
    </w:p>
    <w:p>
      <w:pPr>
        <w:jc w:val="both"/>
        <w:ind w:firstLine="312"/>
        <w:spacing w:after="0" w:line="312" w:lineRule="auto"/>
        <w:rPr>
          <w:sz w:val="20"/>
          <w:szCs w:val="20"/>
          <w:color w:val="auto"/>
        </w:rPr>
      </w:pPr>
      <w:r>
        <w:rPr>
          <w:rFonts w:ascii="Times New Roman" w:cs="Times New Roman" w:eastAsia="Times New Roman" w:hAnsi="Times New Roman"/>
          <w:sz w:val="17"/>
          <w:szCs w:val="17"/>
          <w:color w:val="auto"/>
        </w:rPr>
        <w:t>On May 31, 2023, the Company and Gold Rush Amusements, Inc. (“Gold Rush”), another terminal operator in Illinois, entered into a settlement agreement which resolved any and all lawsuits and all outstanding obligations under the Company’s investment in Gold Rush’s convertible notes. As part of the settlement, the Company received $32.5 million from Gold Rush in June 2023, which included the repayment of the face value of the convertible notes plus accrued interest as well as a $0.4 million prepayment on future amounts due. In addition, the Company has a receivable from Gold Rush of $1.4 million as of June 30, 2024, which represents the present value of the remaining $1.5 million due from Gold Rush by May 2025, and is presented within other current assets in the condensed consolidated balance sheets. The Company also recorded a gain of $1.7 million in the second quarter of 2023, which is included in other expenses, net on the condensed consolidated statements of operations and comprehensive income for the three and six months ended June 30,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Property and Equipment</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Property and equipment consist of the following as of June 30, 2024, and December 31, 2023 (in thousands):</w:t>
      </w:r>
    </w:p>
    <w:p>
      <w:pPr>
        <w:spacing w:after="0" w:line="154" w:lineRule="exact"/>
        <w:rPr>
          <w:sz w:val="20"/>
          <w:szCs w:val="20"/>
          <w:color w:val="auto"/>
        </w:rPr>
      </w:pPr>
    </w:p>
    <w:tbl>
      <w:tblPr>
        <w:tblLayout w:type="fixed"/>
        <w:tblInd w:w="2000" w:type="dxa"/>
        <w:tblCellMar>
          <w:top w:w="0" w:type="dxa"/>
          <w:left w:w="0" w:type="dxa"/>
          <w:bottom w:w="0" w:type="dxa"/>
          <w:right w:w="0" w:type="dxa"/>
        </w:tblCellMar>
      </w:tblPr>
      <w:tr>
        <w:trPr>
          <w:trHeight w:val="208"/>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Gaming terminals, software and equipment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393,445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361,662</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Amusement, ATM and other equipment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28,879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27,182</w:t>
            </w:r>
          </w:p>
        </w:tc>
      </w:tr>
      <w:tr>
        <w:trPr>
          <w:trHeight w:val="26"/>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 and furniture</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20,592</w:t>
            </w:r>
          </w:p>
        </w:tc>
      </w:tr>
      <w:tr>
        <w:trPr>
          <w:trHeight w:val="26"/>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8,281</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Vehicles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19,862</w:t>
            </w:r>
          </w:p>
        </w:tc>
      </w:tr>
      <w:tr>
        <w:trPr>
          <w:trHeight w:val="26"/>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14,047</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w:t>
            </w:r>
          </w:p>
        </w:tc>
      </w:tr>
      <w:tr>
        <w:trPr>
          <w:trHeight w:val="26"/>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5,480</w:t>
            </w: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498,653</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462,960</w:t>
            </w:r>
          </w:p>
        </w:tc>
      </w:tr>
      <w:tr>
        <w:trPr>
          <w:trHeight w:val="26"/>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0"/>
        </w:trPr>
        <w:tc>
          <w:tcPr>
            <w:tcW w:w="4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(222,176)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(202,147)</w:t>
            </w:r>
          </w:p>
        </w:tc>
      </w:tr>
      <w:tr>
        <w:trPr>
          <w:trHeight w:val="253"/>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276,477</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260,813</w:t>
            </w: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Depreciation and amortization of property and equipment was $10.8 million and $21.2 million for the three and six months ended June 30, 2024, respectively. In comparison, depreciation and amortization of property and equipment was $9.4 million and $18.5 million for the three and six months ended June 30, 2023,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Route and Customer Acquisition Costs</w:t>
      </w:r>
    </w:p>
    <w:p>
      <w:pPr>
        <w:spacing w:after="0" w:line="197" w:lineRule="exact"/>
        <w:rPr>
          <w:sz w:val="20"/>
          <w:szCs w:val="20"/>
          <w:color w:val="auto"/>
        </w:rPr>
      </w:pPr>
    </w:p>
    <w:p>
      <w:pPr>
        <w:jc w:val="both"/>
        <w:ind w:firstLine="312"/>
        <w:spacing w:after="0" w:line="311" w:lineRule="auto"/>
        <w:rPr>
          <w:sz w:val="20"/>
          <w:szCs w:val="20"/>
          <w:color w:val="auto"/>
        </w:rPr>
      </w:pPr>
      <w:r>
        <w:rPr>
          <w:rFonts w:ascii="Times New Roman" w:cs="Times New Roman" w:eastAsia="Times New Roman" w:hAnsi="Times New Roman"/>
          <w:sz w:val="17"/>
          <w:szCs w:val="17"/>
          <w:color w:val="auto"/>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were approximately $11.4 million and $7.4 million as of June 30, 2024 and December 31, 2023, respectively. Payments are due over varying terms of the individual agreements and are discounted at the Company’s incremental borrowing rate associated with its long-term debt at the time the contract is acquired. The net present value of payments due was $9.5 million and $6.5 million as of June 30, 2024 and December 31, 2023, respectively, of which approximately $2.0 million and $1.5 million was included in current liabilities in the accompanying condensed consolidated balance sheets as of June 30, 2024 and December 31, 2023, respectively. The route and customer acquisition cost asset was comprised of upfront payments made on the contracts of $22.1 million and $20.0 million as of June 30, 2024 and December 31, 2023, respectively. The Company has upfront payments of commissions paid to the third parties for the acquisition of the customer contracts that are subject to a clawback provision if the customer cancels the contract prior to completion. The payments subject to a clawback were $1.4 million and $1.0 million as of June 30, 2024 and December 31, 2023, respectively.</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Route and customer acquisition costs consisted of the following as of June 30, 2024 and December 31, 2023 (in thousands):</w:t>
      </w:r>
    </w:p>
    <w:p>
      <w:pPr>
        <w:spacing w:after="0" w:line="154" w:lineRule="exact"/>
        <w:rPr>
          <w:sz w:val="20"/>
          <w:szCs w:val="20"/>
          <w:color w:val="auto"/>
        </w:rPr>
      </w:pPr>
    </w:p>
    <w:tbl>
      <w:tblPr>
        <w:tblLayout w:type="fixed"/>
        <w:tblInd w:w="2640" w:type="dxa"/>
        <w:tblCellMar>
          <w:top w:w="0" w:type="dxa"/>
          <w:left w:w="0" w:type="dxa"/>
          <w:bottom w:w="0" w:type="dxa"/>
          <w:right w:w="0" w:type="dxa"/>
        </w:tblCellMar>
      </w:tblPr>
      <w:tr>
        <w:trPr>
          <w:trHeight w:val="208"/>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center"/>
              <w:ind w:left="333"/>
              <w:spacing w:after="0"/>
              <w:rPr>
                <w:sz w:val="20"/>
                <w:szCs w:val="20"/>
                <w:color w:val="auto"/>
              </w:rPr>
            </w:pPr>
            <w:r>
              <w:rPr>
                <w:rFonts w:ascii="Times New Roman" w:cs="Times New Roman" w:eastAsia="Times New Roman" w:hAnsi="Times New Roman"/>
                <w:sz w:val="17"/>
                <w:szCs w:val="17"/>
                <w:color w:val="auto"/>
              </w:rPr>
              <w:t>38,927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center"/>
              <w:ind w:left="433"/>
              <w:spacing w:after="0"/>
              <w:rPr>
                <w:sz w:val="20"/>
                <w:szCs w:val="20"/>
                <w:color w:val="auto"/>
              </w:rPr>
            </w:pPr>
            <w:r>
              <w:rPr>
                <w:rFonts w:ascii="Times New Roman" w:cs="Times New Roman" w:eastAsia="Times New Roman" w:hAnsi="Times New Roman"/>
                <w:sz w:val="17"/>
                <w:szCs w:val="17"/>
                <w:color w:val="auto"/>
              </w:rPr>
              <w:t>33,855</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200" w:type="dxa"/>
            <w:vAlign w:val="bottom"/>
          </w:tcPr>
          <w:p>
            <w:pPr>
              <w:spacing w:after="0"/>
              <w:rPr>
                <w:sz w:val="20"/>
                <w:szCs w:val="20"/>
                <w:color w:val="auto"/>
              </w:rPr>
            </w:pPr>
          </w:p>
        </w:tc>
        <w:tc>
          <w:tcPr>
            <w:tcW w:w="106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w w:val="99"/>
              </w:rPr>
              <w:t>(15,222)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left="413"/>
              <w:spacing w:after="0"/>
              <w:rPr>
                <w:sz w:val="20"/>
                <w:szCs w:val="20"/>
                <w:color w:val="auto"/>
              </w:rPr>
            </w:pPr>
            <w:r>
              <w:rPr>
                <w:rFonts w:ascii="Times New Roman" w:cs="Times New Roman" w:eastAsia="Times New Roman" w:hAnsi="Times New Roman"/>
                <w:sz w:val="17"/>
                <w:szCs w:val="17"/>
                <w:color w:val="auto"/>
                <w:w w:val="99"/>
              </w:rPr>
              <w:t>(14,667)</w:t>
            </w:r>
          </w:p>
        </w:tc>
      </w:tr>
      <w:tr>
        <w:trPr>
          <w:trHeight w:val="26"/>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Route and customer acquisition costs, net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7"/>
                <w:szCs w:val="17"/>
                <w:color w:val="auto"/>
              </w:rPr>
              <w:t>23,705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center"/>
              <w:ind w:left="433"/>
              <w:spacing w:after="0"/>
              <w:rPr>
                <w:sz w:val="20"/>
                <w:szCs w:val="20"/>
                <w:color w:val="auto"/>
              </w:rPr>
            </w:pPr>
            <w:r>
              <w:rPr>
                <w:rFonts w:ascii="Times New Roman" w:cs="Times New Roman" w:eastAsia="Times New Roman" w:hAnsi="Times New Roman"/>
                <w:sz w:val="17"/>
                <w:szCs w:val="17"/>
                <w:color w:val="auto"/>
              </w:rPr>
              <w:t>19,188</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Amortization expense of route and customer acquisition costs was $0.6 million and $1.1 million for the three and six months ended June 30, 2024, respectively. In comparison, amortization expense of route and customer acquisition costs was $0.4 million and $0.8 million for the three and six months ended June 30,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Location Contracts Acquired</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Location contract assets acquired in business acquisitions are recorded at acquisition at fair value based on an income approach. Location contracts acquired consisted of the following as of June 30, 2024 and December 31, 2023 (in thousands):</w:t>
      </w:r>
    </w:p>
    <w:p>
      <w:pPr>
        <w:spacing w:after="0" w:line="54" w:lineRule="exact"/>
        <w:rPr>
          <w:sz w:val="20"/>
          <w:szCs w:val="20"/>
          <w:color w:val="auto"/>
        </w:rPr>
      </w:pPr>
    </w:p>
    <w:tbl>
      <w:tblPr>
        <w:tblLayout w:type="fixed"/>
        <w:tblInd w:w="2640" w:type="dxa"/>
        <w:tblCellMar>
          <w:top w:w="0" w:type="dxa"/>
          <w:left w:w="0" w:type="dxa"/>
          <w:bottom w:w="0" w:type="dxa"/>
          <w:right w:w="0" w:type="dxa"/>
        </w:tblCellMar>
      </w:tblPr>
      <w:tr>
        <w:trPr>
          <w:trHeight w:val="208"/>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center"/>
              <w:ind w:left="253"/>
              <w:spacing w:after="0"/>
              <w:rPr>
                <w:sz w:val="20"/>
                <w:szCs w:val="20"/>
                <w:color w:val="auto"/>
              </w:rPr>
            </w:pPr>
            <w:r>
              <w:rPr>
                <w:rFonts w:ascii="Times New Roman" w:cs="Times New Roman" w:eastAsia="Times New Roman" w:hAnsi="Times New Roman"/>
                <w:sz w:val="17"/>
                <w:szCs w:val="17"/>
                <w:color w:val="auto"/>
              </w:rPr>
              <w:t>300,520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286,728</w:t>
            </w:r>
          </w:p>
        </w:tc>
      </w:tr>
      <w:tr>
        <w:trPr>
          <w:trHeight w:val="234"/>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220" w:type="dxa"/>
            <w:vAlign w:val="bottom"/>
          </w:tcPr>
          <w:p>
            <w:pPr>
              <w:spacing w:after="0"/>
              <w:rPr>
                <w:sz w:val="20"/>
                <w:szCs w:val="20"/>
                <w:color w:val="auto"/>
              </w:rPr>
            </w:pPr>
          </w:p>
        </w:tc>
        <w:tc>
          <w:tcPr>
            <w:tcW w:w="106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w w:val="99"/>
              </w:rPr>
              <w:t>(119,170)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w w:val="99"/>
              </w:rPr>
              <w:t>(110,417)</w:t>
            </w:r>
          </w:p>
        </w:tc>
      </w:tr>
      <w:tr>
        <w:trPr>
          <w:trHeight w:val="26"/>
        </w:trPr>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Location contracts acquired, net</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7"/>
                <w:szCs w:val="17"/>
                <w:color w:val="auto"/>
              </w:rPr>
              <w:t>181,350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176,311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firstLine="312"/>
        <w:spacing w:after="0" w:line="341" w:lineRule="auto"/>
        <w:rPr>
          <w:sz w:val="20"/>
          <w:szCs w:val="20"/>
          <w:color w:val="auto"/>
        </w:rPr>
      </w:pPr>
      <w:r>
        <w:rPr>
          <w:rFonts w:ascii="Times New Roman" w:cs="Times New Roman" w:eastAsia="Times New Roman" w:hAnsi="Times New Roman"/>
          <w:sz w:val="17"/>
          <w:szCs w:val="17"/>
          <w:color w:val="auto"/>
        </w:rPr>
        <w:t>Amortization expense of location contracts acquired was $4.4 million and $8.7 million for the three and six months ended June 30, 2024, respectively. In comparison, location contracts acquired was $4.2 million and $8.5 million for the three and six months ended June 30, 2023,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Goodwill and Other Intangible Assets</w:t>
      </w:r>
    </w:p>
    <w:p>
      <w:pPr>
        <w:spacing w:after="0" w:line="197" w:lineRule="exact"/>
        <w:rPr>
          <w:sz w:val="20"/>
          <w:szCs w:val="20"/>
          <w:color w:val="auto"/>
        </w:rPr>
      </w:pPr>
    </w:p>
    <w:p>
      <w:pPr>
        <w:jc w:val="both"/>
        <w:ind w:firstLine="312"/>
        <w:spacing w:after="0" w:line="321" w:lineRule="auto"/>
        <w:rPr>
          <w:sz w:val="20"/>
          <w:szCs w:val="20"/>
          <w:color w:val="auto"/>
        </w:rPr>
      </w:pPr>
      <w:r>
        <w:rPr>
          <w:rFonts w:ascii="Times New Roman" w:cs="Times New Roman" w:eastAsia="Times New Roman" w:hAnsi="Times New Roman"/>
          <w:sz w:val="17"/>
          <w:szCs w:val="17"/>
          <w:color w:val="auto"/>
        </w:rPr>
        <w:t xml:space="preserve">The Company acquired various companies which were accounted for as a business combination using the acquisition method of accounting in accordance with Accounting Standards Codification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(“Topic 805”). The total excess of the purchase price over the tangible and intangible assets acquired and liabilities assumed was recorded as goodwill of $101.9 million and $101.6 million as of June 30, 2024 and December 31, 2023, respectively, of which $37.4 million was deductible for tax purposes as of June 30, 2024.</w:t>
      </w:r>
    </w:p>
    <w:p>
      <w:pPr>
        <w:spacing w:after="0" w:line="112"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On June 26, 2024, the Company acquired BRM Services, Inc. (“Jorgenson’s Lounge”), a hospitality location in Helena, Montana, for a total purchase price of $1.1 million. The purchase price primarily included a Montana All-Alcoholic Beverage License.</w:t>
      </w:r>
    </w:p>
    <w:p>
      <w:pPr>
        <w:spacing w:after="0" w:line="95"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roll forward of the Company's goodwill (in thousands):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8"/>
        </w:trPr>
        <w:tc>
          <w:tcPr>
            <w:tcW w:w="24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0"/>
        </w:trPr>
        <w:tc>
          <w:tcPr>
            <w:tcW w:w="246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balance as of January 1, 2024</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101,554</w:t>
            </w:r>
          </w:p>
        </w:tc>
      </w:tr>
      <w:tr>
        <w:trPr>
          <w:trHeight w:val="260"/>
        </w:trPr>
        <w:tc>
          <w:tcPr>
            <w:tcW w:w="2460" w:type="dxa"/>
            <w:vAlign w:val="bottom"/>
          </w:tcPr>
          <w:p>
            <w:pPr>
              <w:spacing w:after="0"/>
              <w:rPr>
                <w:sz w:val="22"/>
                <w:szCs w:val="22"/>
                <w:color w:val="auto"/>
              </w:rPr>
            </w:pPr>
          </w:p>
        </w:tc>
        <w:tc>
          <w:tcPr>
            <w:tcW w:w="4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Addition to goodwill for acquisition of Jorgenson’s Lounge</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78"/>
        </w:trPr>
        <w:tc>
          <w:tcPr>
            <w:tcW w:w="246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balance as of June 30, 2024</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101,859</w:t>
            </w:r>
          </w:p>
        </w:tc>
      </w:tr>
      <w:tr>
        <w:trPr>
          <w:trHeight w:val="20"/>
        </w:trPr>
        <w:tc>
          <w:tcPr>
            <w:tcW w:w="246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intangible assets</w:t>
      </w:r>
    </w:p>
    <w:p>
      <w:pPr>
        <w:spacing w:after="0" w:line="210" w:lineRule="exact"/>
        <w:rPr>
          <w:sz w:val="20"/>
          <w:szCs w:val="20"/>
          <w:color w:val="auto"/>
        </w:rPr>
      </w:pPr>
    </w:p>
    <w:p>
      <w:pPr>
        <w:jc w:val="both"/>
        <w:ind w:firstLine="312"/>
        <w:spacing w:after="0" w:line="330" w:lineRule="auto"/>
        <w:rPr>
          <w:sz w:val="20"/>
          <w:szCs w:val="20"/>
          <w:color w:val="auto"/>
        </w:rPr>
      </w:pPr>
      <w:r>
        <w:rPr>
          <w:rFonts w:ascii="Times New Roman" w:cs="Times New Roman" w:eastAsia="Times New Roman" w:hAnsi="Times New Roman"/>
          <w:sz w:val="17"/>
          <w:szCs w:val="17"/>
          <w:color w:val="auto"/>
        </w:rPr>
        <w:t>Other intangible assets consist of definite-lived trade names, customer relationships, and software applications. The Company determines the fair value of trade name assets acquired in acquisitions using a relief from royalty valuation method which requires assumptions such as projected revenue and a royalty rate. Other intangible assets are amortized over their estimated 7 to 20-year useful lives.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intangible assets consist of the following as of June 30, 2024 and December 31, 2023 (in thousands):</w:t>
      </w:r>
    </w:p>
    <w:p>
      <w:pPr>
        <w:spacing w:after="0" w:line="236" w:lineRule="exact"/>
        <w:rPr>
          <w:sz w:val="20"/>
          <w:szCs w:val="20"/>
          <w:color w:val="auto"/>
        </w:rPr>
      </w:pPr>
    </w:p>
    <w:tbl>
      <w:tblPr>
        <w:tblLayout w:type="fixed"/>
        <w:tblInd w:w="1460" w:type="dxa"/>
        <w:tblCellMar>
          <w:top w:w="0" w:type="dxa"/>
          <w:left w:w="0" w:type="dxa"/>
          <w:bottom w:w="0" w:type="dxa"/>
          <w:right w:w="0" w:type="dxa"/>
        </w:tblCellMar>
      </w:tblPr>
      <w:tr>
        <w:trPr>
          <w:trHeight w:val="217"/>
        </w:trPr>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520" w:type="dxa"/>
            <w:vAlign w:val="bottom"/>
          </w:tcPr>
          <w:p>
            <w:pPr>
              <w:spacing w:after="0"/>
              <w:rPr>
                <w:sz w:val="21"/>
                <w:szCs w:val="21"/>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6"/>
              </w:rPr>
              <w:t>Amortization</w:t>
            </w:r>
          </w:p>
        </w:tc>
        <w:tc>
          <w:tcPr>
            <w:tcW w:w="12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6"/>
              </w:rPr>
              <w:t>Gross</w:t>
            </w: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Accumulated</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Net Carrying</w:t>
            </w:r>
          </w:p>
        </w:tc>
        <w:tc>
          <w:tcPr>
            <w:tcW w:w="120" w:type="dxa"/>
            <w:vAlign w:val="bottom"/>
          </w:tcPr>
          <w:p>
            <w:pPr>
              <w:spacing w:after="0"/>
              <w:rPr>
                <w:sz w:val="21"/>
                <w:szCs w:val="21"/>
                <w:color w:val="auto"/>
              </w:rPr>
            </w:pPr>
          </w:p>
        </w:tc>
        <w:tc>
          <w:tcPr>
            <w:tcW w:w="70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rPr>
              <w:t>Gross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w w:val="98"/>
              </w:rPr>
              <w:t>Accumulated</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6"/>
                <w:szCs w:val="16"/>
                <w:color w:val="auto"/>
                <w:w w:val="98"/>
              </w:rPr>
              <w:t>Carrying</w:t>
            </w:r>
          </w:p>
        </w:tc>
        <w:tc>
          <w:tcPr>
            <w:tcW w:w="116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2"/>
              <w:spacing w:after="0" w:line="182" w:lineRule="exact"/>
              <w:rPr>
                <w:sz w:val="20"/>
                <w:szCs w:val="20"/>
                <w:color w:val="auto"/>
              </w:rPr>
            </w:pPr>
            <w:r>
              <w:rPr>
                <w:rFonts w:ascii="Times New Roman" w:cs="Times New Roman" w:eastAsia="Times New Roman" w:hAnsi="Times New Roman"/>
                <w:sz w:val="16"/>
                <w:szCs w:val="16"/>
                <w:color w:val="auto"/>
                <w:w w:val="94"/>
              </w:rPr>
              <w:t>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Period</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5"/>
              </w:rPr>
              <w:t>Amount</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8"/>
                <w:szCs w:val="18"/>
                <w:color w:val="auto"/>
              </w:rPr>
            </w:pPr>
          </w:p>
        </w:tc>
        <w:tc>
          <w:tcPr>
            <w:tcW w:w="70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5"/>
              </w:rPr>
              <w:t>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8"/>
              </w:rPr>
              <w:t>Amortization</w:t>
            </w:r>
          </w:p>
        </w:tc>
        <w:tc>
          <w:tcPr>
            <w:tcW w:w="120" w:type="dxa"/>
            <w:vAlign w:val="bottom"/>
          </w:tcPr>
          <w:p>
            <w:pPr>
              <w:spacing w:after="0"/>
              <w:rPr>
                <w:sz w:val="18"/>
                <w:szCs w:val="18"/>
                <w:color w:val="auto"/>
              </w:rPr>
            </w:pP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247"/>
        </w:trPr>
        <w:tc>
          <w:tcPr>
            <w:tcW w:w="15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5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Customer</w:t>
            </w:r>
          </w:p>
        </w:tc>
        <w:tc>
          <w:tcPr>
            <w:tcW w:w="10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7 years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6,800</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4,776</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460" w:type="dxa"/>
            <w:vAlign w:val="bottom"/>
            <w:gridSpan w:val="3"/>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5,262</w:t>
            </w: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Relationships</w:t>
            </w:r>
          </w:p>
        </w:tc>
        <w:tc>
          <w:tcPr>
            <w:tcW w:w="10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Applications</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 years</w:t>
            </w:r>
          </w:p>
        </w:tc>
        <w:tc>
          <w:tcPr>
            <w:tcW w:w="12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6,256</w:t>
            </w:r>
          </w:p>
        </w:tc>
        <w:tc>
          <w:tcPr>
            <w:tcW w:w="0" w:type="dxa"/>
            <w:vAlign w:val="bottom"/>
          </w:tcPr>
          <w:p>
            <w:pPr>
              <w:spacing w:after="0"/>
              <w:rPr>
                <w:sz w:val="1"/>
                <w:szCs w:val="1"/>
                <w:color w:val="auto"/>
              </w:rPr>
            </w:pPr>
          </w:p>
        </w:tc>
      </w:tr>
      <w:tr>
        <w:trPr>
          <w:trHeight w:val="257"/>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20 years</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9,800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8,779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9,024</w:t>
            </w:r>
          </w:p>
        </w:tc>
        <w:tc>
          <w:tcPr>
            <w:tcW w:w="0" w:type="dxa"/>
            <w:vAlign w:val="bottom"/>
          </w:tcPr>
          <w:p>
            <w:pPr>
              <w:spacing w:after="0"/>
              <w:rPr>
                <w:sz w:val="1"/>
                <w:szCs w:val="1"/>
                <w:color w:val="auto"/>
              </w:rPr>
            </w:pPr>
          </w:p>
        </w:tc>
      </w:tr>
      <w:tr>
        <w:trPr>
          <w:trHeight w:val="214"/>
        </w:trPr>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24,400</w:t>
            </w:r>
          </w:p>
        </w:tc>
        <w:tc>
          <w:tcPr>
            <w:tcW w:w="120" w:type="dxa"/>
            <w:vAlign w:val="bottom"/>
          </w:tcPr>
          <w:p>
            <w:pPr>
              <w:spacing w:after="0"/>
              <w:rPr>
                <w:sz w:val="18"/>
                <w:szCs w:val="18"/>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19,324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24,400</w:t>
            </w:r>
          </w:p>
        </w:tc>
        <w:tc>
          <w:tcPr>
            <w:tcW w:w="460" w:type="dxa"/>
            <w:vAlign w:val="bottom"/>
            <w:gridSpan w:val="3"/>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20,542</w:t>
            </w:r>
          </w:p>
        </w:tc>
        <w:tc>
          <w:tcPr>
            <w:tcW w:w="0" w:type="dxa"/>
            <w:vAlign w:val="bottom"/>
          </w:tcPr>
          <w:p>
            <w:pPr>
              <w:spacing w:after="0"/>
              <w:rPr>
                <w:sz w:val="1"/>
                <w:szCs w:val="1"/>
                <w:color w:val="auto"/>
              </w:rPr>
            </w:pPr>
          </w:p>
        </w:tc>
      </w:tr>
      <w:tr>
        <w:trPr>
          <w:trHeight w:val="22"/>
        </w:trPr>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firstLine="312"/>
        <w:spacing w:after="0" w:line="341" w:lineRule="auto"/>
        <w:rPr>
          <w:sz w:val="20"/>
          <w:szCs w:val="20"/>
          <w:color w:val="auto"/>
        </w:rPr>
      </w:pPr>
      <w:r>
        <w:rPr>
          <w:rFonts w:ascii="Times New Roman" w:cs="Times New Roman" w:eastAsia="Times New Roman" w:hAnsi="Times New Roman"/>
          <w:sz w:val="17"/>
          <w:szCs w:val="17"/>
          <w:color w:val="auto"/>
        </w:rPr>
        <w:t>Amortization expense of other intangible assets was $0.6 million and $1.2 million for both the three and six months ended June 30, 2024, and June 30, 2023,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Indefinite-lived intangible assets</w:t>
      </w:r>
    </w:p>
    <w:p>
      <w:pPr>
        <w:spacing w:after="0" w:line="210" w:lineRule="exact"/>
        <w:rPr>
          <w:sz w:val="20"/>
          <w:szCs w:val="20"/>
          <w:color w:val="auto"/>
        </w:rPr>
      </w:pPr>
    </w:p>
    <w:p>
      <w:pPr>
        <w:ind w:firstLine="312"/>
        <w:spacing w:after="0" w:line="357" w:lineRule="auto"/>
        <w:rPr>
          <w:sz w:val="20"/>
          <w:szCs w:val="20"/>
          <w:color w:val="auto"/>
        </w:rPr>
      </w:pPr>
      <w:r>
        <w:rPr>
          <w:rFonts w:ascii="Times New Roman" w:cs="Times New Roman" w:eastAsia="Times New Roman" w:hAnsi="Times New Roman"/>
          <w:sz w:val="17"/>
          <w:szCs w:val="17"/>
          <w:color w:val="auto"/>
        </w:rPr>
        <w:t>The Company also has indefinite-lived intangible assets related to operating licenses totaling $4.4 million and $2.8 million as of June 30, 2024 and December 31, 2023, respectively, which are recorded within other assets on the condensed consolidated balance sheets.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Debt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debt as of June 30, 2024 and December 31, 2023, consisted of the following (in thousands):</w:t>
      </w:r>
    </w:p>
    <w:p>
      <w:pPr>
        <w:spacing w:after="0" w:line="159"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16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7"/>
        </w:trPr>
        <w:tc>
          <w:tcPr>
            <w:tcW w:w="5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2"/>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Secured Credit Facility:</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60"/>
        </w:trPr>
        <w:tc>
          <w:tcPr>
            <w:tcW w:w="5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82,500</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46,000</w:t>
            </w:r>
          </w:p>
        </w:tc>
      </w:tr>
      <w:tr>
        <w:trPr>
          <w:trHeight w:val="240"/>
        </w:trPr>
        <w:tc>
          <w:tcPr>
            <w:tcW w:w="5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Term Loan</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301,875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310,625</w:t>
            </w:r>
          </w:p>
        </w:tc>
      </w:tr>
      <w:tr>
        <w:trPr>
          <w:trHeight w:val="260"/>
        </w:trPr>
        <w:tc>
          <w:tcPr>
            <w:tcW w:w="5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Delayed Draw Term Loan</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183,750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188,750</w:t>
            </w:r>
          </w:p>
        </w:tc>
      </w:tr>
      <w:tr>
        <w:trPr>
          <w:trHeight w:val="233"/>
        </w:trPr>
        <w:tc>
          <w:tcPr>
            <w:tcW w:w="54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borrowings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568,125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545,375</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Add: Remaining premium on interest rate caplets financed as debt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w:t>
            </w:r>
          </w:p>
        </w:tc>
      </w:tr>
      <w:tr>
        <w:trPr>
          <w:trHeight w:val="26"/>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Debt issuance costs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(4,860)</w:t>
            </w:r>
          </w:p>
        </w:tc>
      </w:tr>
      <w:tr>
        <w:trPr>
          <w:trHeight w:val="227"/>
        </w:trPr>
        <w:tc>
          <w:tcPr>
            <w:tcW w:w="54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debt, net of debt issuance costs</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565,741</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542,574</w:t>
            </w:r>
          </w:p>
        </w:tc>
      </w:tr>
      <w:tr>
        <w:trPr>
          <w:trHeight w:val="26"/>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maturities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(28,489)</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(28,483)</w:t>
            </w:r>
          </w:p>
        </w:tc>
      </w:tr>
      <w:tr>
        <w:trPr>
          <w:trHeight w:val="227"/>
        </w:trPr>
        <w:tc>
          <w:tcPr>
            <w:tcW w:w="54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debt, net of current maturities</w:t>
            </w: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537,252</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514,091</w:t>
            </w:r>
          </w:p>
        </w:tc>
      </w:tr>
      <w:tr>
        <w:trPr>
          <w:trHeight w:val="26"/>
        </w:trPr>
        <w:tc>
          <w:tcPr>
            <w:tcW w:w="5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June 30, 2024, the weighted-average interest rate on the Company’s borrowings was approximately 7.7%.</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caplets</w:t>
      </w:r>
    </w:p>
    <w:p>
      <w:pPr>
        <w:spacing w:after="0" w:line="223" w:lineRule="exact"/>
        <w:rPr>
          <w:sz w:val="20"/>
          <w:szCs w:val="20"/>
          <w:color w:val="auto"/>
        </w:rPr>
      </w:pPr>
    </w:p>
    <w:p>
      <w:pPr>
        <w:jc w:val="both"/>
        <w:ind w:firstLine="312"/>
        <w:spacing w:after="0" w:line="325" w:lineRule="auto"/>
        <w:rPr>
          <w:sz w:val="20"/>
          <w:szCs w:val="20"/>
          <w:color w:val="auto"/>
        </w:rPr>
      </w:pPr>
      <w:r>
        <w:rPr>
          <w:rFonts w:ascii="Times New Roman" w:cs="Times New Roman" w:eastAsia="Times New Roman" w:hAnsi="Times New Roman"/>
          <w:sz w:val="17"/>
          <w:szCs w:val="17"/>
          <w:color w:val="auto"/>
        </w:rPr>
        <w:t>The Company manages its exposure to some of its interest rate risk through the use of interest rate caplets, which are derivative financial instruments. On January 12, 2022, the Company hedged the variability of the cash flows attributable to changes in the 1-month LIBOR/SOFR interest rates on the first $300 million of the term loan under the Company’s existing credit agreement, as amended, by entering into a 4-year series of 48 deferred premium caplets (“caplets”)</w:t>
      </w:r>
    </w:p>
    <w:p>
      <w:pPr>
        <w:spacing w:after="0" w:line="351" w:lineRule="exact"/>
        <w:rPr>
          <w:sz w:val="20"/>
          <w:szCs w:val="20"/>
          <w:color w:val="auto"/>
        </w:rPr>
      </w:pPr>
    </w:p>
    <w:p>
      <w:pPr>
        <w:jc w:val="both"/>
        <w:ind w:firstLine="312"/>
        <w:spacing w:after="0" w:line="317" w:lineRule="auto"/>
        <w:rPr>
          <w:sz w:val="20"/>
          <w:szCs w:val="20"/>
          <w:color w:val="auto"/>
        </w:rPr>
      </w:pPr>
      <w:r>
        <w:rPr>
          <w:rFonts w:ascii="Times New Roman" w:cs="Times New Roman" w:eastAsia="Times New Roman" w:hAnsi="Times New Roman"/>
          <w:sz w:val="17"/>
          <w:szCs w:val="17"/>
          <w:color w:val="auto"/>
        </w:rPr>
        <w:t>The Company recognized an unrealized loss, net of taxes, on the change in fair value of the caplets of $1.1 million and an unrealized gain of less than $0.1 million for the three and six months ended June 30, 2024, respectively. In comparison, the Company recognized an unrealized gain of $2.1 million and an unrealized loss of $0.1 million, net of taxes, for the three and six months ended June 30, 2023, respectively. For more information on how the Company determines the fair value of the caplets, see Note 12. The Company also recognized interest income on the caplets of $2.5 million and $5.1 million for the three and six months ended June 30, 2024. In comparison, the Company recognized interest income on the caplets of $2.3 million and $4.2 million for the three and six months ended June 30, 2023, respectively. These amounts are reflected in interest expense, net in the condensed consolidated statements of operations and other comprehensive income.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Business Acquisitions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2024 Business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Jorgenson’s Lounge</w:t>
      </w:r>
    </w:p>
    <w:p>
      <w:pPr>
        <w:spacing w:after="0" w:line="210" w:lineRule="exact"/>
        <w:rPr>
          <w:sz w:val="20"/>
          <w:szCs w:val="20"/>
          <w:color w:val="auto"/>
        </w:rPr>
      </w:pPr>
    </w:p>
    <w:p>
      <w:pPr>
        <w:jc w:val="both"/>
        <w:ind w:firstLine="312"/>
        <w:spacing w:after="0" w:line="321" w:lineRule="auto"/>
        <w:rPr>
          <w:sz w:val="20"/>
          <w:szCs w:val="20"/>
          <w:color w:val="auto"/>
        </w:rPr>
      </w:pPr>
      <w:r>
        <w:rPr>
          <w:rFonts w:ascii="Times New Roman" w:cs="Times New Roman" w:eastAsia="Times New Roman" w:hAnsi="Times New Roman"/>
          <w:sz w:val="17"/>
          <w:szCs w:val="17"/>
          <w:color w:val="auto"/>
        </w:rPr>
        <w:t>On June 26, 2024, the Company acquired Jorgenson’s Lounge, a hospitality location in Helena, Montana. The total purchase price was $1.1 million, which the Company paid in cash at closing. The acquisition was accounted for as a business combination in accordance with Topic 805. The purchase price was allocated to the following assets: i) indefinite-lived intangible assets totaling $0.8 million, and ii) goodwill totaling $0.3 million. The results of operations Jorgenson’s Lounge are included in the condensed consolidated financial statements of the Company from the date of acquisition and were not material.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Illinois Gaming Entertainment</w:t>
      </w:r>
    </w:p>
    <w:p>
      <w:pPr>
        <w:spacing w:after="0" w:line="210" w:lineRule="exact"/>
        <w:rPr>
          <w:sz w:val="20"/>
          <w:szCs w:val="20"/>
          <w:color w:val="auto"/>
        </w:rPr>
      </w:pPr>
    </w:p>
    <w:p>
      <w:pPr>
        <w:jc w:val="both"/>
        <w:ind w:firstLine="312"/>
        <w:spacing w:after="0" w:line="312" w:lineRule="auto"/>
        <w:rPr>
          <w:sz w:val="20"/>
          <w:szCs w:val="20"/>
          <w:color w:val="auto"/>
        </w:rPr>
      </w:pPr>
      <w:r>
        <w:rPr>
          <w:rFonts w:ascii="Times New Roman" w:cs="Times New Roman" w:eastAsia="Times New Roman" w:hAnsi="Times New Roman"/>
          <w:sz w:val="17"/>
          <w:szCs w:val="17"/>
          <w:color w:val="auto"/>
        </w:rPr>
        <w:t>On May 1, 2024, the Company acquired certain assets of Illinois Gaming Entertainment LLC (“IGE”), an Illinois-based terminal operator. The Company acquired 16 operational locations, as well as gaming equipment. The acquisition was accounted for as an asset acquisition in accordance with Topic 805. The aggregate purchase consideration transferred totaled $13.5 million, which included i) $11.4 million in cash at closing and ii) contingent purchase consideration with an estimated fair value of $2.1 million. The contingent purchase consideration represents three installments of $0.6 million which are due on the first, second and third anniversary of the acquisition with $0.7 million due on the fourth anniversary of the acquisition. All payments are subject to the acquired locations still being in operation on the respective anniversary dates. The present value of the consideration payable was $2.1 million as of June 30, 2024 and is recorded in consideration payable on the condensed consolidated balance sheets. The aggregate purchase consideration of $13.5 million was allocated to the following assets: i) location contracts totaling $11.6 million, ii) gaming equipment totaling $1.6 million, and iii) redemption equipment totaling $0.3 million. The results of operations for IGE are included in the condensed consolidated financial statements of the Company from the date of acquisition and were not 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Great Lakes Vending</w:t>
      </w:r>
    </w:p>
    <w:p>
      <w:pPr>
        <w:spacing w:after="0" w:line="210"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On February 22, 2024, the Company acquired certain assets of Great Lakes Vending Corporation (“GLV”), an Illinois-based terminal operator. The Company acquired one operational location, as well as gaming and redemption terminal equipment. The acquisition was accounted for as an asset acquisition in accordance with Topic 805. The total purchase price was approximately $1.3 million, which the Company paid in cash at closing. The total purchase price of $1.3 million was allocated to the following assets: i) location contracts totaling $1.2 million and ii) gaming and redemption equipment totaling $0.1 million. The results of operations for GLV are included in the condensed consolidated financial statements of the Company from the date of acquisition and were not material.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Doc &amp; Eddy’s</w:t>
      </w:r>
    </w:p>
    <w:p>
      <w:pPr>
        <w:spacing w:after="0" w:line="210"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On January 10, 2024, the Company acquired Doc &amp; Eddy’s West (“D&amp;E”), a hospitality operation in Montana. The hospitality operation is set to be a Century-vended operation. The acquisition was accounted for as an asset acquisition in accordance with Topic 805. The total purchase price was approximately $2.3 million, which the Company paid in cash at closing, and was allocated to the following assets: i) buildings totaling $1.0 million, ii) indefinite long lived assets totaling $0.9 million and iii) land totaling $0.4 million. The results of operations for D&amp;E are included in the condensed consolidated financial statements of the Company from the date of acquisition and were not material.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Subsequent event - Fairmount Holdings</w:t>
      </w:r>
    </w:p>
    <w:p>
      <w:pPr>
        <w:spacing w:after="0" w:line="210"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 xml:space="preserve">On July 12, 2024, the Company </w:t>
      </w:r>
      <w:r>
        <w:rPr>
          <w:rFonts w:ascii="Times New Roman" w:cs="Times New Roman" w:eastAsia="Times New Roman" w:hAnsi="Times New Roman"/>
          <w:sz w:val="17"/>
          <w:szCs w:val="17"/>
          <w:color w:val="141414"/>
        </w:rPr>
        <w:t>and Fairmount Holdings, Inc. (“Fairmount”) entered into an agreement for the Company to acquire Fairmount, the owner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41414"/>
        </w:rPr>
        <w:t xml:space="preserve">the FanDuel Sportsbook &amp; Horse Racing in Collinsville, Illinois, for total consideration of approximately $35 million (based on a 20-day trailing weighted average close price), payable to the sellers as 3.45 million shares of the Company’s Class A-1 common stock. The closing of the transaction is subject to customary closing conditions and customary approvals from the Illinois Racing Board and the Illinois Gaming Board </w:t>
      </w:r>
      <w:r>
        <w:rPr>
          <w:rFonts w:ascii="Times New Roman" w:cs="Times New Roman" w:eastAsia="Times New Roman" w:hAnsi="Times New Roman"/>
          <w:sz w:val="17"/>
          <w:szCs w:val="17"/>
          <w:color w:val="000000"/>
        </w:rPr>
        <w:t>(the “IGB”)</w:t>
      </w:r>
      <w:r>
        <w:rPr>
          <w:rFonts w:ascii="Times New Roman" w:cs="Times New Roman" w:eastAsia="Times New Roman" w:hAnsi="Times New Roman"/>
          <w:sz w:val="17"/>
          <w:szCs w:val="17"/>
          <w:color w:val="141414"/>
        </w:rPr>
        <w:t>. Closing is expected in the fourth quarter of 2024.</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Pending Business Acquisition</w:t>
      </w:r>
    </w:p>
    <w:p>
      <w:pPr>
        <w:spacing w:after="0" w:line="210" w:lineRule="exact"/>
        <w:rPr>
          <w:sz w:val="20"/>
          <w:szCs w:val="20"/>
          <w:color w:val="auto"/>
        </w:rPr>
      </w:pPr>
    </w:p>
    <w:p>
      <w:pPr>
        <w:jc w:val="both"/>
        <w:ind w:firstLine="312"/>
        <w:spacing w:after="0" w:line="321" w:lineRule="auto"/>
        <w:rPr>
          <w:sz w:val="20"/>
          <w:szCs w:val="20"/>
          <w:color w:val="auto"/>
        </w:rPr>
      </w:pPr>
      <w:r>
        <w:rPr>
          <w:rFonts w:ascii="Times New Roman" w:cs="Times New Roman" w:eastAsia="Times New Roman" w:hAnsi="Times New Roman"/>
          <w:sz w:val="17"/>
          <w:szCs w:val="17"/>
          <w:color w:val="auto"/>
        </w:rPr>
        <w:t>On April 11, 2023, the Company entered into an agreement to acquire a distributed gaming operator in the state of Louisiana with an option to acquire a second distributed gaming operator in the state of Louisiana. In connection therewith, the Company has paid $15.4 million through the six months ended June 30, 2024, as an advance against a portion of the purchase price and is recorded within deposits on the condensed consolidated balance sheets. Furthermore, on August 10, 2023, the Company loaned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distributed gaming operator $0.3 million. The Company agreed to pay an additional $2.7 million in July 2024, against the final purchase price.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2023 Business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Illinois Video Slot Management</w:t>
      </w:r>
    </w:p>
    <w:p>
      <w:pPr>
        <w:spacing w:after="0" w:line="223" w:lineRule="exact"/>
        <w:rPr>
          <w:sz w:val="20"/>
          <w:szCs w:val="20"/>
          <w:color w:val="auto"/>
        </w:rPr>
      </w:pPr>
    </w:p>
    <w:p>
      <w:pPr>
        <w:jc w:val="both"/>
        <w:ind w:firstLine="312"/>
        <w:spacing w:after="0" w:line="312" w:lineRule="auto"/>
        <w:rPr>
          <w:sz w:val="20"/>
          <w:szCs w:val="20"/>
          <w:color w:val="auto"/>
        </w:rPr>
      </w:pPr>
      <w:r>
        <w:rPr>
          <w:rFonts w:ascii="Times New Roman" w:cs="Times New Roman" w:eastAsia="Times New Roman" w:hAnsi="Times New Roman"/>
          <w:sz w:val="17"/>
          <w:szCs w:val="17"/>
          <w:color w:val="auto"/>
        </w:rPr>
        <w:t>On December 27, 2023, the Company acquired certain assets of Illinois Video Slot Management Corp. (“IVSM”), an Illinois-based terminal operator. The Company acquired a gaming location, as well as gaming equipment. The acquisition was accounted for as an asset acquisition in accordance with Topic 805. The total purchase price was approximately $1.0 million, of which the Company paid $0.7 million in cash at closing. The remaining $0.3 million of consideration is payable in three installments of $0.1 million which are due on the first, second and third anniversary of the acquisition assuming the location is still in operation. The total purchase price of $1.0 million was allocated to the following assets: i) a location contract totaling $0.9 million and ii) gaming equipment totaling $0.1 million. The results of operations for the IVSM acquisition are included in the condensed consolidated financial statements of the Company from the date of acquisition and were not 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Illinois Gaming Entertainment</w:t>
      </w:r>
    </w:p>
    <w:p>
      <w:pPr>
        <w:spacing w:after="0" w:line="210"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On May 23, 2023, the Company acquired four operational locations from IGE, as well as gaming equipment. The acquisition was accounted for as an asset acquisition in accordance with Topic 805. The total purchase price was approximately $1.5 million, which the Company paid in cash at closing. The total purchase price of $1.5 million was allocated to the following assets: i) location contracts totaling $1.1 million and ii) gaming equipment totaling $0.4 million.</w:t>
      </w:r>
    </w:p>
    <w:p>
      <w:pPr>
        <w:spacing w:after="0" w:line="124" w:lineRule="exact"/>
        <w:rPr>
          <w:sz w:val="20"/>
          <w:szCs w:val="20"/>
          <w:color w:val="auto"/>
        </w:rPr>
      </w:pPr>
    </w:p>
    <w:p>
      <w:pPr>
        <w:jc w:val="both"/>
        <w:ind w:firstLine="312"/>
        <w:spacing w:after="0" w:line="325" w:lineRule="auto"/>
        <w:rPr>
          <w:sz w:val="20"/>
          <w:szCs w:val="20"/>
          <w:color w:val="auto"/>
        </w:rPr>
      </w:pPr>
      <w:r>
        <w:rPr>
          <w:rFonts w:ascii="Times New Roman" w:cs="Times New Roman" w:eastAsia="Times New Roman" w:hAnsi="Times New Roman"/>
          <w:sz w:val="17"/>
          <w:szCs w:val="17"/>
          <w:color w:val="auto"/>
        </w:rPr>
        <w:t>On October 3, 2023, the Company acquired three additional operational locations from IGE, as well as gaming equipment. The acquisition was accounted for as an asset acquisition in accordance with Topic 805. The total purchase price was approximately $2.3 million, which the Company paid in cash at closing. The total purchase price of $2.3 million was allocated to the following assets: i) location contracts totaling $2.0 million and ii) gaming equipment totaling $0.3 million.</w:t>
      </w:r>
    </w:p>
    <w:p>
      <w:pPr>
        <w:spacing w:after="0" w:line="351" w:lineRule="exact"/>
        <w:rPr>
          <w:sz w:val="20"/>
          <w:szCs w:val="20"/>
          <w:color w:val="auto"/>
        </w:rPr>
      </w:pPr>
    </w:p>
    <w:p>
      <w:pPr>
        <w:jc w:val="both"/>
        <w:ind w:firstLine="312"/>
        <w:spacing w:after="0" w:line="357" w:lineRule="auto"/>
        <w:rPr>
          <w:sz w:val="20"/>
          <w:szCs w:val="20"/>
          <w:color w:val="auto"/>
        </w:rPr>
      </w:pPr>
      <w:r>
        <w:rPr>
          <w:rFonts w:ascii="Times New Roman" w:cs="Times New Roman" w:eastAsia="Times New Roman" w:hAnsi="Times New Roman"/>
          <w:sz w:val="17"/>
          <w:szCs w:val="17"/>
          <w:color w:val="auto"/>
        </w:rPr>
        <w:t>The results of operations for all IGE acquisitions are included in the condensed consolidated financial statements of the Company from the date of acquisition and were not material.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Rendezvous</w:t>
      </w:r>
    </w:p>
    <w:p>
      <w:pPr>
        <w:spacing w:after="0" w:line="210" w:lineRule="exact"/>
        <w:rPr>
          <w:sz w:val="20"/>
          <w:szCs w:val="20"/>
          <w:color w:val="auto"/>
        </w:rPr>
      </w:pPr>
    </w:p>
    <w:p>
      <w:pPr>
        <w:jc w:val="both"/>
        <w:ind w:firstLine="312"/>
        <w:spacing w:after="0" w:line="308" w:lineRule="auto"/>
        <w:rPr>
          <w:sz w:val="20"/>
          <w:szCs w:val="20"/>
          <w:color w:val="auto"/>
        </w:rPr>
      </w:pPr>
      <w:r>
        <w:rPr>
          <w:rFonts w:ascii="Times New Roman" w:cs="Times New Roman" w:eastAsia="Times New Roman" w:hAnsi="Times New Roman"/>
          <w:sz w:val="17"/>
          <w:szCs w:val="17"/>
          <w:color w:val="auto"/>
        </w:rPr>
        <w:t>On February 13, 2023, the Company acquired Rendezvous, a hospitality operation in Billings, Montana. The hospitality operation is set to be a Century vended location. The acquisition was accounted for as a business combination using the acquisition method of accounting in accordance with Topic 805. The total purchase price of $2.6 million was paid in cash at closing and was allocated to the following assets: i) indefinite-lived intangible assets totaling $0.8 million;</w:t>
      </w:r>
    </w:p>
    <w:p>
      <w:pPr>
        <w:spacing w:after="0" w:line="2" w:lineRule="exact"/>
        <w:rPr>
          <w:sz w:val="20"/>
          <w:szCs w:val="20"/>
          <w:color w:val="auto"/>
        </w:rPr>
      </w:pPr>
    </w:p>
    <w:p>
      <w:pPr>
        <w:ind w:firstLine="4"/>
        <w:spacing w:after="0" w:line="341" w:lineRule="auto"/>
        <w:tabs>
          <w:tab w:leader="none" w:pos="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 totaling $0.5 million; iii) buildings totaling $0.4 million; iv) gaming equipment totaling $0.1 million, and v) goodwill totaling $0.8 million. The results of operations for Rendezvous are included in the condensed consolidated financial statements of the Company from the date of acquisition and were not material.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Consideration Payable</w:t>
      </w:r>
    </w:p>
    <w:p>
      <w:pPr>
        <w:spacing w:after="0" w:line="210"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The Company has a contingent consideration payable related to certain locations, as defined in each respective acquisition agreement, which are placed into operation during a specified period after the acquisition date. The fair value of contingent consideration is included in consideration payable on the condensed consolidated balance sheets as of June 30, 2024 and December 31, 2023. The contingent consideration accrued is measured at fair value on a recurring basis. The Company presents on its statement of cash flows, payments for consideration payable within 90-days in investing activities, payments after 90-days and up to the acquisition date fair value in financing activities, and payments in excess of the acquisition date fair value in operating activities.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Current and long-term portions of consideration payable consist of the following as of June 30, 2024 and December 31, 2023 (in thousands):</w:t>
      </w:r>
    </w:p>
    <w:p>
      <w:pPr>
        <w:spacing w:after="0" w:line="167" w:lineRule="exact"/>
        <w:rPr>
          <w:sz w:val="20"/>
          <w:szCs w:val="20"/>
          <w:color w:val="auto"/>
        </w:rPr>
      </w:pPr>
    </w:p>
    <w:tbl>
      <w:tblPr>
        <w:tblLayout w:type="fixed"/>
        <w:tblInd w:w="1660" w:type="dxa"/>
        <w:tblCellMar>
          <w:top w:w="0" w:type="dxa"/>
          <w:left w:w="0" w:type="dxa"/>
          <w:bottom w:w="0" w:type="dxa"/>
          <w:right w:w="0" w:type="dxa"/>
        </w:tblCellMar>
      </w:tblPr>
      <w:tr>
        <w:trPr>
          <w:trHeight w:val="229"/>
        </w:trPr>
        <w:tc>
          <w:tcPr>
            <w:tcW w:w="3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27"/>
        </w:trPr>
        <w:tc>
          <w:tcPr>
            <w:tcW w:w="30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7"/>
              </w:rPr>
              <w:t>Long-Term</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9"/>
              </w:rPr>
              <w:t>Long-Term</w:t>
            </w:r>
          </w:p>
        </w:tc>
      </w:tr>
      <w:tr>
        <w:trPr>
          <w:trHeight w:val="240"/>
        </w:trPr>
        <w:tc>
          <w:tcPr>
            <w:tcW w:w="3040" w:type="dxa"/>
            <w:vAlign w:val="bottom"/>
            <w:shd w:val="clear" w:color="auto" w:fill="CCEEFF"/>
          </w:tcPr>
          <w:p>
            <w:pPr>
              <w:ind w:left="60"/>
              <w:spacing w:after="0" w:line="240" w:lineRule="exact"/>
              <w:rPr>
                <w:sz w:val="20"/>
                <w:szCs w:val="20"/>
                <w:color w:val="auto"/>
              </w:rPr>
            </w:pPr>
            <w:r>
              <w:rPr>
                <w:rFonts w:ascii="Times New Roman" w:cs="Times New Roman" w:eastAsia="Times New Roman" w:hAnsi="Times New Roman"/>
                <w:sz w:val="17"/>
                <w:szCs w:val="17"/>
                <w:color w:val="auto"/>
              </w:rPr>
              <w:t>TAV</w:t>
            </w:r>
            <w:r>
              <w:rPr>
                <w:rFonts w:ascii="Times New Roman" w:cs="Times New Roman" w:eastAsia="Times New Roman" w:hAnsi="Times New Roman"/>
                <w:sz w:val="22"/>
                <w:szCs w:val="22"/>
                <w:color w:val="auto"/>
                <w:vertAlign w:val="super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Fair Share Gaming</w:t>
            </w:r>
            <w:r>
              <w:rPr>
                <w:rFonts w:ascii="Times New Roman" w:cs="Times New Roman" w:eastAsia="Times New Roman" w:hAnsi="Times New Roman"/>
                <w:sz w:val="22"/>
                <w:szCs w:val="22"/>
                <w:color w:val="auto"/>
                <w:vertAlign w:val="superscript"/>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60"/>
        </w:trPr>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Skyhigh</w:t>
            </w:r>
            <w:r>
              <w:rPr>
                <w:rFonts w:ascii="Times New Roman" w:cs="Times New Roman" w:eastAsia="Times New Roman" w:hAnsi="Times New Roman"/>
                <w:sz w:val="22"/>
                <w:szCs w:val="22"/>
                <w:color w:val="auto"/>
                <w:vertAlign w:val="superscript"/>
              </w:rPr>
              <w:t>*</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3,941</w:t>
            </w:r>
          </w:p>
        </w:tc>
      </w:tr>
      <w:tr>
        <w:trPr>
          <w:trHeight w:val="260"/>
        </w:trPr>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IVSM</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60"/>
        </w:trPr>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IGE</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Tom's Amusements</w:t>
            </w:r>
            <w:r>
              <w:rPr>
                <w:rFonts w:ascii="Times New Roman" w:cs="Times New Roman" w:eastAsia="Times New Roman" w:hAnsi="Times New Roman"/>
                <w:sz w:val="22"/>
                <w:szCs w:val="22"/>
                <w:color w:val="auto"/>
                <w:vertAlign w:val="superscript"/>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Island</w:t>
            </w:r>
            <w:r>
              <w:rPr>
                <w:rFonts w:ascii="Times New Roman" w:cs="Times New Roman" w:eastAsia="Times New Roman" w:hAnsi="Times New Roman"/>
                <w:sz w:val="22"/>
                <w:szCs w:val="22"/>
                <w:color w:val="auto"/>
                <w:vertAlign w:val="superscript"/>
              </w:rPr>
              <w:t>*</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3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9,794</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4,201</w:t>
            </w: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Acquisitions that occurred prior to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Contingent Earnout Share Liability</w:t>
      </w:r>
    </w:p>
    <w:p>
      <w:pPr>
        <w:spacing w:after="0" w:line="197" w:lineRule="exact"/>
        <w:rPr>
          <w:sz w:val="20"/>
          <w:szCs w:val="20"/>
          <w:color w:val="auto"/>
        </w:rPr>
      </w:pPr>
    </w:p>
    <w:p>
      <w:pPr>
        <w:jc w:val="both"/>
        <w:ind w:firstLine="390"/>
        <w:spacing w:after="0" w:line="316" w:lineRule="auto"/>
        <w:rPr>
          <w:sz w:val="20"/>
          <w:szCs w:val="20"/>
          <w:color w:val="auto"/>
        </w:rPr>
      </w:pPr>
      <w:r>
        <w:rPr>
          <w:rFonts w:ascii="Times New Roman" w:cs="Times New Roman" w:eastAsia="Times New Roman" w:hAnsi="Times New Roman"/>
          <w:sz w:val="17"/>
          <w:szCs w:val="17"/>
          <w:color w:val="222222"/>
        </w:rPr>
        <w:t>P</w:t>
      </w:r>
      <w:r>
        <w:rPr>
          <w:rFonts w:ascii="Times New Roman" w:cs="Times New Roman" w:eastAsia="Times New Roman" w:hAnsi="Times New Roman"/>
          <w:sz w:val="17"/>
          <w:szCs w:val="17"/>
          <w:color w:val="000000"/>
        </w:rPr>
        <w:t>ursuant to the terms of the Company’s Amended and Restated Certificate of Incorporation, the Company authorized and has available for issuance</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spacing w:after="0" w:line="118" w:lineRule="exact"/>
        <w:rPr>
          <w:sz w:val="20"/>
          <w:szCs w:val="20"/>
          <w:color w:val="auto"/>
        </w:rPr>
      </w:pPr>
    </w:p>
    <w:p>
      <w:pPr>
        <w:jc w:val="both"/>
        <w:ind w:firstLine="390"/>
        <w:spacing w:after="0" w:line="314" w:lineRule="auto"/>
        <w:rPr>
          <w:sz w:val="20"/>
          <w:szCs w:val="20"/>
          <w:color w:val="auto"/>
        </w:rPr>
      </w:pPr>
      <w:r>
        <w:rPr>
          <w:rFonts w:ascii="Times New Roman" w:cs="Times New Roman" w:eastAsia="Times New Roman" w:hAnsi="Times New Roman"/>
          <w:sz w:val="17"/>
          <w:szCs w:val="17"/>
          <w:color w:val="auto"/>
        </w:rPr>
        <w:t>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either on the Company achieving certain last twelve month EBITDA (“LTM EBITDA”) thresholds in certain periods or the closing sale price of Class A-1 common stock exceeding certain prices over certain trading periods.</w:t>
      </w:r>
    </w:p>
    <w:p>
      <w:pPr>
        <w:spacing w:after="0" w:line="118" w:lineRule="exact"/>
        <w:rPr>
          <w:sz w:val="20"/>
          <w:szCs w:val="20"/>
          <w:color w:val="auto"/>
        </w:rPr>
      </w:pPr>
    </w:p>
    <w:p>
      <w:pPr>
        <w:jc w:val="both"/>
        <w:ind w:firstLine="390"/>
        <w:spacing w:after="0" w:line="341" w:lineRule="auto"/>
        <w:rPr>
          <w:sz w:val="20"/>
          <w:szCs w:val="20"/>
          <w:color w:val="auto"/>
        </w:rPr>
      </w:pPr>
      <w:r>
        <w:rPr>
          <w:rFonts w:ascii="Times New Roman" w:cs="Times New Roman" w:eastAsia="Times New Roman" w:hAnsi="Times New Roman"/>
          <w:sz w:val="17"/>
          <w:szCs w:val="17"/>
          <w:color w:val="auto"/>
        </w:rPr>
        <w:t>In 2020, the market condition for the settlement of Tranche I was satisfied. As a result, 1,666,636 shares of the 1,666,666 shares of Class A-2 common stock were converted into Class A-1 common stock.</w:t>
      </w:r>
    </w:p>
    <w:p>
      <w:pPr>
        <w:spacing w:after="0" w:line="95" w:lineRule="exact"/>
        <w:rPr>
          <w:sz w:val="20"/>
          <w:szCs w:val="20"/>
          <w:color w:val="auto"/>
        </w:rPr>
      </w:pPr>
    </w:p>
    <w:p>
      <w:pPr>
        <w:jc w:val="both"/>
        <w:ind w:firstLine="390"/>
        <w:spacing w:after="0" w:line="357" w:lineRule="auto"/>
        <w:rPr>
          <w:sz w:val="20"/>
          <w:szCs w:val="20"/>
          <w:color w:val="auto"/>
        </w:rPr>
      </w:pPr>
      <w:r>
        <w:rPr>
          <w:rFonts w:ascii="Times New Roman" w:cs="Times New Roman" w:eastAsia="Times New Roman" w:hAnsi="Times New Roman"/>
          <w:sz w:val="17"/>
          <w:szCs w:val="17"/>
          <w:color w:val="auto"/>
        </w:rPr>
        <w:t>The current thresholds, as approved by a disinterested committee of the Company's board of directors made up of independent directors who do not hold any Class A-2 common stock, for the remaining two Tranches are as follows:</w:t>
      </w:r>
    </w:p>
    <w:p>
      <w:pPr>
        <w:spacing w:after="0" w:line="82" w:lineRule="exact"/>
        <w:rPr>
          <w:sz w:val="20"/>
          <w:szCs w:val="20"/>
          <w:color w:val="auto"/>
        </w:rPr>
      </w:pPr>
    </w:p>
    <w:p>
      <w:pPr>
        <w:jc w:val="both"/>
        <w:ind w:left="620" w:hanging="304"/>
        <w:spacing w:after="0" w:line="322"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spacing w:after="0" w:line="11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III, equal to 1,666,667 shares of Class A-2 common stock, will be exchanged for Class A-1 common stock if either (i) the LTM EBITDA</w:t>
      </w:r>
    </w:p>
    <w:p>
      <w:pPr>
        <w:spacing w:after="0" w:line="64" w:lineRule="exact"/>
        <w:rPr>
          <w:rFonts w:ascii="Times New Roman" w:cs="Times New Roman" w:eastAsia="Times New Roman" w:hAnsi="Times New Roman"/>
          <w:sz w:val="17"/>
          <w:szCs w:val="17"/>
          <w:color w:val="auto"/>
        </w:rPr>
      </w:pPr>
    </w:p>
    <w:p>
      <w:pPr>
        <w:ind w:left="620"/>
        <w:spacing w:after="0" w:line="34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threshold as of June 30, 2024 is $198.6 million or (ii) the closing sale price of Class A-1 common stock on the NYSE equals or exceeds $16.00 for at least twenty trading days in any consecutive thirty trading 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Fair Value Measurements</w:t>
      </w:r>
    </w:p>
    <w:p>
      <w:pPr>
        <w:spacing w:after="0" w:line="182" w:lineRule="exact"/>
        <w:rPr>
          <w:sz w:val="20"/>
          <w:szCs w:val="20"/>
          <w:color w:val="auto"/>
        </w:rPr>
      </w:pPr>
    </w:p>
    <w:p>
      <w:pPr>
        <w:jc w:val="both"/>
        <w:ind w:firstLine="312"/>
        <w:spacing w:after="0" w:line="344" w:lineRule="auto"/>
        <w:rPr>
          <w:sz w:val="20"/>
          <w:szCs w:val="20"/>
          <w:color w:val="auto"/>
        </w:rPr>
      </w:pPr>
      <w:r>
        <w:rPr>
          <w:rFonts w:ascii="Times New Roman" w:cs="Times New Roman" w:eastAsia="Times New Roman" w:hAnsi="Times New Roman"/>
          <w:sz w:val="17"/>
          <w:szCs w:val="17"/>
          <w:color w:val="auto"/>
        </w:rPr>
        <w:t xml:space="preserve">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establishes a framework for measuring fair value and the corresponding disclosure requirements around fair value measurements. This topic applies to all financial instruments that are being measured and reported on a fair value basis.</w:t>
      </w:r>
    </w:p>
    <w:p>
      <w:pPr>
        <w:spacing w:after="0" w:line="79" w:lineRule="exact"/>
        <w:rPr>
          <w:sz w:val="20"/>
          <w:szCs w:val="20"/>
          <w:color w:val="auto"/>
        </w:rPr>
      </w:pPr>
    </w:p>
    <w:p>
      <w:pPr>
        <w:jc w:val="both"/>
        <w:ind w:firstLine="312"/>
        <w:spacing w:after="0" w:line="312"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107" w:lineRule="exact"/>
        <w:rPr>
          <w:sz w:val="20"/>
          <w:szCs w:val="20"/>
          <w:color w:val="auto"/>
        </w:rPr>
      </w:pPr>
    </w:p>
    <w:p>
      <w:pPr>
        <w:jc w:val="both"/>
        <w:ind w:left="320"/>
        <w:spacing w:after="0" w:line="322" w:lineRule="auto"/>
        <w:rPr>
          <w:sz w:val="20"/>
          <w:szCs w:val="20"/>
          <w:color w:val="auto"/>
        </w:rPr>
      </w:pPr>
      <w:r>
        <w:rPr>
          <w:rFonts w:ascii="Times New Roman" w:cs="Times New Roman" w:eastAsia="Times New Roman" w:hAnsi="Times New Roman"/>
          <w:sz w:val="17"/>
          <w:szCs w:val="17"/>
          <w:u w:val="single" w:color="auto"/>
          <w:color w:val="auto"/>
        </w:rPr>
        <w:t>Level 1</w:t>
      </w:r>
      <w:r>
        <w:rPr>
          <w:rFonts w:ascii="Times New Roman" w:cs="Times New Roman" w:eastAsia="Times New Roman" w:hAnsi="Times New Roman"/>
          <w:sz w:val="17"/>
          <w:szCs w:val="17"/>
          <w:color w:val="auto"/>
          <w:highlight w:val="white"/>
        </w:rPr>
        <w:t>: Valuations for assets and liabilities traded in active exchange markets, such as the NYSE. Level 1 also includes U.S. Treasury and federal agency</w:t>
      </w:r>
      <w:r>
        <w:rPr>
          <w:rFonts w:ascii="Times New Roman" w:cs="Times New Roman" w:eastAsia="Times New Roman" w:hAnsi="Times New Roman"/>
          <w:sz w:val="17"/>
          <w:szCs w:val="17"/>
          <w:color w:val="auto"/>
        </w:rPr>
        <w:t xml:space="preserve"> securities and federal agency mortgage-backed securities, which are traded by dealers or brokers in active markets. Valuations are obtained from readily available pricing sources for market transactions involving identical assets or liabilities.</w:t>
      </w:r>
    </w:p>
    <w:p>
      <w:pPr>
        <w:spacing w:after="0" w:line="98" w:lineRule="exact"/>
        <w:rPr>
          <w:sz w:val="20"/>
          <w:szCs w:val="20"/>
          <w:color w:val="auto"/>
        </w:rPr>
      </w:pPr>
    </w:p>
    <w:p>
      <w:pPr>
        <w:jc w:val="both"/>
        <w:ind w:left="320"/>
        <w:spacing w:after="0" w:line="341" w:lineRule="auto"/>
        <w:rPr>
          <w:sz w:val="20"/>
          <w:szCs w:val="20"/>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highlight w:val="white"/>
        </w:rPr>
        <w:t>: Valuations for assets and liabilities traded in less active dealer or broker markets. Valuations are obtained from third-party pricing services for</w:t>
      </w:r>
      <w:r>
        <w:rPr>
          <w:rFonts w:ascii="Times New Roman" w:cs="Times New Roman" w:eastAsia="Times New Roman" w:hAnsi="Times New Roman"/>
          <w:sz w:val="17"/>
          <w:szCs w:val="17"/>
          <w:color w:val="auto"/>
        </w:rPr>
        <w:t xml:space="preserve"> identical or similar assets or liabilities.</w:t>
      </w:r>
    </w:p>
    <w:p>
      <w:pPr>
        <w:spacing w:after="0" w:line="82" w:lineRule="exact"/>
        <w:rPr>
          <w:sz w:val="20"/>
          <w:szCs w:val="20"/>
          <w:color w:val="auto"/>
        </w:rPr>
      </w:pPr>
    </w:p>
    <w:p>
      <w:pPr>
        <w:jc w:val="both"/>
        <w:ind w:left="320"/>
        <w:spacing w:after="0" w:line="322" w:lineRule="auto"/>
        <w:rPr>
          <w:sz w:val="20"/>
          <w:szCs w:val="20"/>
          <w:color w:val="auto"/>
        </w:rPr>
      </w:pPr>
      <w:r>
        <w:rPr>
          <w:rFonts w:ascii="Times New Roman" w:cs="Times New Roman" w:eastAsia="Times New Roman" w:hAnsi="Times New Roman"/>
          <w:sz w:val="17"/>
          <w:szCs w:val="17"/>
          <w:u w:val="single" w:color="auto"/>
          <w:color w:val="auto"/>
        </w:rPr>
        <w:t>Level 3</w:t>
      </w:r>
      <w:r>
        <w:rPr>
          <w:rFonts w:ascii="Times New Roman" w:cs="Times New Roman" w:eastAsia="Times New Roman" w:hAnsi="Times New Roman"/>
          <w:sz w:val="17"/>
          <w:szCs w:val="17"/>
          <w:color w:val="auto"/>
          <w:highlight w:val="white"/>
        </w:rPr>
        <w:t>: Valuations for assets and liabilities that are derived from other valuation methodologies, including option pricing models, discounted cash flow</w:t>
      </w:r>
      <w:r>
        <w:rPr>
          <w:rFonts w:ascii="Times New Roman" w:cs="Times New Roman" w:eastAsia="Times New Roman" w:hAnsi="Times New Roman"/>
          <w:sz w:val="17"/>
          <w:szCs w:val="17"/>
          <w:color w:val="auto"/>
        </w:rPr>
        <w:t xml:space="preserve"> models and similar techniques, and not based on market exchange, dealer, or broker traded transactions. Level 3 valuations incorporate certain assumptions and projections in determining the fair value assigned to such assets or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measured at fair value</w:t>
      </w:r>
    </w:p>
    <w:p>
      <w:pPr>
        <w:spacing w:after="0" w:line="2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The following tables summarize the Company’s assets that are measured at fair value on a recurring basis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2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3"/>
          </w:tcPr>
          <w:p>
            <w:pPr>
              <w:jc w:val="center"/>
              <w:ind w:right="160"/>
              <w:spacing w:after="0" w:line="15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3"/>
                <w:szCs w:val="13"/>
                <w:color w:val="auto"/>
              </w:rPr>
            </w:pPr>
          </w:p>
        </w:tc>
        <w:tc>
          <w:tcPr>
            <w:tcW w:w="1380" w:type="dxa"/>
            <w:vAlign w:val="bottom"/>
            <w:gridSpan w:val="3"/>
          </w:tcPr>
          <w:p>
            <w:pPr>
              <w:jc w:val="center"/>
              <w:ind w:right="160"/>
              <w:spacing w:after="0" w:line="156"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Unobservable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June 30, 2024</w:t>
            </w:r>
          </w:p>
        </w:tc>
        <w:tc>
          <w:tcPr>
            <w:tcW w:w="40" w:type="dxa"/>
            <w:vAlign w:val="bottom"/>
          </w:tcPr>
          <w:p>
            <w:pPr>
              <w:spacing w:after="0"/>
              <w:rPr>
                <w:sz w:val="15"/>
                <w:szCs w:val="15"/>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0" w:type="dxa"/>
            <w:vAlign w:val="bottom"/>
          </w:tcPr>
          <w:p>
            <w:pPr>
              <w:spacing w:after="0"/>
              <w:rPr>
                <w:sz w:val="15"/>
                <w:szCs w:val="15"/>
                <w:color w:val="auto"/>
              </w:rPr>
            </w:pPr>
          </w:p>
        </w:tc>
        <w:tc>
          <w:tcPr>
            <w:tcW w:w="1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Inputs (Level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caplets</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12,531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12,531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40" w:type="dxa"/>
            <w:vAlign w:val="bottom"/>
          </w:tcPr>
          <w:p>
            <w:pPr>
              <w:spacing w:after="0"/>
              <w:rPr>
                <w:sz w:val="15"/>
                <w:szCs w:val="15"/>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0" w:type="dxa"/>
            <w:vAlign w:val="bottom"/>
          </w:tcPr>
          <w:p>
            <w:pPr>
              <w:spacing w:after="0"/>
              <w:rPr>
                <w:sz w:val="15"/>
                <w:szCs w:val="15"/>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Inputs (Level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3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shd w:val="clear" w:color="auto" w:fill="CCEEFF"/>
          </w:tcPr>
          <w:p>
            <w:pPr>
              <w:spacing w:after="0"/>
              <w:rPr>
                <w:sz w:val="22"/>
                <w:szCs w:val="22"/>
                <w:color w:val="auto"/>
              </w:rPr>
            </w:pPr>
          </w:p>
        </w:tc>
        <w:tc>
          <w:tcPr>
            <w:tcW w:w="3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rate caplets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caplets</w:t>
      </w:r>
    </w:p>
    <w:p>
      <w:pPr>
        <w:spacing w:after="0" w:line="119" w:lineRule="exact"/>
        <w:rPr>
          <w:sz w:val="20"/>
          <w:szCs w:val="20"/>
          <w:color w:val="auto"/>
        </w:rPr>
      </w:pPr>
    </w:p>
    <w:p>
      <w:pPr>
        <w:jc w:val="both"/>
        <w:ind w:firstLine="312"/>
        <w:spacing w:after="0" w:line="317" w:lineRule="auto"/>
        <w:rPr>
          <w:sz w:val="20"/>
          <w:szCs w:val="20"/>
          <w:color w:val="auto"/>
        </w:rPr>
      </w:pPr>
      <w:r>
        <w:rPr>
          <w:rFonts w:ascii="Times New Roman" w:cs="Times New Roman" w:eastAsia="Times New Roman" w:hAnsi="Times New Roman"/>
          <w:sz w:val="17"/>
          <w:szCs w:val="17"/>
          <w:color w:val="auto"/>
        </w:rPr>
        <w:t>The Company determines the fair value of the interest rate caplets using quotes that are based on models whose inputs are observable LIBOR/SOFR forward interest rate curves. The valuation of the interest rate caplets is considered to be a Level 2 fair value measurement as the significant inputs are observable. Unrealized changes in the fair value of the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Liabilities measured at fair value</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summarizes the Company’s liabilities that are measured at fair value on a recurring basis (in thousands):</w:t>
      </w:r>
    </w:p>
    <w:p>
      <w:pPr>
        <w:spacing w:after="0" w:line="163"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0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36"/>
        </w:trPr>
        <w:tc>
          <w:tcPr>
            <w:tcW w:w="3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6"/>
              </w:rPr>
              <w:t>Unobservable</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Pr>
          <w:p>
            <w:pPr>
              <w:spacing w:after="0"/>
              <w:rPr>
                <w:sz w:val="15"/>
                <w:szCs w:val="15"/>
                <w:color w:val="auto"/>
              </w:rPr>
            </w:pPr>
          </w:p>
        </w:tc>
        <w:tc>
          <w:tcPr>
            <w:tcW w:w="11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Inputs (Level 3)</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11,784</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11,784</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Contingent earnout shares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31,801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3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3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43,598</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31,814</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11,784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0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36"/>
        </w:trPr>
        <w:tc>
          <w:tcPr>
            <w:tcW w:w="3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3"/>
                <w:szCs w:val="13"/>
                <w:color w:val="auto"/>
              </w:rPr>
            </w:pPr>
          </w:p>
        </w:tc>
        <w:tc>
          <w:tcPr>
            <w:tcW w:w="1140" w:type="dxa"/>
            <w:vAlign w:val="bottom"/>
          </w:tcPr>
          <w:p>
            <w:pPr>
              <w:jc w:val="center"/>
              <w:ind w:right="61"/>
              <w:spacing w:after="0" w:line="156"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0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Pr>
          <w:p>
            <w:pPr>
              <w:spacing w:after="0"/>
              <w:rPr>
                <w:sz w:val="17"/>
                <w:szCs w:val="17"/>
                <w:color w:val="auto"/>
              </w:rPr>
            </w:pPr>
          </w:p>
        </w:tc>
        <w:tc>
          <w:tcPr>
            <w:tcW w:w="11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Inputs (Level 3)</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5,484</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5,484</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Contingent earnout shares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31,827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3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37,324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31,840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5,484</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Consideration</w:t>
      </w:r>
    </w:p>
    <w:p>
      <w:pPr>
        <w:spacing w:after="0" w:line="210" w:lineRule="exact"/>
        <w:rPr>
          <w:sz w:val="20"/>
          <w:szCs w:val="20"/>
          <w:color w:val="auto"/>
        </w:rPr>
      </w:pPr>
    </w:p>
    <w:p>
      <w:pPr>
        <w:jc w:val="both"/>
        <w:ind w:firstLine="312"/>
        <w:spacing w:after="0" w:line="314" w:lineRule="auto"/>
        <w:rPr>
          <w:sz w:val="20"/>
          <w:szCs w:val="20"/>
          <w:color w:val="auto"/>
        </w:rPr>
      </w:pPr>
      <w:r>
        <w:rPr>
          <w:rFonts w:ascii="Times New Roman" w:cs="Times New Roman" w:eastAsia="Times New Roman" w:hAnsi="Times New Roman"/>
          <w:sz w:val="17"/>
          <w:szCs w:val="17"/>
          <w:color w:val="auto"/>
        </w:rPr>
        <w:t>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condensed consolidated statements of operations and comprehensive income.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earnout shares</w:t>
      </w:r>
    </w:p>
    <w:p>
      <w:pPr>
        <w:spacing w:after="0" w:line="210" w:lineRule="exact"/>
        <w:rPr>
          <w:sz w:val="20"/>
          <w:szCs w:val="20"/>
          <w:color w:val="auto"/>
        </w:rPr>
      </w:pPr>
    </w:p>
    <w:p>
      <w:pPr>
        <w:jc w:val="both"/>
        <w:ind w:firstLine="312"/>
        <w:spacing w:after="0" w:line="321" w:lineRule="auto"/>
        <w:rPr>
          <w:sz w:val="20"/>
          <w:szCs w:val="20"/>
          <w:color w:val="auto"/>
        </w:rPr>
      </w:pPr>
      <w:r>
        <w:rPr>
          <w:rFonts w:ascii="Times New Roman" w:cs="Times New Roman" w:eastAsia="Times New Roman" w:hAnsi="Times New Roman"/>
          <w:sz w:val="17"/>
          <w:szCs w:val="17"/>
          <w:color w:val="auto"/>
        </w:rPr>
        <w:t>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The valuation of the Company's contingent consideration is considered to be a Level 2 fair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7"/>
          <w:szCs w:val="17"/>
          <w:color w:val="auto"/>
        </w:rPr>
        <w:t>value measurement. Changes in the fair value of contingent earnout shares are included within loss (gain) on change in fair value of contingent earnout shares on the accompanying condensed consolidated statements of operations and comprehensive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23" w:lineRule="exact"/>
        <w:rPr>
          <w:sz w:val="20"/>
          <w:szCs w:val="20"/>
          <w:color w:val="auto"/>
        </w:rPr>
      </w:pPr>
    </w:p>
    <w:p>
      <w:pPr>
        <w:jc w:val="both"/>
        <w:ind w:firstLine="312"/>
        <w:spacing w:after="0" w:line="312" w:lineRule="auto"/>
        <w:rPr>
          <w:sz w:val="20"/>
          <w:szCs w:val="20"/>
          <w:color w:val="auto"/>
        </w:rPr>
      </w:pPr>
      <w:r>
        <w:rPr>
          <w:rFonts w:ascii="Times New Roman" w:cs="Times New Roman" w:eastAsia="Times New Roman" w:hAnsi="Times New Roman"/>
          <w:sz w:val="17"/>
          <w:szCs w:val="17"/>
          <w:color w:val="auto"/>
        </w:rPr>
        <w:t>The Company has 5,144 warrants outstanding as of June 30, 2024, which will expire in November 2024. The liability for the Company’s warrants is included in other long-term liabilities on the condensed consolidated balance sheets. The Company determined the fair value of its warrants by using a Black-Scholes option-pricing model. The Black-Scholes option-pricing model requires inputs such as the fair value of the Company's Class A-1 common stock, the risk-free interest rate, expected term, expected dividend yield and expected volatility. The Company's valuation of its warrants is considered to be a Level 2 fair value measurement. Changes in the fair value of the warrants are included within gain on change in fair value of warrants on the accompanying condensed consolidated statements of operations and comprehensive income, if applicable. There was no change in the fair value of the warrants for the three and six months ended June 30, 2024 and 2023.</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transfers in or out of Level 3 for the periods presented.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Stockholders’ Equity</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222222"/>
        </w:rPr>
        <w:t>P</w:t>
      </w:r>
      <w:r>
        <w:rPr>
          <w:rFonts w:ascii="Times New Roman" w:cs="Times New Roman" w:eastAsia="Times New Roman" w:hAnsi="Times New Roman"/>
          <w:sz w:val="17"/>
          <w:szCs w:val="17"/>
          <w:color w:val="000000"/>
        </w:rPr>
        <w:t>ursuant to the terms of the Company’s Amended and Restated Certificate of Incorporation, the Company authorized and has available for issuance the</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following shares: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 A-1 Common Stock</w:t>
      </w:r>
    </w:p>
    <w:p>
      <w:pPr>
        <w:spacing w:after="0" w:line="223"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10" w:lineRule="exact"/>
        <w:rPr>
          <w:sz w:val="20"/>
          <w:szCs w:val="20"/>
          <w:color w:val="auto"/>
        </w:rPr>
      </w:pPr>
    </w:p>
    <w:p>
      <w:pPr>
        <w:jc w:val="both"/>
        <w:ind w:firstLine="312"/>
        <w:spacing w:after="0" w:line="315" w:lineRule="auto"/>
        <w:rPr>
          <w:sz w:val="20"/>
          <w:szCs w:val="20"/>
          <w:color w:val="auto"/>
        </w:rPr>
      </w:pPr>
      <w:r>
        <w:rPr>
          <w:rFonts w:ascii="Times New Roman" w:cs="Times New Roman" w:eastAsia="Times New Roman" w:hAnsi="Times New Roman"/>
          <w:sz w:val="17"/>
          <w:szCs w:val="17"/>
          <w:color w:val="auto"/>
        </w:rPr>
        <w:t>On November 22, 2021, the Company’s Board of Directors approved a share repurchase program of up to $200 million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 As of June 30, 2024, the Company acquired a total of 12,909,946 shares under the plan at a total purchase price of $133.4 million, of which 1,500,749 shares at a total purchase price of $15.3 million were acquired during the six months ended June 30,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Stock-based Compensation</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The Company grants various types of stock-based compensation awards. The Company measures its stock-based compensation expense based on the grant date fair value of the award and recognizes the expense over the requisite service period for the respective award.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2"/>
        <w:spacing w:after="0" w:line="314" w:lineRule="auto"/>
        <w:rPr>
          <w:sz w:val="20"/>
          <w:szCs w:val="20"/>
          <w:color w:val="auto"/>
        </w:rPr>
      </w:pPr>
      <w:r>
        <w:rPr>
          <w:rFonts w:ascii="Times New Roman" w:cs="Times New Roman" w:eastAsia="Times New Roman" w:hAnsi="Times New Roman"/>
          <w:sz w:val="17"/>
          <w:szCs w:val="17"/>
          <w:color w:val="auto"/>
        </w:rPr>
        <w:t>Under the Accel Entertainment, Inc. Long Term Incentive Plan, the Company issued 319,731 restricted stock units (“RSUs”) to the Board of Directors and certain eligible employees during the first quarter of 2024, which will vest over a period of 3 to 4 years for employees and by the end of 2024 for the Board of Directors. The Company also issued 149,381 performance-based restricted stock units (“PSUs”) to certain eligible employees during the first quarter of 2024, which will vest after 3 years. The numbers of shares earned upon vesting of the PSUs, if any, is based on the attainment of performance goals over the performance period, subject to continued service, except for employees who are retirement eligible and in certain other limited circumstances. The estimated grant date fair value of these RSUs and PSUs totaled $5.3 million.</w:t>
      </w:r>
    </w:p>
    <w:p>
      <w:pPr>
        <w:spacing w:after="0" w:line="118"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The Company issued 403,760 RSUs to certain eligible employees during the second quarter of 2024, which will vest over a period of 1 to 3 years. The estimated grant date fair value of these RSUs totaled $4.0 million.</w:t>
      </w:r>
    </w:p>
    <w:p>
      <w:pPr>
        <w:spacing w:after="0" w:line="108"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Stock-based compensation expense, which pertains to the Company’s stock options, RSUs and PSUs, was $3.2 million and $5.6 million for the three and six months ended June 30, 2024, respectively. In comparison, stock-based compensation expense was $2.6 million and $4.3 million for the three and six months ended June 30, 2023, respectively. Stock-based compensation expense is included within general and administrative expenses in the condensed consolidated statements of operations and other comprehensive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Income Taxes</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The Company recognized income tax expense of $3.9 million and $8.7 million for the three and six months ended June 30, 2024. In comparison, the Company recognized income tax expense of $6.1 million and $12.1 million for the three and six months ended June 30, 2023, respectively.</w:t>
      </w:r>
    </w:p>
    <w:p>
      <w:pPr>
        <w:spacing w:after="0" w:line="108" w:lineRule="exact"/>
        <w:rPr>
          <w:sz w:val="20"/>
          <w:szCs w:val="20"/>
          <w:color w:val="auto"/>
        </w:rPr>
      </w:pPr>
    </w:p>
    <w:p>
      <w:pPr>
        <w:jc w:val="both"/>
        <w:ind w:firstLine="312"/>
        <w:spacing w:after="0" w:line="317" w:lineRule="auto"/>
        <w:rPr>
          <w:sz w:val="20"/>
          <w:szCs w:val="20"/>
          <w:color w:val="auto"/>
        </w:rPr>
      </w:pPr>
      <w:r>
        <w:rPr>
          <w:rFonts w:ascii="Times New Roman" w:cs="Times New Roman" w:eastAsia="Times New Roman" w:hAnsi="Times New Roman"/>
          <w:sz w:val="17"/>
          <w:szCs w:val="17"/>
          <w:color w:val="auto"/>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21.2% and 28.3% for the three and six months ended June 30, 2024, compared to 37.9% and 38.7% for the three and six month ended June 30, 2023, respectively. The Company’s effective income tax rate can vary from period to period depending on, among other factors, the amount of permanent tax adjustments and discrete items. The change in the fair value of the contingent earnout shares is considered a discrete item for income tax purposes and was the primary driver for the fluctuations in the tax rate year over year.</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Commitments and Contingencies</w:t>
      </w:r>
    </w:p>
    <w:p>
      <w:pPr>
        <w:spacing w:after="0" w:line="19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spacing w:after="0" w:line="128" w:lineRule="exact"/>
        <w:rPr>
          <w:sz w:val="20"/>
          <w:szCs w:val="20"/>
          <w:color w:val="auto"/>
        </w:rPr>
      </w:pPr>
    </w:p>
    <w:p>
      <w:pPr>
        <w:jc w:val="both"/>
        <w:ind w:firstLine="234"/>
        <w:spacing w:after="0" w:line="350" w:lineRule="auto"/>
        <w:rPr>
          <w:sz w:val="20"/>
          <w:szCs w:val="20"/>
          <w:color w:val="auto"/>
        </w:rPr>
      </w:pPr>
      <w:r>
        <w:rPr>
          <w:rFonts w:ascii="Times New Roman" w:cs="Times New Roman" w:eastAsia="Times New Roman" w:hAnsi="Times New Roman"/>
          <w:sz w:val="17"/>
          <w:szCs w:val="17"/>
          <w:color w:val="auto"/>
        </w:rPr>
        <w:t>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w:t>
      </w:r>
    </w:p>
    <w:p>
      <w:pPr>
        <w:spacing w:after="0" w:line="32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spacing w:after="0" w:line="124" w:lineRule="exact"/>
        <w:rPr>
          <w:sz w:val="20"/>
          <w:szCs w:val="20"/>
          <w:color w:val="auto"/>
        </w:rPr>
      </w:pPr>
    </w:p>
    <w:p>
      <w:pPr>
        <w:jc w:val="both"/>
        <w:ind w:firstLine="312"/>
        <w:spacing w:after="0" w:line="314" w:lineRule="auto"/>
        <w:rPr>
          <w:sz w:val="20"/>
          <w:szCs w:val="20"/>
          <w:color w:val="auto"/>
        </w:rPr>
      </w:pPr>
      <w:r>
        <w:rPr>
          <w:rFonts w:ascii="Times New Roman" w:cs="Times New Roman" w:eastAsia="Times New Roman" w:hAnsi="Times New Roman"/>
          <w:sz w:val="17"/>
          <w:szCs w:val="17"/>
          <w:color w:val="auto"/>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spacing w:after="0" w:line="118" w:lineRule="exact"/>
        <w:rPr>
          <w:sz w:val="20"/>
          <w:szCs w:val="20"/>
          <w:color w:val="auto"/>
        </w:rPr>
      </w:pPr>
    </w:p>
    <w:p>
      <w:pPr>
        <w:jc w:val="both"/>
        <w:ind w:firstLine="312"/>
        <w:spacing w:after="0" w:line="309" w:lineRule="auto"/>
        <w:rPr>
          <w:sz w:val="20"/>
          <w:szCs w:val="20"/>
          <w:color w:val="auto"/>
        </w:rPr>
      </w:pPr>
      <w:r>
        <w:rPr>
          <w:rFonts w:ascii="Times New Roman" w:cs="Times New Roman" w:eastAsia="Times New Roman" w:hAnsi="Times New Roman"/>
          <w:sz w:val="17"/>
          <w:szCs w:val="17"/>
          <w:color w:val="auto"/>
        </w:rPr>
        <w:t>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spacing w:after="0" w:line="137" w:lineRule="exact"/>
        <w:rPr>
          <w:sz w:val="20"/>
          <w:szCs w:val="20"/>
          <w:color w:val="auto"/>
        </w:rPr>
      </w:pPr>
    </w:p>
    <w:p>
      <w:pPr>
        <w:jc w:val="both"/>
        <w:ind w:firstLine="312"/>
        <w:spacing w:after="0" w:line="312" w:lineRule="auto"/>
        <w:rPr>
          <w:sz w:val="20"/>
          <w:szCs w:val="20"/>
          <w:color w:val="auto"/>
        </w:rPr>
      </w:pPr>
      <w:r>
        <w:rPr>
          <w:rFonts w:ascii="Times New Roman" w:cs="Times New Roman" w:eastAsia="Times New Roman" w:hAnsi="Times New Roman"/>
          <w:sz w:val="17"/>
          <w:szCs w:val="17"/>
          <w:color w:val="auto"/>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a new lawsuit to challenge the IGB’s rulings. The Company does not have a present estimate regarding the potential damages, if any, that could potentially be awarded in this litigation and, accordingly, has established no reserves relating to such matters. There are also petitions pending with the IGB which could lead to the Company obtaining new locations.</w:t>
      </w:r>
    </w:p>
    <w:p>
      <w:pPr>
        <w:spacing w:after="0" w:line="134" w:lineRule="exact"/>
        <w:rPr>
          <w:sz w:val="20"/>
          <w:szCs w:val="20"/>
          <w:color w:val="auto"/>
        </w:rPr>
      </w:pPr>
    </w:p>
    <w:p>
      <w:pPr>
        <w:jc w:val="both"/>
        <w:ind w:firstLine="312"/>
        <w:spacing w:after="0" w:line="311" w:lineRule="auto"/>
        <w:rPr>
          <w:sz w:val="20"/>
          <w:szCs w:val="20"/>
          <w:color w:val="auto"/>
        </w:rPr>
      </w:pPr>
      <w:r>
        <w:rPr>
          <w:rFonts w:ascii="Times New Roman" w:cs="Times New Roman" w:eastAsia="Times New Roman" w:hAnsi="Times New Roman"/>
          <w:sz w:val="17"/>
          <w:szCs w:val="17"/>
          <w:color w:val="auto"/>
        </w:rPr>
        <w:t>On October 7, 2019, the Company filed a lawsuit in the Circuit Court of Cook County, Illinois against Rowell and other parties related to Rowell’s breaches of his non-compete agreement with Accel. The Company alleged that Rowell and a competitor were working together to interfere with the Company’s customer relationships. On November 7, 2019, Rowell filed a lawsuit in the Circuit Court of Cook County, Illinois against the Company alleging that he had not received certain equity interests in the Company to which he was allegedly entitled under his agreement. On July 18, 2024, the Company and Rowell entered into a settlement agreement pursuant to which the Company agreed to pay Rowell $0.1 million in exchange for a mutual release of the Company's claims against Rowell and Rowell's claims against the Company. The litigation involving Action Gaming, J&amp;J, and the other parties, as described above, remains pending.</w:t>
      </w:r>
    </w:p>
    <w:p>
      <w:pPr>
        <w:spacing w:after="0" w:line="132"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2"/>
        <w:spacing w:after="0" w:line="314" w:lineRule="auto"/>
        <w:rPr>
          <w:sz w:val="20"/>
          <w:szCs w:val="20"/>
          <w:color w:val="auto"/>
        </w:rPr>
      </w:pPr>
      <w:r>
        <w:rPr>
          <w:rFonts w:ascii="Times New Roman" w:cs="Times New Roman" w:eastAsia="Times New Roman" w:hAnsi="Times New Roman"/>
          <w:sz w:val="17"/>
          <w:szCs w:val="17"/>
          <w:color w:val="auto"/>
        </w:rPr>
        <w:t>On December 18, 2020, the Company received a disciplinary complaint from the IGB alleging violations of the Video Gaming Act and the IGB’s Adopted Rules for Video Gaming. The disciplinary complaint sought to fine the Company in the amount of $5 million. On July 6, 2023, the IGB and the Company entered into a settlement agreement for $1.1 million of which $1.0 million is the fine for the alleged conduct and $0.1 million is for reimbursement of administrative and investigative costs. The amount was paid in the third quarter of 2023. As a result of the settlement agreement, the Company has agreed to review similar initiatives with the IGB before implementing a new program or making any public announcements, require additional annual training of its employees, and provide additional compliance disclosures to the IGB.</w:t>
      </w:r>
    </w:p>
    <w:p>
      <w:pPr>
        <w:spacing w:after="0" w:line="118" w:lineRule="exact"/>
        <w:rPr>
          <w:sz w:val="20"/>
          <w:szCs w:val="20"/>
          <w:color w:val="auto"/>
        </w:rPr>
      </w:pPr>
    </w:p>
    <w:p>
      <w:pPr>
        <w:jc w:val="both"/>
        <w:ind w:firstLine="312"/>
        <w:spacing w:after="0" w:line="311" w:lineRule="auto"/>
        <w:rPr>
          <w:sz w:val="20"/>
          <w:szCs w:val="20"/>
          <w:color w:val="auto"/>
        </w:rPr>
      </w:pPr>
      <w:r>
        <w:rPr>
          <w:rFonts w:ascii="Times New Roman" w:cs="Times New Roman" w:eastAsia="Times New Roman" w:hAnsi="Times New Roman"/>
          <w:sz w:val="17"/>
          <w:szCs w:val="17"/>
          <w:color w:val="auto"/>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On April 22, 2022, the Company filed a petition in the Circuit Court of Cook County, Illinois to judicially review the IGB's decision to deny the requested transfer of Gold Rush common stock in respect of the Company’s conversion of the convertible notes. Discovery ensued on these lawsuits but both suits were dismissed with prejudice as a result of the previously mentioned settlement between the Company and Gold Rush on the convertible notes. The Company also withdrew its petition to judicially review the IGB's decision. For more information, see Note 4.</w:t>
      </w:r>
    </w:p>
    <w:p>
      <w:pPr>
        <w:spacing w:after="0" w:line="133"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w:t>
      </w:r>
    </w:p>
    <w:p>
      <w:pPr>
        <w:spacing w:after="0" w:line="115" w:lineRule="exact"/>
        <w:rPr>
          <w:sz w:val="20"/>
          <w:szCs w:val="20"/>
          <w:color w:val="auto"/>
        </w:rPr>
      </w:pPr>
    </w:p>
    <w:p>
      <w:pPr>
        <w:jc w:val="both"/>
        <w:ind w:firstLine="312"/>
        <w:spacing w:after="0" w:line="321" w:lineRule="auto"/>
        <w:rPr>
          <w:sz w:val="20"/>
          <w:szCs w:val="20"/>
          <w:color w:val="auto"/>
        </w:rPr>
      </w:pPr>
      <w:r>
        <w:rPr>
          <w:rFonts w:ascii="Times New Roman" w:cs="Times New Roman" w:eastAsia="Times New Roman" w:hAnsi="Times New Roman"/>
          <w:sz w:val="17"/>
          <w:szCs w:val="17"/>
          <w:color w:val="auto"/>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paid an initial penalty to the municipality in October 2022 and for the remaining months of 2022. The Company continued to negotiate with and voluntarily make the appropriate payments to the municipality during 2023 and 2024.</w:t>
      </w:r>
    </w:p>
    <w:p>
      <w:pPr>
        <w:spacing w:after="0" w:line="112"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Currently, the matter remains pending as a result of a motion to consolidate and to finalize the assignment of the judge.</w:t>
      </w:r>
    </w:p>
    <w:p>
      <w:pPr>
        <w:spacing w:after="0" w:line="118"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The results for the six months ended June 30, 2024 and June 30, 2023 included a loss of $0.2 million and $1.2 million, respectively, related to these matters and is included within general and administrative expenses in the condensed consolidated statements of operations and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Earnings Per Share</w:t>
      </w:r>
    </w:p>
    <w:p>
      <w:pPr>
        <w:spacing w:after="0" w:line="197" w:lineRule="exact"/>
        <w:rPr>
          <w:sz w:val="20"/>
          <w:szCs w:val="20"/>
          <w:color w:val="auto"/>
        </w:rPr>
      </w:pPr>
    </w:p>
    <w:p>
      <w:pPr>
        <w:ind w:firstLine="312"/>
        <w:spacing w:after="0" w:line="341" w:lineRule="auto"/>
        <w:rPr>
          <w:sz w:val="20"/>
          <w:szCs w:val="20"/>
          <w:color w:val="auto"/>
        </w:rPr>
      </w:pPr>
      <w:r>
        <w:rPr>
          <w:rFonts w:ascii="Times New Roman" w:cs="Times New Roman" w:eastAsia="Times New Roman" w:hAnsi="Times New Roman"/>
          <w:sz w:val="17"/>
          <w:szCs w:val="17"/>
          <w:color w:val="auto"/>
        </w:rPr>
        <w:t>The components of basic and diluted earnings per share (“EPS”) were as follows for the three and six months ended June 30 (in thousands, except per share amounts):</w:t>
      </w:r>
    </w:p>
    <w:p>
      <w:pPr>
        <w:spacing w:after="0" w:line="54" w:lineRule="exact"/>
        <w:rPr>
          <w:sz w:val="20"/>
          <w:szCs w:val="20"/>
          <w:color w:val="auto"/>
        </w:rPr>
      </w:pPr>
    </w:p>
    <w:tbl>
      <w:tblPr>
        <w:tblLayout w:type="fixed"/>
        <w:tblInd w:w="1100" w:type="dxa"/>
        <w:tblCellMar>
          <w:top w:w="0" w:type="dxa"/>
          <w:left w:w="0" w:type="dxa"/>
          <w:bottom w:w="0" w:type="dxa"/>
          <w:right w:w="0" w:type="dxa"/>
        </w:tblCellMar>
      </w:tblPr>
      <w:tr>
        <w:trPr>
          <w:trHeight w:val="20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18"/>
                <w:szCs w:val="18"/>
                <w:color w:val="auto"/>
              </w:rPr>
            </w:pPr>
          </w:p>
        </w:tc>
        <w:tc>
          <w:tcPr>
            <w:tcW w:w="200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Pr>
          <w:p>
            <w:pPr>
              <w:spacing w:after="0"/>
              <w:rPr>
                <w:sz w:val="19"/>
                <w:szCs w:val="19"/>
                <w:color w:val="auto"/>
              </w:rPr>
            </w:pPr>
          </w:p>
        </w:tc>
      </w:tr>
      <w:tr>
        <w:trPr>
          <w:trHeight w:val="26"/>
        </w:trPr>
        <w:tc>
          <w:tcPr>
            <w:tcW w:w="4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7"/>
        </w:trPr>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4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14,586</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9,983</w:t>
            </w:r>
          </w:p>
        </w:tc>
        <w:tc>
          <w:tcPr>
            <w:tcW w:w="12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22,002</w:t>
            </w:r>
          </w:p>
        </w:tc>
        <w:tc>
          <w:tcPr>
            <w:tcW w:w="14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19,165</w:t>
            </w:r>
          </w:p>
        </w:tc>
      </w:tr>
      <w:tr>
        <w:trPr>
          <w:trHeight w:val="26"/>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0"/>
        </w:trPr>
        <w:tc>
          <w:tcPr>
            <w:tcW w:w="4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60"/>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weighted average outstanding shares of common stock</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84,105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86,529</w:t>
            </w:r>
          </w:p>
        </w:tc>
      </w:tr>
      <w:tr>
        <w:trPr>
          <w:trHeight w:val="26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effect of stock-based awards for common stock</w:t>
            </w: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214"/>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 average outstanding shares of common stock</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85,054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85,178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86,971</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6"/>
        </w:trPr>
        <w:tc>
          <w:tcPr>
            <w:tcW w:w="4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6"/>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0"/>
        </w:trPr>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r>
      <w:tr>
        <w:trPr>
          <w:trHeight w:val="260"/>
        </w:trPr>
        <w:tc>
          <w:tcPr>
            <w:tcW w:w="45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20" w:type="dxa"/>
            <w:vAlign w:val="bottom"/>
          </w:tcPr>
          <w:p>
            <w:pPr>
              <w:spacing w:after="0"/>
              <w:rPr>
                <w:sz w:val="22"/>
                <w:szCs w:val="22"/>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40" w:type="dxa"/>
            <w:vAlign w:val="bottom"/>
          </w:tcPr>
          <w:p>
            <w:pPr>
              <w:spacing w:after="0"/>
              <w:rPr>
                <w:sz w:val="22"/>
                <w:szCs w:val="22"/>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r>
    </w:tbl>
    <w:p>
      <w:pPr>
        <w:spacing w:after="0" w:line="255" w:lineRule="exact"/>
        <w:rPr>
          <w:sz w:val="20"/>
          <w:szCs w:val="20"/>
          <w:color w:val="auto"/>
        </w:rPr>
      </w:pPr>
    </w:p>
    <w:p>
      <w:pPr>
        <w:ind w:firstLine="312"/>
        <w:spacing w:after="0" w:line="341" w:lineRule="auto"/>
        <w:rPr>
          <w:sz w:val="20"/>
          <w:szCs w:val="20"/>
          <w:color w:val="auto"/>
        </w:rPr>
      </w:pPr>
      <w:r>
        <w:rPr>
          <w:rFonts w:ascii="Times New Roman" w:cs="Times New Roman" w:eastAsia="Times New Roman" w:hAnsi="Times New Roman"/>
          <w:sz w:val="17"/>
          <w:szCs w:val="17"/>
          <w:color w:val="auto"/>
        </w:rPr>
        <w:t>Anti-dilutive stock-based awards, contingent earnout shares and warrants excluded from the calculations of diluted EPS were 4,340,250 and 4,818,079 as of June 30, 2024 and 2023,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84" w:lineRule="exact"/>
        <w:rPr>
          <w:sz w:val="20"/>
          <w:szCs w:val="20"/>
          <w:color w:val="auto"/>
        </w:rPr>
      </w:pPr>
    </w:p>
    <w:p>
      <w:pPr>
        <w:jc w:val="both"/>
        <w:ind w:firstLine="312"/>
        <w:spacing w:after="0" w:line="314" w:lineRule="auto"/>
        <w:rPr>
          <w:sz w:val="20"/>
          <w:szCs w:val="20"/>
          <w:color w:val="auto"/>
        </w:rPr>
      </w:pPr>
      <w:r>
        <w:rPr>
          <w:rFonts w:ascii="Times New Roman" w:cs="Times New Roman" w:eastAsia="Times New Roman" w:hAnsi="Times New Roman"/>
          <w:sz w:val="17"/>
          <w:szCs w:val="17"/>
          <w:color w:val="auto"/>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those discussed in the section titled “Risk Factors” included in our Annual Report on Form 10-K for the year ended December 31, 2023. This discussion and analysis should also be read in conjunction with “Management’s Discussion and Analysis of Financial Condition and Results of Operations”, set forth in our Annual Report on Form 10-K for the year ended December 31,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97"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We are a leading distributed gaming operator in the United States (“U.S.”) and a preferred partner for local business owners in the markets we serve. We offer turnkey, full-service gaming solutions to bars, restaurants, convenience stores, truck stops, and fraternal and veteran establishments across the country. Our focus is providing unmatched customer support, guidance, and expertise so our location partners can grow their businesses with incremental revenue.</w:t>
      </w:r>
    </w:p>
    <w:p>
      <w:pPr>
        <w:spacing w:after="0" w:line="98" w:lineRule="exact"/>
        <w:rPr>
          <w:sz w:val="20"/>
          <w:szCs w:val="20"/>
          <w:color w:val="auto"/>
        </w:rPr>
      </w:pPr>
    </w:p>
    <w:p>
      <w:pPr>
        <w:jc w:val="both"/>
        <w:ind w:firstLine="312"/>
        <w:spacing w:after="0" w:line="314" w:lineRule="auto"/>
        <w:rPr>
          <w:sz w:val="20"/>
          <w:szCs w:val="20"/>
          <w:color w:val="auto"/>
        </w:rPr>
      </w:pPr>
      <w:r>
        <w:rPr>
          <w:rFonts w:ascii="Times New Roman" w:cs="Times New Roman" w:eastAsia="Times New Roman" w:hAnsi="Times New Roman"/>
          <w:sz w:val="17"/>
          <w:szCs w:val="17"/>
          <w:color w:val="auto"/>
        </w:rPr>
        <w:t>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 We also design and manufacture gaming terminals and related equipment. We are continuously evaluating additional opportunities that are complementary to our core business, such as our pending acquisition of the FanDuel Sportsbook &amp; Horse Racing in Collinsville, Illinois, as discussed in Note 10 to the condensed consolidated financial statements.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currently operate as a distributed gaming operator in the following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37400" cy="371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7400" cy="3714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Year Operations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3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100" w:type="dxa"/>
            <w:vAlign w:val="bottom"/>
            <w:vMerge w:val="restart"/>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rPr>
              <w:t>Started or Year of</w:t>
            </w:r>
          </w:p>
        </w:tc>
        <w:tc>
          <w:tcPr>
            <w:tcW w:w="1680" w:type="dxa"/>
            <w:vAlign w:val="bottom"/>
            <w:vMerge w:val="restart"/>
          </w:tcPr>
          <w:p>
            <w:pPr>
              <w:ind w:left="480"/>
              <w:spacing w:after="0"/>
              <w:rPr>
                <w:sz w:val="20"/>
                <w:szCs w:val="20"/>
                <w:color w:val="auto"/>
              </w:rPr>
            </w:pPr>
            <w:r>
              <w:rPr>
                <w:rFonts w:ascii="Times New Roman" w:cs="Times New Roman" w:eastAsia="Times New Roman" w:hAnsi="Times New Roman"/>
                <w:sz w:val="17"/>
                <w:szCs w:val="17"/>
                <w:b w:val="1"/>
                <w:bCs w:val="1"/>
                <w:color w:val="auto"/>
              </w:rPr>
              <w:t>Branding</w:t>
            </w:r>
          </w:p>
        </w:tc>
        <w:tc>
          <w:tcPr>
            <w:tcW w:w="0" w:type="dxa"/>
            <w:vAlign w:val="bottom"/>
          </w:tcPr>
          <w:p>
            <w:pPr>
              <w:spacing w:after="0"/>
              <w:rPr>
                <w:sz w:val="1"/>
                <w:szCs w:val="1"/>
                <w:color w:val="auto"/>
              </w:rPr>
            </w:pPr>
          </w:p>
        </w:tc>
      </w:tr>
      <w:tr>
        <w:trPr>
          <w:trHeight w:val="221"/>
        </w:trPr>
        <w:tc>
          <w:tcPr>
            <w:tcW w:w="13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Acquisition</w:t>
            </w:r>
          </w:p>
        </w:tc>
        <w:tc>
          <w:tcPr>
            <w:tcW w:w="80" w:type="dxa"/>
            <w:vAlign w:val="bottom"/>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8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2012</w:t>
            </w:r>
          </w:p>
        </w:tc>
        <w:tc>
          <w:tcPr>
            <w:tcW w:w="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0" w:type="dxa"/>
            <w:vAlign w:val="bottom"/>
          </w:tcPr>
          <w:p>
            <w:pPr>
              <w:spacing w:after="0"/>
              <w:rPr>
                <w:sz w:val="1"/>
                <w:szCs w:val="1"/>
                <w:color w:val="auto"/>
              </w:rPr>
            </w:pPr>
          </w:p>
        </w:tc>
      </w:tr>
      <w:tr>
        <w:trPr>
          <w:trHeight w:val="572"/>
        </w:trPr>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Century Gaming</w:t>
            </w:r>
          </w:p>
        </w:tc>
        <w:tc>
          <w:tcPr>
            <w:tcW w:w="0" w:type="dxa"/>
            <w:vAlign w:val="bottom"/>
          </w:tcPr>
          <w:p>
            <w:pPr>
              <w:spacing w:after="0"/>
              <w:rPr>
                <w:sz w:val="1"/>
                <w:szCs w:val="1"/>
                <w:color w:val="auto"/>
              </w:rPr>
            </w:pPr>
          </w:p>
        </w:tc>
      </w:tr>
      <w:tr>
        <w:trPr>
          <w:trHeight w:val="91"/>
        </w:trPr>
        <w:tc>
          <w:tcPr>
            <w:tcW w:w="13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65"/>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Vision Gaming</w:t>
            </w:r>
          </w:p>
        </w:tc>
        <w:tc>
          <w:tcPr>
            <w:tcW w:w="0" w:type="dxa"/>
            <w:vAlign w:val="bottom"/>
          </w:tcPr>
          <w:p>
            <w:pPr>
              <w:spacing w:after="0"/>
              <w:rPr>
                <w:sz w:val="1"/>
                <w:szCs w:val="1"/>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Yellowstone Casino</w:t>
            </w:r>
          </w:p>
        </w:tc>
        <w:tc>
          <w:tcPr>
            <w:tcW w:w="0" w:type="dxa"/>
            <w:vAlign w:val="bottom"/>
          </w:tcPr>
          <w:p>
            <w:pPr>
              <w:spacing w:after="0"/>
              <w:rPr>
                <w:sz w:val="1"/>
                <w:szCs w:val="1"/>
                <w:color w:val="auto"/>
              </w:rPr>
            </w:pPr>
          </w:p>
        </w:tc>
      </w:tr>
      <w:tr>
        <w:trPr>
          <w:trHeight w:val="175"/>
        </w:trPr>
        <w:tc>
          <w:tcPr>
            <w:tcW w:w="1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Montana</w:t>
            </w:r>
          </w:p>
        </w:tc>
        <w:tc>
          <w:tcPr>
            <w:tcW w:w="17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tcPr>
          <w:p>
            <w:pPr>
              <w:spacing w:after="0"/>
              <w:rPr>
                <w:sz w:val="15"/>
                <w:szCs w:val="15"/>
                <w:color w:val="auto"/>
              </w:rPr>
            </w:pPr>
          </w:p>
        </w:tc>
        <w:tc>
          <w:tcPr>
            <w:tcW w:w="168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and Jorgensen’s</w:t>
            </w:r>
          </w:p>
        </w:tc>
        <w:tc>
          <w:tcPr>
            <w:tcW w:w="0" w:type="dxa"/>
            <w:vAlign w:val="bottom"/>
          </w:tcPr>
          <w:p>
            <w:pPr>
              <w:spacing w:after="0"/>
              <w:rPr>
                <w:sz w:val="1"/>
                <w:szCs w:val="1"/>
                <w:color w:val="auto"/>
              </w:rPr>
            </w:pPr>
          </w:p>
        </w:tc>
      </w:tr>
      <w:tr>
        <w:trPr>
          <w:trHeight w:val="227"/>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Lounge</w:t>
            </w:r>
          </w:p>
        </w:tc>
        <w:tc>
          <w:tcPr>
            <w:tcW w:w="0" w:type="dxa"/>
            <w:vAlign w:val="bottom"/>
          </w:tcPr>
          <w:p>
            <w:pPr>
              <w:spacing w:after="0"/>
              <w:rPr>
                <w:sz w:val="1"/>
                <w:szCs w:val="1"/>
                <w:color w:val="auto"/>
              </w:rPr>
            </w:pPr>
          </w:p>
        </w:tc>
      </w:tr>
      <w:tr>
        <w:trPr>
          <w:trHeight w:val="86"/>
        </w:trPr>
        <w:tc>
          <w:tcPr>
            <w:tcW w:w="13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39319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31920" cy="8255"/>
                    </a:xfrm>
                    <a:prstGeom prst="rect">
                      <a:avLst/>
                    </a:prstGeom>
                    <a:noFill/>
                  </pic:spPr>
                </pic:pic>
              </a:graphicData>
            </a:graphic>
          </wp:anchor>
        </w:drawing>
      </w:r>
    </w:p>
    <w:p>
      <w:pPr>
        <w:spacing w:after="0" w:line="125" w:lineRule="exact"/>
        <w:rPr>
          <w:sz w:val="20"/>
          <w:szCs w:val="20"/>
          <w:color w:val="auto"/>
        </w:rPr>
      </w:pPr>
    </w:p>
    <w:p>
      <w:pPr>
        <w:ind w:left="160" w:hanging="153"/>
        <w:spacing w:after="0"/>
        <w:tabs>
          <w:tab w:leader="none" w:pos="1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Establishments with a liquor license (Up to 6 gaming terminals)</w:t>
      </w:r>
    </w:p>
    <w:p>
      <w:pPr>
        <w:spacing w:after="0" w:line="6" w:lineRule="exact"/>
        <w:rPr>
          <w:rFonts w:ascii="Times New Roman" w:cs="Times New Roman" w:eastAsia="Times New Roman" w:hAnsi="Times New Roman"/>
          <w:sz w:val="17"/>
          <w:szCs w:val="17"/>
          <w:color w:val="auto"/>
        </w:rPr>
      </w:pP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Bars/restaurants/retail</w:t>
      </w: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Gaming cafes</w:t>
      </w:r>
    </w:p>
    <w:p>
      <w:pPr>
        <w:ind w:left="320"/>
        <w:spacing w:after="0" w:line="22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Fraternal organizations</w:t>
      </w: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Veterans’ organizations</w:t>
      </w:r>
    </w:p>
    <w:p>
      <w:pPr>
        <w:ind w:left="160" w:hanging="153"/>
        <w:spacing w:after="0" w:line="207" w:lineRule="auto"/>
        <w:tabs>
          <w:tab w:leader="none" w:pos="1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Truck stops (Up to 6 gaming terminals)</w:t>
      </w:r>
    </w:p>
    <w:p>
      <w:pPr>
        <w:ind w:left="160" w:hanging="153"/>
        <w:spacing w:after="0"/>
        <w:tabs>
          <w:tab w:leader="none" w:pos="1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 truck stops (Up to 10 gaming terminals)</w:t>
      </w:r>
    </w:p>
    <w:p>
      <w:pPr>
        <w:spacing w:after="0" w:line="18" w:lineRule="exact"/>
        <w:rPr>
          <w:rFonts w:ascii="Times New Roman" w:cs="Times New Roman" w:eastAsia="Times New Roman" w:hAnsi="Times New Roman"/>
          <w:sz w:val="17"/>
          <w:szCs w:val="17"/>
          <w:color w:val="auto"/>
        </w:rPr>
      </w:pPr>
    </w:p>
    <w:p>
      <w:pPr>
        <w:ind w:left="160" w:right="100" w:hanging="153"/>
        <w:spacing w:after="0" w:line="254" w:lineRule="auto"/>
        <w:tabs>
          <w:tab w:leader="none" w:pos="15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locations licensed to sell alcoholic beverages for on-premises consumption only, including locations restricted to offering a maximum of 20 gaming terminals</w:t>
      </w:r>
    </w:p>
    <w:p>
      <w:pPr>
        <w:spacing w:after="0" w:line="2" w:lineRule="exact"/>
        <w:rPr>
          <w:rFonts w:ascii="Times New Roman" w:cs="Times New Roman" w:eastAsia="Times New Roman" w:hAnsi="Times New Roman"/>
          <w:sz w:val="17"/>
          <w:szCs w:val="17"/>
          <w:color w:val="auto"/>
        </w:rPr>
      </w:pPr>
    </w:p>
    <w:p>
      <w:pPr>
        <w:ind w:left="160" w:right="160" w:hanging="153"/>
        <w:spacing w:after="0" w:line="227" w:lineRule="auto"/>
        <w:tabs>
          <w:tab w:leader="none" w:pos="156"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Designs and manufactures gaming terminals and software that are sold to Montana, South Dakota, West Virginia, and Louisiana</w:t>
      </w:r>
    </w:p>
    <w:p>
      <w:pPr>
        <w:spacing w:after="0" w:line="1" w:lineRule="exact"/>
        <w:rPr>
          <w:rFonts w:ascii="Times New Roman" w:cs="Times New Roman" w:eastAsia="Times New Roman" w:hAnsi="Times New Roman"/>
          <w:sz w:val="17"/>
          <w:szCs w:val="17"/>
          <w:i w:val="1"/>
          <w:iCs w:val="1"/>
          <w:color w:val="auto"/>
        </w:rPr>
      </w:pPr>
    </w:p>
    <w:p>
      <w:pPr>
        <w:ind w:left="160" w:right="20" w:hanging="153"/>
        <w:spacing w:after="0" w:line="228" w:lineRule="auto"/>
        <w:tabs>
          <w:tab w:leader="none" w:pos="156"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Develops proprietary gaming terminals and related software as well as other ancillary equipment for our distributed gaming routes in Montana, Nevada, Nebraska and Georgia</w:t>
      </w:r>
    </w:p>
    <w:p>
      <w:pPr>
        <w:spacing w:after="0" w:line="8" w:lineRule="exact"/>
        <w:rPr>
          <w:rFonts w:ascii="Times New Roman" w:cs="Times New Roman" w:eastAsia="Times New Roman" w:hAnsi="Times New Roman"/>
          <w:sz w:val="17"/>
          <w:szCs w:val="17"/>
          <w:i w:val="1"/>
          <w:iCs w:val="1"/>
          <w:color w:val="auto"/>
        </w:rPr>
      </w:pPr>
    </w:p>
    <w:p>
      <w:pPr>
        <w:ind w:left="160" w:right="40" w:hanging="153"/>
        <w:spacing w:after="0" w:line="227" w:lineRule="auto"/>
        <w:tabs>
          <w:tab w:leader="none" w:pos="156"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Retail gaming locations licensed to sell alcoholic beverages and offering a maximum of 20 gaming terminals</w:t>
      </w:r>
    </w:p>
    <w:p>
      <w:pPr>
        <w:spacing w:after="0" w:line="1" w:lineRule="exact"/>
        <w:rPr>
          <w:rFonts w:ascii="Times New Roman" w:cs="Times New Roman" w:eastAsia="Times New Roman" w:hAnsi="Times New Roman"/>
          <w:sz w:val="17"/>
          <w:szCs w:val="17"/>
          <w:i w:val="1"/>
          <w:iCs w:val="1"/>
          <w:color w:val="auto"/>
        </w:rPr>
      </w:pPr>
    </w:p>
    <w:p>
      <w:pPr>
        <w:ind w:left="160" w:hanging="153"/>
        <w:spacing w:after="0" w:line="207" w:lineRule="auto"/>
        <w:tabs>
          <w:tab w:leader="none" w:pos="1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locations have attractive food offerings</w:t>
      </w:r>
    </w:p>
    <w:p>
      <w:pPr>
        <w:ind w:left="160" w:hanging="153"/>
        <w:spacing w:after="0"/>
        <w:tabs>
          <w:tab w:leader="none" w:pos="1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Currently, we have three parlor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6985</wp:posOffset>
            </wp:positionV>
            <wp:extent cx="39319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3192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-471170</wp:posOffset>
            </wp:positionV>
            <wp:extent cx="39319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3192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-1066165</wp:posOffset>
            </wp:positionV>
            <wp:extent cx="3931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3192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-1330325</wp:posOffset>
            </wp:positionV>
            <wp:extent cx="39319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3192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4960" w:space="180"/>
            <w:col w:w="6100"/>
          </w:cols>
          <w:pgMar w:left="320" w:top="121"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490855</wp:posOffset>
            </wp:positionV>
            <wp:extent cx="7137400" cy="371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3714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Year Operations</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3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100" w:type="dxa"/>
            <w:vAlign w:val="bottom"/>
            <w:vMerge w:val="restart"/>
          </w:tcPr>
          <w:p>
            <w:pPr>
              <w:spacing w:after="0"/>
              <w:rPr>
                <w:sz w:val="14"/>
                <w:szCs w:val="14"/>
                <w:color w:val="auto"/>
              </w:rPr>
            </w:pPr>
          </w:p>
        </w:tc>
        <w:tc>
          <w:tcPr>
            <w:tcW w:w="18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7"/>
                <w:szCs w:val="17"/>
                <w:b w:val="1"/>
                <w:bCs w:val="1"/>
                <w:color w:val="auto"/>
              </w:rPr>
              <w:t>Started or Year of</w:t>
            </w:r>
          </w:p>
        </w:tc>
        <w:tc>
          <w:tcPr>
            <w:tcW w:w="1680" w:type="dxa"/>
            <w:vAlign w:val="bottom"/>
            <w:vMerge w:val="restart"/>
          </w:tcPr>
          <w:p>
            <w:pPr>
              <w:ind w:left="480"/>
              <w:spacing w:after="0"/>
              <w:rPr>
                <w:sz w:val="20"/>
                <w:szCs w:val="20"/>
                <w:color w:val="auto"/>
              </w:rPr>
            </w:pPr>
            <w:r>
              <w:rPr>
                <w:rFonts w:ascii="Times New Roman" w:cs="Times New Roman" w:eastAsia="Times New Roman" w:hAnsi="Times New Roman"/>
                <w:sz w:val="17"/>
                <w:szCs w:val="17"/>
                <w:b w:val="1"/>
                <w:bCs w:val="1"/>
                <w:color w:val="auto"/>
              </w:rPr>
              <w:t>Branding</w:t>
            </w:r>
          </w:p>
        </w:tc>
        <w:tc>
          <w:tcPr>
            <w:tcW w:w="0" w:type="dxa"/>
            <w:vAlign w:val="bottom"/>
          </w:tcPr>
          <w:p>
            <w:pPr>
              <w:spacing w:after="0"/>
              <w:rPr>
                <w:sz w:val="1"/>
                <w:szCs w:val="1"/>
                <w:color w:val="auto"/>
              </w:rPr>
            </w:pPr>
          </w:p>
        </w:tc>
      </w:tr>
      <w:tr>
        <w:trPr>
          <w:trHeight w:val="234"/>
        </w:trPr>
        <w:tc>
          <w:tcPr>
            <w:tcW w:w="13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Acquisition</w:t>
            </w:r>
          </w:p>
        </w:tc>
        <w:tc>
          <w:tcPr>
            <w:tcW w:w="80" w:type="dxa"/>
            <w:vAlign w:val="bottom"/>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35"/>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Century Gaming</w:t>
            </w:r>
          </w:p>
        </w:tc>
        <w:tc>
          <w:tcPr>
            <w:tcW w:w="0" w:type="dxa"/>
            <w:vAlign w:val="bottom"/>
          </w:tcPr>
          <w:p>
            <w:pPr>
              <w:spacing w:after="0"/>
              <w:rPr>
                <w:sz w:val="1"/>
                <w:szCs w:val="1"/>
                <w:color w:val="auto"/>
              </w:rPr>
            </w:pPr>
          </w:p>
        </w:tc>
      </w:tr>
      <w:tr>
        <w:trPr>
          <w:trHeight w:val="520"/>
        </w:trPr>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Bulldog Gaming</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4"/>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Iowa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0" w:type="dxa"/>
            <w:vAlign w:val="bottom"/>
          </w:tcPr>
          <w:p>
            <w:pPr>
              <w:spacing w:after="0"/>
              <w:rPr>
                <w:sz w:val="1"/>
                <w:szCs w:val="1"/>
                <w:color w:val="auto"/>
              </w:rPr>
            </w:pPr>
          </w:p>
        </w:tc>
      </w:tr>
      <w:tr>
        <w:trPr>
          <w:trHeight w:val="260"/>
        </w:trPr>
        <w:tc>
          <w:tcPr>
            <w:tcW w:w="1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3931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31920" cy="8255"/>
                    </a:xfrm>
                    <a:prstGeom prst="rect">
                      <a:avLst/>
                    </a:prstGeom>
                    <a:noFill/>
                  </pic:spPr>
                </pic:pic>
              </a:graphicData>
            </a:graphic>
          </wp:anchor>
        </w:drawing>
      </w:r>
    </w:p>
    <w:p>
      <w:pPr>
        <w:spacing w:after="0" w:line="21" w:lineRule="exact"/>
        <w:rPr>
          <w:sz w:val="20"/>
          <w:szCs w:val="20"/>
          <w:color w:val="auto"/>
        </w:rPr>
      </w:pPr>
    </w:p>
    <w:p>
      <w:pPr>
        <w:ind w:left="160" w:right="480" w:hanging="153"/>
        <w:spacing w:after="0" w:line="219" w:lineRule="auto"/>
        <w:tabs>
          <w:tab w:leader="none" w:pos="15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Non-casino locations where gaming is incidental to the primary business being conducted at the location, including:</w:t>
      </w:r>
    </w:p>
    <w:p>
      <w:pPr>
        <w:spacing w:after="0" w:line="1" w:lineRule="exact"/>
        <w:rPr>
          <w:rFonts w:ascii="Times New Roman" w:cs="Times New Roman" w:eastAsia="Times New Roman" w:hAnsi="Times New Roman"/>
          <w:sz w:val="17"/>
          <w:szCs w:val="17"/>
          <w:color w:val="auto"/>
        </w:rPr>
      </w:pPr>
    </w:p>
    <w:p>
      <w:pPr>
        <w:ind w:left="320"/>
        <w:spacing w:after="0" w:line="22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Grocery/drug/convenience stores</w:t>
      </w: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Bars/restaurants/taverns</w:t>
      </w: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Liquor stores</w:t>
      </w:r>
    </w:p>
    <w:p>
      <w:pPr>
        <w:ind w:left="160" w:right="100" w:hanging="153"/>
        <w:spacing w:after="0" w:line="238" w:lineRule="auto"/>
        <w:tabs>
          <w:tab w:leader="none" w:pos="15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Games are generally limited to 15 or fewer gaming terminals with no other forms of gaming activity permitted</w:t>
      </w:r>
    </w:p>
    <w:p>
      <w:pPr>
        <w:spacing w:after="0" w:line="2" w:lineRule="exact"/>
        <w:rPr>
          <w:rFonts w:ascii="Times New Roman" w:cs="Times New Roman" w:eastAsia="Times New Roman" w:hAnsi="Times New Roman"/>
          <w:sz w:val="17"/>
          <w:szCs w:val="17"/>
          <w:color w:val="auto"/>
        </w:rPr>
      </w:pPr>
    </w:p>
    <w:p>
      <w:pPr>
        <w:ind w:left="160" w:hanging="153"/>
        <w:spacing w:after="0"/>
        <w:tabs>
          <w:tab w:leader="none" w:pos="160"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Operate cash devices in retail locations throughout the state</w:t>
      </w:r>
    </w:p>
    <w:p>
      <w:pPr>
        <w:jc w:val="both"/>
        <w:ind w:left="160" w:right="80" w:hanging="153"/>
        <w:spacing w:after="0" w:line="230" w:lineRule="auto"/>
        <w:tabs>
          <w:tab w:leader="none" w:pos="15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Retail establishments include any business location that is open to the public for the sale of goods other than gaming terminals and that possesses a valid sales tax permit</w:t>
      </w:r>
    </w:p>
    <w:p>
      <w:pPr>
        <w:spacing w:after="0" w:line="21" w:lineRule="exact"/>
        <w:rPr>
          <w:rFonts w:ascii="Times New Roman" w:cs="Times New Roman" w:eastAsia="Times New Roman" w:hAnsi="Times New Roman"/>
          <w:sz w:val="17"/>
          <w:szCs w:val="17"/>
          <w:color w:val="auto"/>
        </w:rPr>
      </w:pPr>
    </w:p>
    <w:p>
      <w:pPr>
        <w:jc w:val="both"/>
        <w:ind w:left="160" w:right="80" w:hanging="153"/>
        <w:spacing w:after="0" w:line="231" w:lineRule="auto"/>
        <w:tabs>
          <w:tab w:leader="none" w:pos="15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Operate gaming terminals which are skill-based coin-operated amusement machines with winnings paid in points that may be redeemed for noncash merchandise, prizes, toys, gift cards, or novelties</w:t>
      </w:r>
    </w:p>
    <w:p>
      <w:pPr>
        <w:spacing w:after="0" w:line="20" w:lineRule="exact"/>
        <w:rPr>
          <w:rFonts w:ascii="Times New Roman" w:cs="Times New Roman" w:eastAsia="Times New Roman" w:hAnsi="Times New Roman"/>
          <w:sz w:val="17"/>
          <w:szCs w:val="17"/>
          <w:i w:val="1"/>
          <w:iCs w:val="1"/>
          <w:color w:val="auto"/>
        </w:rPr>
      </w:pPr>
    </w:p>
    <w:p>
      <w:pPr>
        <w:ind w:left="160" w:right="400" w:hanging="153"/>
        <w:spacing w:after="0" w:line="219" w:lineRule="auto"/>
        <w:tabs>
          <w:tab w:leader="none" w:pos="15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amusement concessions, including games of chance and games of skill, which we define as gaming terminals</w:t>
      </w:r>
    </w:p>
    <w:p>
      <w:pPr>
        <w:spacing w:after="0" w:line="1" w:lineRule="exact"/>
        <w:rPr>
          <w:rFonts w:ascii="Times New Roman" w:cs="Times New Roman" w:eastAsia="Times New Roman" w:hAnsi="Times New Roman"/>
          <w:sz w:val="17"/>
          <w:szCs w:val="17"/>
          <w:color w:val="auto"/>
        </w:rPr>
      </w:pPr>
    </w:p>
    <w:p>
      <w:pPr>
        <w:ind w:left="160" w:right="220" w:hanging="153"/>
        <w:spacing w:after="0" w:line="238" w:lineRule="auto"/>
        <w:tabs>
          <w:tab w:leader="none" w:pos="15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Bars, taverns, and restaurants with a certain class of liquor license are permitted to operate up to four electrical or mechanical games of chance</w:t>
      </w:r>
    </w:p>
    <w:p>
      <w:pPr>
        <w:spacing w:after="0" w:line="2" w:lineRule="exact"/>
        <w:rPr>
          <w:rFonts w:ascii="Times New Roman" w:cs="Times New Roman" w:eastAsia="Times New Roman" w:hAnsi="Times New Roman"/>
          <w:sz w:val="17"/>
          <w:szCs w:val="17"/>
          <w:color w:val="auto"/>
        </w:rPr>
      </w:pPr>
    </w:p>
    <w:p>
      <w:pPr>
        <w:ind w:left="160" w:hanging="153"/>
        <w:spacing w:after="0"/>
        <w:tabs>
          <w:tab w:leader="none" w:pos="1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gaming terminals at qualified truck stops</w:t>
      </w:r>
    </w:p>
    <w:p>
      <w:pPr>
        <w:ind w:left="160" w:hanging="153"/>
        <w:spacing w:after="0"/>
        <w:tabs>
          <w:tab w:leader="none" w:pos="1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live with a partner truck stop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15240</wp:posOffset>
            </wp:positionV>
            <wp:extent cx="7137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-248285</wp:posOffset>
            </wp:positionV>
            <wp:extent cx="39319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3192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-727710</wp:posOffset>
            </wp:positionV>
            <wp:extent cx="39319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3192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-1099185</wp:posOffset>
            </wp:positionV>
            <wp:extent cx="39319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3192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-1471295</wp:posOffset>
            </wp:positionV>
            <wp:extent cx="39319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319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180"/>
            <w:col w:w="6100"/>
          </w:cols>
          <w:pgMar w:left="320" w:top="121" w:right="339" w:bottom="1440" w:gutter="0" w:footer="0" w:header="0"/>
          <w:type w:val="continuous"/>
        </w:sectPr>
      </w:pPr>
    </w:p>
    <w:p>
      <w:pPr>
        <w:spacing w:after="0" w:line="1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Macroeconomic Factors</w:t>
      </w:r>
    </w:p>
    <w:p>
      <w:pPr>
        <w:spacing w:after="0" w:line="19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Ongoing interest rate uncertainty, persistent inflation and actual or perceived instability in the U.S. and global banking systems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w:t>
      </w:r>
    </w:p>
    <w:p>
      <w:pPr>
        <w:spacing w:after="0" w:line="118" w:lineRule="exact"/>
        <w:rPr>
          <w:sz w:val="20"/>
          <w:szCs w:val="20"/>
          <w:color w:val="auto"/>
        </w:rPr>
      </w:pPr>
    </w:p>
    <w:p>
      <w:pPr>
        <w:jc w:val="both"/>
        <w:ind w:firstLine="312"/>
        <w:spacing w:after="0" w:line="330" w:lineRule="auto"/>
        <w:rPr>
          <w:sz w:val="20"/>
          <w:szCs w:val="20"/>
          <w:color w:val="auto"/>
        </w:rPr>
      </w:pPr>
      <w:r>
        <w:rPr>
          <w:rFonts w:ascii="Times New Roman" w:cs="Times New Roman" w:eastAsia="Times New Roman" w:hAnsi="Times New Roman"/>
          <w:sz w:val="17"/>
          <w:szCs w:val="17"/>
          <w:color w:val="auto"/>
        </w:rPr>
        <w:t>To date, we have not observed material impacts in our business or outlook, outside of observed increases in our costs related to higher wages and increased interest expense on our debt. In 2023 and the first half of 2024, we accelerated certain of our capital expenditures related to gaming machines and related components to manage our supply chain.</w:t>
      </w:r>
    </w:p>
    <w:p>
      <w:pPr>
        <w:spacing w:after="0" w:line="104"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We intend to continue to monitor macroeconomic conditions closely and may determine to take certain financial or operational actions in response to such conditions to the extent our business begins to be adversely impacted.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Performance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revenues</w:t>
      </w:r>
    </w:p>
    <w:p>
      <w:pPr>
        <w:spacing w:after="0" w:line="184" w:lineRule="exact"/>
        <w:rPr>
          <w:sz w:val="20"/>
          <w:szCs w:val="20"/>
          <w:color w:val="auto"/>
        </w:rPr>
      </w:pPr>
    </w:p>
    <w:p>
      <w:pPr>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Net gaming. </w:t>
      </w:r>
      <w:r>
        <w:rPr>
          <w:rFonts w:ascii="Times New Roman" w:cs="Times New Roman" w:eastAsia="Times New Roman" w:hAnsi="Times New Roman"/>
          <w:sz w:val="17"/>
          <w:szCs w:val="17"/>
          <w:color w:val="auto"/>
        </w:rPr>
        <w:t>Net gaming revenue represents net cash received from gaming activities, which is the difference between gaming wins and losses. Net gaming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includes the amounts earned by our location partners and is recognized at the time of gaming play.</w:t>
      </w:r>
    </w:p>
    <w:p>
      <w:pPr>
        <w:spacing w:after="0" w:line="77" w:lineRule="exact"/>
        <w:rPr>
          <w:sz w:val="20"/>
          <w:szCs w:val="20"/>
          <w:color w:val="auto"/>
        </w:rPr>
      </w:pPr>
    </w:p>
    <w:p>
      <w:pPr>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Amusement. </w:t>
      </w:r>
      <w:r>
        <w:rPr>
          <w:rFonts w:ascii="Times New Roman" w:cs="Times New Roman" w:eastAsia="Times New Roman" w:hAnsi="Times New Roman"/>
          <w:sz w:val="17"/>
          <w:szCs w:val="17"/>
          <w:color w:val="auto"/>
        </w:rPr>
        <w:t>Amusement revenue represents amounts collected from amusement devices operated at various location partners and is recognized at the point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amusement device is used.</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Manufacturing. </w:t>
      </w:r>
      <w:r>
        <w:rPr>
          <w:rFonts w:ascii="Times New Roman" w:cs="Times New Roman" w:eastAsia="Times New Roman" w:hAnsi="Times New Roman"/>
          <w:sz w:val="17"/>
          <w:szCs w:val="17"/>
          <w:color w:val="auto"/>
        </w:rPr>
        <w:t>Manufacturing revenue represents sales of gaming terminals and related equipment.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ATM fees and other. </w:t>
      </w:r>
      <w:r>
        <w:rPr>
          <w:rFonts w:ascii="Times New Roman" w:cs="Times New Roman" w:eastAsia="Times New Roman" w:hAnsi="Times New Roman"/>
          <w:sz w:val="17"/>
          <w:szCs w:val="17"/>
          <w:color w:val="auto"/>
        </w:rPr>
        <w:t>ATM fees and other primarily represents fees charged for the withdrawal of funds from our redemption devices and stand-alone ATMs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is recognized at the time of the ATM transaction.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84" w:lineRule="exact"/>
        <w:rPr>
          <w:sz w:val="20"/>
          <w:szCs w:val="20"/>
          <w:color w:val="auto"/>
        </w:rPr>
      </w:pPr>
    </w:p>
    <w:p>
      <w:pPr>
        <w:jc w:val="both"/>
        <w:ind w:left="320"/>
        <w:spacing w:after="0" w:line="316"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consists of (i) taxes on net gaming revenue that is payable to the appropriate jurisdiction (effective July 1, 2024, the tax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gaming revenue in the State of Illinois increased from 34% to 35%, which is split equally between us and our locations in Illinois), (ii) licenses, permits and other fees required for the operation of gaming terminals and other equipment, (iii) location revenue share, which is governed by local governing bodies and location contracts, (iv) ATM and amusement commissions payable to locations, and (v) ATM and amusement fees.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Cost of manufacturing goods sold. </w:t>
      </w:r>
      <w:r>
        <w:rPr>
          <w:rFonts w:ascii="Times New Roman" w:cs="Times New Roman" w:eastAsia="Times New Roman" w:hAnsi="Times New Roman"/>
          <w:sz w:val="17"/>
          <w:szCs w:val="17"/>
          <w:color w:val="auto"/>
        </w:rPr>
        <w:t>Cost of manufacturing goods sold consists of costs associated with the sale of gaming terminals and related equipment.</w:t>
      </w:r>
    </w:p>
    <w:p>
      <w:pPr>
        <w:spacing w:after="0" w:line="195" w:lineRule="exact"/>
        <w:rPr>
          <w:sz w:val="20"/>
          <w:szCs w:val="20"/>
          <w:color w:val="auto"/>
        </w:rPr>
      </w:pPr>
    </w:p>
    <w:p>
      <w:pPr>
        <w:jc w:val="both"/>
        <w:ind w:left="320"/>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consist of operating expense and general and administrative expense. Operating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General and administrative expense includes payroll and related expense for account managers, business development managers, marketing, and other corporate personnel. In addition, general and administrative expense also includes marketing, information technology, insurance, rent and professional fees.</w:t>
      </w:r>
    </w:p>
    <w:p>
      <w:pPr>
        <w:spacing w:after="0" w:line="105" w:lineRule="exact"/>
        <w:rPr>
          <w:sz w:val="20"/>
          <w:szCs w:val="20"/>
          <w:color w:val="auto"/>
        </w:rPr>
      </w:pPr>
    </w:p>
    <w:p>
      <w:pPr>
        <w:jc w:val="both"/>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Depreciation and amortization of property and equipment. </w:t>
      </w:r>
      <w:r>
        <w:rPr>
          <w:rFonts w:ascii="Times New Roman" w:cs="Times New Roman" w:eastAsia="Times New Roman" w:hAnsi="Times New Roman"/>
          <w:sz w:val="17"/>
          <w:szCs w:val="17"/>
          <w:color w:val="auto"/>
        </w:rPr>
        <w:t>Depreciation is computed using the straight-line method over the estimated useful lives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individual assets. Leasehold improvements are amortized over the shorter of the useful life or the lease.</w:t>
      </w:r>
    </w:p>
    <w:p>
      <w:pPr>
        <w:spacing w:after="0" w:line="77" w:lineRule="exact"/>
        <w:rPr>
          <w:sz w:val="20"/>
          <w:szCs w:val="20"/>
          <w:color w:val="auto"/>
        </w:rPr>
      </w:pPr>
    </w:p>
    <w:p>
      <w:pPr>
        <w:jc w:val="both"/>
        <w:ind w:left="320"/>
        <w:spacing w:after="0" w:line="317" w:lineRule="auto"/>
        <w:rPr>
          <w:sz w:val="20"/>
          <w:szCs w:val="20"/>
          <w:color w:val="auto"/>
        </w:rPr>
      </w:pPr>
      <w:r>
        <w:rPr>
          <w:rFonts w:ascii="Times New Roman" w:cs="Times New Roman" w:eastAsia="Times New Roman" w:hAnsi="Times New Roman"/>
          <w:sz w:val="17"/>
          <w:szCs w:val="17"/>
          <w:i w:val="1"/>
          <w:iCs w:val="1"/>
          <w:color w:val="auto"/>
        </w:rPr>
        <w:t xml:space="preserve">Amortization of intangible assets and route and customer acquisition costs. </w:t>
      </w:r>
      <w:r>
        <w:rPr>
          <w:rFonts w:ascii="Times New Roman" w:cs="Times New Roman" w:eastAsia="Times New Roman" w:hAnsi="Times New Roman"/>
          <w:sz w:val="17"/>
          <w:szCs w:val="17"/>
          <w:color w:val="auto"/>
        </w:rPr>
        <w:t>Route and customer acquisition costs consist of fees paid at the inception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contracts 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spacing w:after="0" w:line="90" w:lineRule="exact"/>
        <w:rPr>
          <w:sz w:val="20"/>
          <w:szCs w:val="20"/>
          <w:color w:val="auto"/>
        </w:rPr>
      </w:pPr>
    </w:p>
    <w:p>
      <w:pPr>
        <w:jc w:val="both"/>
        <w:ind w:left="320"/>
        <w:spacing w:after="0" w:line="357" w:lineRule="auto"/>
        <w:rPr>
          <w:sz w:val="20"/>
          <w:szCs w:val="20"/>
          <w:color w:val="auto"/>
        </w:rPr>
      </w:pPr>
      <w:r>
        <w:rPr>
          <w:rFonts w:ascii="Times New Roman" w:cs="Times New Roman" w:eastAsia="Times New Roman" w:hAnsi="Times New Roman"/>
          <w:sz w:val="17"/>
          <w:szCs w:val="17"/>
          <w:color w:val="auto"/>
        </w:rPr>
        <w:t>Location contracts acquired in a business combination are recorded at fair value and then amortized as an intangible asset on a straight-line basis over the expected useful life of 15 years.</w:t>
      </w:r>
    </w:p>
    <w:p>
      <w:pPr>
        <w:spacing w:after="0" w:line="56" w:lineRule="exact"/>
        <w:rPr>
          <w:sz w:val="20"/>
          <w:szCs w:val="20"/>
          <w:color w:val="auto"/>
        </w:rPr>
      </w:pPr>
    </w:p>
    <w:p>
      <w:pPr>
        <w:jc w:val="both"/>
        <w:ind w:left="320"/>
        <w:spacing w:after="0" w:line="357" w:lineRule="auto"/>
        <w:rPr>
          <w:sz w:val="20"/>
          <w:szCs w:val="20"/>
          <w:color w:val="auto"/>
        </w:rPr>
      </w:pPr>
      <w:r>
        <w:rPr>
          <w:rFonts w:ascii="Times New Roman" w:cs="Times New Roman" w:eastAsia="Times New Roman" w:hAnsi="Times New Roman"/>
          <w:sz w:val="17"/>
          <w:szCs w:val="17"/>
          <w:color w:val="auto"/>
        </w:rPr>
        <w:t>Other intangible assets acquired in a business acquisition are recorded at fair value and then amortized as an intangible asset on a straight-line basis over their estimated 7 to 20-year useful lives.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173" w:lineRule="exact"/>
        <w:rPr>
          <w:sz w:val="20"/>
          <w:szCs w:val="20"/>
          <w:color w:val="auto"/>
        </w:rPr>
      </w:pPr>
    </w:p>
    <w:p>
      <w:pPr>
        <w:jc w:val="both"/>
        <w:ind w:left="320"/>
        <w:spacing w:after="0" w:line="321" w:lineRule="auto"/>
        <w:rPr>
          <w:sz w:val="20"/>
          <w:szCs w:val="20"/>
          <w:color w:val="auto"/>
        </w:rPr>
      </w:pPr>
      <w:r>
        <w:rPr>
          <w:rFonts w:ascii="Times New Roman" w:cs="Times New Roman" w:eastAsia="Times New Roman" w:hAnsi="Times New Roman"/>
          <w:sz w:val="17"/>
          <w:szCs w:val="17"/>
          <w:color w:val="auto"/>
        </w:rPr>
        <w:t>Interest expense, net consists of interest on our current credit facilities, amortization of financing fees, accretion of interest on route and customer acquisition costs payable, and interest (income) expense on the interest rate caplets. Interest on the current credit facility is payable monthly on unpaid balances at the variable per annum LIBOR/SOFR rate plus an applicable margin, as defined under the terms of the credit facility, ranging from 1.75% to 2.75% depending on the first lien net leverage ratio.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186" w:lineRule="exact"/>
        <w:rPr>
          <w:sz w:val="20"/>
          <w:szCs w:val="20"/>
          <w:color w:val="auto"/>
        </w:rPr>
      </w:pPr>
    </w:p>
    <w:p>
      <w:pPr>
        <w:jc w:val="both"/>
        <w:ind w:left="320"/>
        <w:spacing w:after="0" w:line="341" w:lineRule="auto"/>
        <w:rPr>
          <w:sz w:val="20"/>
          <w:szCs w:val="20"/>
          <w:color w:val="auto"/>
        </w:rPr>
      </w:pPr>
      <w:r>
        <w:rPr>
          <w:rFonts w:ascii="Times New Roman" w:cs="Times New Roman" w:eastAsia="Times New Roman" w:hAnsi="Times New Roman"/>
          <w:sz w:val="17"/>
          <w:szCs w:val="17"/>
          <w:color w:val="auto"/>
        </w:rPr>
        <w:t>Income tax expense consists mainly of taxes payable to federal, state and local authorities. Deferred income taxes are recognized for the tax consequences of temporary differences between the financial statement carrying amounts and the tax basis of the assets and liabilities.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on a consolidated basis for the three months ended June 30, 2024 and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 except %'s)</w:t>
            </w:r>
          </w:p>
        </w:tc>
        <w:tc>
          <w:tcPr>
            <w:tcW w:w="200" w:type="dxa"/>
            <w:vAlign w:val="bottom"/>
          </w:tcPr>
          <w:p>
            <w:pPr>
              <w:spacing w:after="0"/>
              <w:rPr>
                <w:sz w:val="19"/>
                <w:szCs w:val="19"/>
                <w:color w:val="auto"/>
              </w:rPr>
            </w:pPr>
          </w:p>
        </w:tc>
        <w:tc>
          <w:tcPr>
            <w:tcW w:w="1340" w:type="dxa"/>
            <w:vAlign w:val="bottom"/>
            <w:gridSpan w:val="3"/>
          </w:tcPr>
          <w:p>
            <w:pPr>
              <w:ind w:left="6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4"/>
          </w:tcPr>
          <w:p>
            <w:pPr>
              <w:ind w:left="320"/>
              <w:spacing w:after="0"/>
              <w:rPr>
                <w:sz w:val="20"/>
                <w:szCs w:val="20"/>
                <w:color w:val="auto"/>
              </w:rPr>
            </w:pPr>
            <w:r>
              <w:rPr>
                <w:rFonts w:ascii="Times New Roman" w:cs="Times New Roman" w:eastAsia="Times New Roman" w:hAnsi="Times New Roman"/>
                <w:sz w:val="17"/>
                <w:szCs w:val="17"/>
                <w:b w:val="1"/>
                <w:bCs w:val="1"/>
                <w:color w:val="auto"/>
              </w:rPr>
              <w:t>Increase / (Decrease)</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20" w:type="dxa"/>
            <w:vAlign w:val="bottom"/>
          </w:tcPr>
          <w:p>
            <w:pPr>
              <w:spacing w:after="0"/>
              <w:rPr>
                <w:sz w:val="19"/>
                <w:szCs w:val="19"/>
                <w:color w:val="auto"/>
              </w:rPr>
            </w:pPr>
          </w:p>
        </w:tc>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gaming</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293,240</w:t>
            </w:r>
          </w:p>
        </w:tc>
        <w:tc>
          <w:tcPr>
            <w:tcW w:w="120" w:type="dxa"/>
            <w:vAlign w:val="bottom"/>
          </w:tcPr>
          <w:p>
            <w:pPr>
              <w:spacing w:after="0"/>
              <w:rPr>
                <w:sz w:val="22"/>
                <w:szCs w:val="22"/>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Amusement</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Manufacturing</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ATM fees and other</w:t>
            </w: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 net revenues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309,413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16,766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revenue (exclusive of depreciation and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expense shown below)</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manufacturing goods sold (exclusive of</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expense shown below)</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46.8 %</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property and</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equipment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14.3 %</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 and route and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customer acquisition costs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expenses, net</w:t>
            </w: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9,937.0 %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286,730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263,483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23,247</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1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(Gain) loss on change in fair value of contingent earnout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(9,578)</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9,983</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46.1 %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revenues</w:t>
      </w:r>
    </w:p>
    <w:p>
      <w:pPr>
        <w:spacing w:after="0" w:line="197"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Total net revenues for the three months ended June 30, 2024 were $309.4 million, an increase of $16.8 million, or 5.7%, compared to the prior-year period. This increase was primarily driven by higher net gaming revenue of $15.7 million, which reflected an increase in gaming locations and terminals. Net revenues by state are presented below (in thousands):</w:t>
      </w:r>
    </w:p>
    <w:p>
      <w:pPr>
        <w:spacing w:after="0" w:line="90"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7"/>
                <w:szCs w:val="17"/>
                <w:color w:val="auto"/>
              </w:rPr>
            </w:pPr>
          </w:p>
        </w:tc>
        <w:tc>
          <w:tcPr>
            <w:tcW w:w="2220" w:type="dxa"/>
            <w:vAlign w:val="bottom"/>
            <w:gridSpan w:val="3"/>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Increase / (Decrease)</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0" w:type="dxa"/>
            <w:vAlign w:val="bottom"/>
          </w:tcPr>
          <w:p>
            <w:pPr>
              <w:spacing w:after="0"/>
              <w:rPr>
                <w:sz w:val="1"/>
                <w:szCs w:val="1"/>
                <w:color w:val="auto"/>
              </w:rPr>
            </w:pPr>
          </w:p>
        </w:tc>
      </w:tr>
      <w:tr>
        <w:trPr>
          <w:trHeight w:val="26"/>
        </w:trPr>
        <w:tc>
          <w:tcPr>
            <w:tcW w:w="3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revenues by state:</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Illinois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227,093</w:t>
            </w:r>
          </w:p>
        </w:tc>
        <w:tc>
          <w:tcPr>
            <w:tcW w:w="12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Montana</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0" w:type="dxa"/>
            <w:vAlign w:val="bottom"/>
          </w:tcPr>
          <w:p>
            <w:pPr>
              <w:spacing w:after="0"/>
              <w:rPr>
                <w:sz w:val="1"/>
                <w:szCs w:val="1"/>
                <w:color w:val="auto"/>
              </w:rPr>
            </w:pPr>
          </w:p>
        </w:tc>
      </w:tr>
      <w:tr>
        <w:trPr>
          <w:trHeight w:val="234"/>
        </w:trPr>
        <w:tc>
          <w:tcPr>
            <w:tcW w:w="3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Nevada</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Nebraska</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0" w:type="dxa"/>
            <w:vAlign w:val="bottom"/>
          </w:tcPr>
          <w:p>
            <w:pPr>
              <w:spacing w:after="0"/>
              <w:rPr>
                <w:sz w:val="1"/>
                <w:szCs w:val="1"/>
                <w:color w:val="auto"/>
              </w:rPr>
            </w:pPr>
          </w:p>
        </w:tc>
      </w:tr>
      <w:tr>
        <w:trPr>
          <w:trHeight w:val="234"/>
        </w:trPr>
        <w:tc>
          <w:tcPr>
            <w:tcW w:w="3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35.8 %</w:t>
            </w:r>
          </w:p>
        </w:tc>
        <w:tc>
          <w:tcPr>
            <w:tcW w:w="0" w:type="dxa"/>
            <w:vAlign w:val="bottom"/>
          </w:tcPr>
          <w:p>
            <w:pPr>
              <w:spacing w:after="0"/>
              <w:rPr>
                <w:sz w:val="1"/>
                <w:szCs w:val="1"/>
                <w:color w:val="auto"/>
              </w:rPr>
            </w:pPr>
          </w:p>
        </w:tc>
      </w:tr>
      <w:tr>
        <w:trPr>
          <w:trHeight w:val="26"/>
        </w:trPr>
        <w:tc>
          <w:tcPr>
            <w:tcW w:w="3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net revenues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Cost of revenue for the three months ended June 30, 2024 was $213.3 million, an increase of $11.0 million, or 5.4%, compared to the prior-year period, driven by higher net gaming revenue, as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manufacturing goods sold</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Cost of manufacturing goods sold for the three months ended June 30, 2024 was $3.2 million, an increase of $1.0 million, or 46.8%, compared to the prior-year period due to higher costs associated with content licensing fees on software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97"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General and administrative expenses for the three months ended June 30, 2024 were $46.5 million, an increase of $2.3 million, or 5.2%, compared to the prior-year period. The increase was attributable to higher payroll-related costs, as we continue to grow our operations, as well as higher stock-based compensation expense, partially offset by lower legal settlements and parts and repair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 of property and equipment</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Depreciation and amortization of property and equipment for the three months ended June 30, 2024 was $10.8 million, an increase of $1.3 million, or 14.3%, compared to the prior-year period due to an increased number of gaming terminals.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of intangible assets and route and customer acquisition costs</w:t>
      </w:r>
    </w:p>
    <w:p>
      <w:pPr>
        <w:spacing w:after="0" w:line="197" w:lineRule="exact"/>
        <w:rPr>
          <w:sz w:val="20"/>
          <w:szCs w:val="20"/>
          <w:color w:val="auto"/>
        </w:rPr>
      </w:pPr>
    </w:p>
    <w:p>
      <w:pPr>
        <w:jc w:val="both"/>
        <w:ind w:firstLine="234"/>
        <w:spacing w:after="0" w:line="341" w:lineRule="auto"/>
        <w:rPr>
          <w:sz w:val="20"/>
          <w:szCs w:val="20"/>
          <w:color w:val="auto"/>
        </w:rPr>
      </w:pPr>
      <w:r>
        <w:rPr>
          <w:rFonts w:ascii="Times New Roman" w:cs="Times New Roman" w:eastAsia="Times New Roman" w:hAnsi="Times New Roman"/>
          <w:sz w:val="17"/>
          <w:szCs w:val="17"/>
          <w:color w:val="auto"/>
        </w:rPr>
        <w:t>Amortization of intangible assets and route and customer acquisition costs for the three months ended June 30, 2024 were $5.6 million, an increase of $0.3 million, or 5.8%, compared to the prior-year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expenses, net</w:t>
      </w:r>
    </w:p>
    <w:p>
      <w:pPr>
        <w:spacing w:after="0" w:line="19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Other expenses, net for the three months ended June 30, 2024 were $7.3 million, compared to $0.1 million in the prior-year period. The increase was primarily attributable to higher fair value adjustments associated with the revaluation of contingent consideration liabilities and non-recurring expenses, as well as the impact of a $1.7 million gain recognized in the prior-year period on the convertible note settlement as discussed in Note 4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19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Interest expense, net for the three months ended June 30, 2024 was $8.9 million, an increase of $0.7 million, or 8.0%, compared to the prior-year period primarily due to an increase in average outstanding debt and higher interest rates, partially offset by the benefit realized on our interest rate caplets. For the three months ended June 30, 2024, the weighted average interest rate, excluding the impact of our interest rate caplets, was approximately 7.7% compared to a rate of approximately 7.2% for the prior-year period.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loss on change in fair value of contingent earnout shares</w:t>
      </w:r>
    </w:p>
    <w:p>
      <w:pPr>
        <w:spacing w:after="0" w:line="197"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The change in the fair value of contingent earnout shares for the three months ended June 30, 2024 was a gain of $4.7 million, compared to a loss of $4.8 million the prior-year period. The change was primarily due to the change in the market value of our Class A-1 common stock, which is the primary input to the valuation of the contingent earnout shares.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9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Income tax expense for the three months ended June 30, 2024 was $3.9 million, a decrease of $2.2 million, or 35.5%, compared to the prior-year period. The effective tax rate for the three months ended June 30, 2024 was 21.2% compared to 37.9%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on a consolidated basis for the six months ended June 30, 2024 and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 except %'s)</w:t>
            </w:r>
          </w:p>
        </w:tc>
        <w:tc>
          <w:tcPr>
            <w:tcW w:w="2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4"/>
          </w:tcPr>
          <w:p>
            <w:pPr>
              <w:ind w:left="300"/>
              <w:spacing w:after="0"/>
              <w:rPr>
                <w:sz w:val="20"/>
                <w:szCs w:val="20"/>
                <w:color w:val="auto"/>
              </w:rPr>
            </w:pPr>
            <w:r>
              <w:rPr>
                <w:rFonts w:ascii="Times New Roman" w:cs="Times New Roman" w:eastAsia="Times New Roman" w:hAnsi="Times New Roman"/>
                <w:sz w:val="17"/>
                <w:szCs w:val="17"/>
                <w:b w:val="1"/>
                <w:bCs w:val="1"/>
                <w:color w:val="auto"/>
              </w:rPr>
              <w:t>Increase / (Decrease)</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20" w:type="dxa"/>
            <w:vAlign w:val="bottom"/>
          </w:tcPr>
          <w:p>
            <w:pPr>
              <w:spacing w:after="0"/>
              <w:rPr>
                <w:sz w:val="19"/>
                <w:szCs w:val="19"/>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gaming</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581,377</w:t>
            </w:r>
          </w:p>
        </w:tc>
        <w:tc>
          <w:tcPr>
            <w:tcW w:w="12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556,931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24,446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Amusement</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Manufacturing</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865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ATM fees and other</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9,944</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824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 net revenues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611,230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585,855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25,375</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revenue (exclusive of depreciation and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expense shown below)</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422,484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405,860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16,624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manufacturing goods sold (exclusive of</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expense shown below)</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759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21.3 %</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87,238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6,937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property and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equipment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2,719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14.7 %</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 and route and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customer acquisition costs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501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expenses, net</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3,324</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6,429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562,988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529,019</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33,969</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56,836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16,131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1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(Gain) loss on change in fair value of contingent earnout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(9,464)</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31,267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12,102</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2"/>
                <w:szCs w:val="22"/>
                <w:color w:val="auto"/>
              </w:rPr>
            </w:pPr>
          </w:p>
        </w:tc>
        <w:tc>
          <w:tcPr>
            <w:tcW w:w="410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19,165</w:t>
            </w: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2,837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14.8 %</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revenues</w:t>
      </w:r>
    </w:p>
    <w:p>
      <w:pPr>
        <w:spacing w:after="0" w:line="197"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Total net revenues for the six months ended June 30, 2024 were $611.2 million, an increase of $25.4 million, or 4.3%, compared to the prior-year period. This increase was primarily driven by higher net gaming revenue of $24.4 million, which reflected an increase in gaming locations and terminals. Net revenues by state are presented below (in thousands):</w:t>
      </w:r>
    </w:p>
    <w:p>
      <w:pPr>
        <w:spacing w:after="0" w:line="90"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20" w:type="dxa"/>
            <w:vAlign w:val="bottom"/>
          </w:tcPr>
          <w:p>
            <w:pPr>
              <w:spacing w:after="0"/>
              <w:rPr>
                <w:sz w:val="17"/>
                <w:szCs w:val="17"/>
                <w:color w:val="auto"/>
              </w:rPr>
            </w:pPr>
          </w:p>
        </w:tc>
        <w:tc>
          <w:tcPr>
            <w:tcW w:w="2220" w:type="dxa"/>
            <w:vAlign w:val="bottom"/>
            <w:gridSpan w:val="3"/>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Increase / (Decrease)</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0" w:type="dxa"/>
            <w:vAlign w:val="bottom"/>
          </w:tcPr>
          <w:p>
            <w:pPr>
              <w:spacing w:after="0"/>
              <w:rPr>
                <w:sz w:val="1"/>
                <w:szCs w:val="1"/>
                <w:color w:val="auto"/>
              </w:rPr>
            </w:pPr>
          </w:p>
        </w:tc>
      </w:tr>
      <w:tr>
        <w:trPr>
          <w:trHeight w:val="26"/>
        </w:trPr>
        <w:tc>
          <w:tcPr>
            <w:tcW w:w="3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revenues by state:</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Illinois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451,956</w:t>
            </w:r>
          </w:p>
        </w:tc>
        <w:tc>
          <w:tcPr>
            <w:tcW w:w="12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435,790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Montana</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0" w:type="dxa"/>
            <w:vAlign w:val="bottom"/>
          </w:tcPr>
          <w:p>
            <w:pPr>
              <w:spacing w:after="0"/>
              <w:rPr>
                <w:sz w:val="1"/>
                <w:szCs w:val="1"/>
                <w:color w:val="auto"/>
              </w:rPr>
            </w:pPr>
          </w:p>
        </w:tc>
      </w:tr>
      <w:tr>
        <w:trPr>
          <w:trHeight w:val="234"/>
        </w:trPr>
        <w:tc>
          <w:tcPr>
            <w:tcW w:w="3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Nevada</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Nebraska</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43.6 %</w:t>
            </w:r>
          </w:p>
        </w:tc>
        <w:tc>
          <w:tcPr>
            <w:tcW w:w="0" w:type="dxa"/>
            <w:vAlign w:val="bottom"/>
          </w:tcPr>
          <w:p>
            <w:pPr>
              <w:spacing w:after="0"/>
              <w:rPr>
                <w:sz w:val="1"/>
                <w:szCs w:val="1"/>
                <w:color w:val="auto"/>
              </w:rPr>
            </w:pPr>
          </w:p>
        </w:tc>
      </w:tr>
      <w:tr>
        <w:trPr>
          <w:trHeight w:val="234"/>
        </w:trPr>
        <w:tc>
          <w:tcPr>
            <w:tcW w:w="3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30.2 %</w:t>
            </w:r>
          </w:p>
        </w:tc>
        <w:tc>
          <w:tcPr>
            <w:tcW w:w="0" w:type="dxa"/>
            <w:vAlign w:val="bottom"/>
          </w:tcPr>
          <w:p>
            <w:pPr>
              <w:spacing w:after="0"/>
              <w:rPr>
                <w:sz w:val="1"/>
                <w:szCs w:val="1"/>
                <w:color w:val="auto"/>
              </w:rPr>
            </w:pPr>
          </w:p>
        </w:tc>
      </w:tr>
      <w:tr>
        <w:trPr>
          <w:trHeight w:val="26"/>
        </w:trPr>
        <w:tc>
          <w:tcPr>
            <w:tcW w:w="3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net revenues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611,230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585,855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Cost of revenue for the six months ended June 30, 2024 was $422.5 million, an increase of $16.6 million, or 4.1%, compared to the prior-year period, driven by higher net gaming revenue, as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manufacturing goods sold</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Cost of manufacturing goods sold for the six months ended June 30, 2024 was $4.3 million, an increase of $0.8 million, or 21.3%, compared to the prior-year period due to higher costs associated with content licensing fees on software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97"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General and administrative expenses for the six months ended June 30, 2024 were $94.2 million, an increase of $6.9 million, or 8.0%, compared to the prior-year period. The increase was attributable to higher payroll-related costs, as we continue to grow our operations, as well as higher stock-based compensation expense, partially offset by lower legal settlements.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 of property and equipment</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Depreciation and amortization of property and equipment for the six months ended June 30, 2024 was $21.2 million, an increase of $2.7 million, or 14.7%, compared to the prior-year period due to an increased number of gaming terminals.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of intangible assets and route and customer acquisition costs</w:t>
      </w:r>
    </w:p>
    <w:p>
      <w:pPr>
        <w:spacing w:after="0" w:line="197" w:lineRule="exact"/>
        <w:rPr>
          <w:sz w:val="20"/>
          <w:szCs w:val="20"/>
          <w:color w:val="auto"/>
        </w:rPr>
      </w:pPr>
    </w:p>
    <w:p>
      <w:pPr>
        <w:jc w:val="both"/>
        <w:ind w:firstLine="234"/>
        <w:spacing w:after="0" w:line="341" w:lineRule="auto"/>
        <w:rPr>
          <w:sz w:val="20"/>
          <w:szCs w:val="20"/>
          <w:color w:val="auto"/>
        </w:rPr>
      </w:pPr>
      <w:r>
        <w:rPr>
          <w:rFonts w:ascii="Times New Roman" w:cs="Times New Roman" w:eastAsia="Times New Roman" w:hAnsi="Times New Roman"/>
          <w:sz w:val="17"/>
          <w:szCs w:val="17"/>
          <w:color w:val="auto"/>
        </w:rPr>
        <w:t>Amortization of intangible assets and route and customer acquisition costs for the six months ended June 30, 2024 were $11.0 million, an increase of $0.5 million, or 4.8%, compared to the prior-year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expenses, net</w:t>
      </w:r>
    </w:p>
    <w:p>
      <w:pPr>
        <w:spacing w:after="0" w:line="19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Other expenses, net for the six months ended June 30, 2024 were $9.8 million, an increase of $6.4 million, or 193.4%, compared to the prior-year period. The increase was primarily attributable to higher fair value adjustments associated with the revaluation of contingent consideration liabilities and non-recurring expenses, as well as the impact of a $1.7 million gain recognized in the prior-year period on the convertible note settlement as discussed in Note 4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19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Interest expense, net for the six months ended June 30, 2024 was $17.6 million, an increase of $1.4 million, or 8.9%, compared to the prior-year period primarily due to an increase in average outstanding debt and higher interest rates, partially offset by the benefit realized on our interest rate caplets. For the six months ended June 30, 2024, the weighted average interest rate, excluding the impact of our interest rate caplets, was approximately 7.7% compared to a rate of approximately 7.0% for the prior-year period.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loss on change in fair value of contingent earnout shares</w:t>
      </w:r>
    </w:p>
    <w:p>
      <w:pPr>
        <w:spacing w:after="0" w:line="197"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The change in the fair value of contingent earnout shares for the six months ended June 30, 2024 was a gain of less than $0.1 million, compared to a loss of $9.4 million the prior-year period. The change was primarily due to the change in the market value of our Class A-1 common stock, which is the primary input to the valuation of the contingent earnout shares.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9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Income tax expense for the six months ended June 30, 2024 was $8.7 million, a decrease of $3.4 million, or 28.1%, compared to the prior-year period. The effective tax rate for the six months ended June 30, 2024 was 28.3% compared to 38.7%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171" w:lineRule="exact"/>
        <w:rPr>
          <w:sz w:val="20"/>
          <w:szCs w:val="20"/>
          <w:color w:val="auto"/>
        </w:rPr>
      </w:pPr>
    </w:p>
    <w:p>
      <w:pPr>
        <w:jc w:val="both"/>
        <w:ind w:firstLine="312"/>
        <w:spacing w:after="0" w:line="330" w:lineRule="auto"/>
        <w:rPr>
          <w:sz w:val="20"/>
          <w:szCs w:val="20"/>
          <w:color w:val="auto"/>
        </w:rPr>
      </w:pPr>
      <w:r>
        <w:rPr>
          <w:rFonts w:ascii="Times New Roman" w:cs="Times New Roman" w:eastAsia="Times New Roman" w:hAnsi="Times New Roman"/>
          <w:sz w:val="17"/>
          <w:szCs w:val="17"/>
          <w:color w:val="auto"/>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spacing w:after="0" w:line="78" w:lineRule="exact"/>
        <w:rPr>
          <w:sz w:val="20"/>
          <w:szCs w:val="20"/>
          <w:color w:val="auto"/>
        </w:rPr>
      </w:pPr>
    </w:p>
    <w:p>
      <w:pPr>
        <w:ind w:left="620" w:hanging="30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locations and;</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Number of gaming terminals</w:t>
      </w:r>
    </w:p>
    <w:p>
      <w:pPr>
        <w:spacing w:after="0" w:line="194" w:lineRule="exact"/>
        <w:rPr>
          <w:rFonts w:ascii="Times New Roman" w:cs="Times New Roman" w:eastAsia="Times New Roman" w:hAnsi="Times New Roman"/>
          <w:sz w:val="17"/>
          <w:szCs w:val="17"/>
          <w:i w:val="1"/>
          <w:iCs w:val="1"/>
          <w:color w:val="auto"/>
        </w:rPr>
      </w:pPr>
    </w:p>
    <w:p>
      <w:pPr>
        <w:ind w:left="620" w:hanging="30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Location hold-per-day</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also periodically review and revise our key business metrics to reflect changes in our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Number of locations</w:t>
      </w:r>
    </w:p>
    <w:p>
      <w:pPr>
        <w:spacing w:after="0" w:line="184"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our primary locations: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40" w:type="dxa"/>
            <w:vAlign w:val="bottom"/>
            <w:gridSpan w:val="4"/>
          </w:tcPr>
          <w:p>
            <w:pPr>
              <w:ind w:left="540"/>
              <w:spacing w:after="0"/>
              <w:rPr>
                <w:sz w:val="20"/>
                <w:szCs w:val="20"/>
                <w:color w:val="auto"/>
              </w:rPr>
            </w:pPr>
            <w:r>
              <w:rPr>
                <w:rFonts w:ascii="Times New Roman" w:cs="Times New Roman" w:eastAsia="Times New Roman" w:hAnsi="Times New Roman"/>
                <w:sz w:val="17"/>
                <w:szCs w:val="17"/>
                <w:b w:val="1"/>
                <w:bCs w:val="1"/>
                <w:color w:val="auto"/>
              </w:rPr>
              <w:t>As of June 30,</w:t>
            </w:r>
          </w:p>
        </w:tc>
        <w:tc>
          <w:tcPr>
            <w:tcW w:w="470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2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r>
      <w:tr>
        <w:trPr>
          <w:trHeight w:val="227"/>
        </w:trPr>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 w:type="dxa"/>
            <w:vAlign w:val="bottom"/>
          </w:tcPr>
          <w:p>
            <w:pPr>
              <w:spacing w:after="0"/>
              <w:rPr>
                <w:sz w:val="19"/>
                <w:szCs w:val="19"/>
                <w:color w:val="auto"/>
              </w:rPr>
            </w:pP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274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r>
      <w:tr>
        <w:trPr>
          <w:trHeight w:val="233"/>
        </w:trPr>
        <w:tc>
          <w:tcPr>
            <w:tcW w:w="274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2420" w:type="dxa"/>
            <w:vAlign w:val="bottom"/>
          </w:tcPr>
          <w:p>
            <w:pPr>
              <w:spacing w:after="0"/>
              <w:rPr>
                <w:sz w:val="20"/>
                <w:szCs w:val="20"/>
                <w:color w:val="auto"/>
              </w:rPr>
            </w:pPr>
          </w:p>
        </w:tc>
      </w:tr>
      <w:tr>
        <w:trPr>
          <w:trHeight w:val="234"/>
        </w:trPr>
        <w:tc>
          <w:tcPr>
            <w:tcW w:w="274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2420" w:type="dxa"/>
            <w:vAlign w:val="bottom"/>
          </w:tcPr>
          <w:p>
            <w:pPr>
              <w:spacing w:after="0"/>
              <w:rPr>
                <w:sz w:val="20"/>
                <w:szCs w:val="20"/>
                <w:color w:val="auto"/>
              </w:rPr>
            </w:pPr>
          </w:p>
        </w:tc>
      </w:tr>
      <w:tr>
        <w:trPr>
          <w:trHeight w:val="26"/>
        </w:trPr>
        <w:tc>
          <w:tcPr>
            <w:tcW w:w="2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40"/>
        </w:trPr>
        <w:tc>
          <w:tcPr>
            <w:tcW w:w="274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420" w:type="dxa"/>
            <w:vAlign w:val="bottom"/>
          </w:tcPr>
          <w:p>
            <w:pPr>
              <w:spacing w:after="0"/>
              <w:rPr>
                <w:sz w:val="20"/>
                <w:szCs w:val="20"/>
                <w:color w:val="auto"/>
              </w:rPr>
            </w:pPr>
          </w:p>
        </w:tc>
      </w:tr>
      <w:tr>
        <w:trPr>
          <w:trHeight w:val="234"/>
        </w:trPr>
        <w:tc>
          <w:tcPr>
            <w:tcW w:w="274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21.3 %</w:t>
            </w:r>
          </w:p>
        </w:tc>
        <w:tc>
          <w:tcPr>
            <w:tcW w:w="2420" w:type="dxa"/>
            <w:vAlign w:val="bottom"/>
          </w:tcPr>
          <w:p>
            <w:pPr>
              <w:spacing w:after="0"/>
              <w:rPr>
                <w:sz w:val="20"/>
                <w:szCs w:val="20"/>
                <w:color w:val="auto"/>
              </w:rPr>
            </w:pPr>
          </w:p>
        </w:tc>
      </w:tr>
      <w:tr>
        <w:trPr>
          <w:trHeight w:val="26"/>
        </w:trPr>
        <w:tc>
          <w:tcPr>
            <w:tcW w:w="274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20" w:type="dxa"/>
            <w:vAlign w:val="bottom"/>
          </w:tcPr>
          <w:p>
            <w:pPr>
              <w:spacing w:after="0"/>
              <w:rPr>
                <w:sz w:val="2"/>
                <w:szCs w:val="2"/>
                <w:color w:val="auto"/>
              </w:rPr>
            </w:pPr>
          </w:p>
        </w:tc>
      </w:tr>
      <w:tr>
        <w:trPr>
          <w:trHeight w:val="278"/>
        </w:trPr>
        <w:tc>
          <w:tcPr>
            <w:tcW w:w="2740" w:type="dxa"/>
            <w:vAlign w:val="bottom"/>
          </w:tcPr>
          <w:p>
            <w:pPr>
              <w:spacing w:after="0"/>
              <w:rPr>
                <w:sz w:val="23"/>
                <w:szCs w:val="23"/>
                <w:color w:val="auto"/>
              </w:rPr>
            </w:pPr>
          </w:p>
        </w:tc>
        <w:tc>
          <w:tcPr>
            <w:tcW w:w="1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2420" w:type="dxa"/>
            <w:vAlign w:val="bottom"/>
          </w:tcPr>
          <w:p>
            <w:pPr>
              <w:spacing w:after="0"/>
              <w:rPr>
                <w:sz w:val="23"/>
                <w:szCs w:val="23"/>
                <w:color w:val="auto"/>
              </w:rPr>
            </w:pPr>
          </w:p>
        </w:tc>
      </w:tr>
      <w:tr>
        <w:trPr>
          <w:trHeight w:val="20"/>
        </w:trPr>
        <w:tc>
          <w:tcPr>
            <w:tcW w:w="274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844"/>
        </w:trPr>
        <w:tc>
          <w:tcPr>
            <w:tcW w:w="2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10"/>
        </w:trPr>
        <w:tc>
          <w:tcPr>
            <w:tcW w:w="27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Number of gaming terminals</w:t>
      </w:r>
    </w:p>
    <w:p>
      <w:pPr>
        <w:spacing w:after="0" w:line="184"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number of gaming terminals in our primary locations:</w:t>
      </w:r>
    </w:p>
    <w:p>
      <w:pPr>
        <w:spacing w:after="0" w:line="219" w:lineRule="exact"/>
        <w:rPr>
          <w:sz w:val="20"/>
          <w:szCs w:val="20"/>
          <w:color w:val="auto"/>
        </w:rPr>
      </w:pPr>
    </w:p>
    <w:tbl>
      <w:tblPr>
        <w:tblLayout w:type="fixed"/>
        <w:tblInd w:w="2740" w:type="dxa"/>
        <w:tblCellMar>
          <w:top w:w="0" w:type="dxa"/>
          <w:left w:w="0" w:type="dxa"/>
          <w:bottom w:w="0" w:type="dxa"/>
          <w:right w:w="0" w:type="dxa"/>
        </w:tblCellMar>
      </w:tblPr>
      <w:tr>
        <w:trPr>
          <w:trHeight w:val="229"/>
        </w:trPr>
        <w:tc>
          <w:tcPr>
            <w:tcW w:w="1540" w:type="dxa"/>
            <w:vAlign w:val="bottom"/>
          </w:tcPr>
          <w:p>
            <w:pPr>
              <w:spacing w:after="0"/>
              <w:rPr>
                <w:sz w:val="19"/>
                <w:szCs w:val="19"/>
                <w:color w:val="auto"/>
              </w:rPr>
            </w:pPr>
          </w:p>
        </w:tc>
        <w:tc>
          <w:tcPr>
            <w:tcW w:w="2260" w:type="dxa"/>
            <w:vAlign w:val="bottom"/>
            <w:gridSpan w:val="4"/>
          </w:tcPr>
          <w:p>
            <w:pPr>
              <w:ind w:left="560"/>
              <w:spacing w:after="0"/>
              <w:rPr>
                <w:sz w:val="20"/>
                <w:szCs w:val="20"/>
                <w:color w:val="auto"/>
              </w:rPr>
            </w:pPr>
            <w:r>
              <w:rPr>
                <w:rFonts w:ascii="Times New Roman" w:cs="Times New Roman" w:eastAsia="Times New Roman" w:hAnsi="Times New Roman"/>
                <w:sz w:val="17"/>
                <w:szCs w:val="17"/>
                <w:b w:val="1"/>
                <w:bCs w:val="1"/>
                <w:color w:val="auto"/>
              </w:rPr>
              <w:t>As of June 30,</w:t>
            </w:r>
          </w:p>
        </w:tc>
        <w:tc>
          <w:tcPr>
            <w:tcW w:w="2280" w:type="dxa"/>
            <w:vAlign w:val="bottom"/>
            <w:gridSpan w:val="3"/>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1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7"/>
        </w:trPr>
        <w:tc>
          <w:tcPr>
            <w:tcW w:w="1540" w:type="dxa"/>
            <w:vAlign w:val="bottom"/>
          </w:tcPr>
          <w:p>
            <w:pPr>
              <w:spacing w:after="0"/>
              <w:rPr>
                <w:sz w:val="19"/>
                <w:szCs w:val="19"/>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1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15,743</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14,767</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r>
      <w:tr>
        <w:trPr>
          <w:trHeight w:val="234"/>
        </w:trPr>
        <w:tc>
          <w:tcPr>
            <w:tcW w:w="1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6,435</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6,210</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26"/>
        </w:trPr>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4"/>
        </w:trPr>
        <w:tc>
          <w:tcPr>
            <w:tcW w:w="1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38.6 %</w:t>
            </w:r>
          </w:p>
        </w:tc>
      </w:tr>
      <w:tr>
        <w:trPr>
          <w:trHeight w:val="26"/>
        </w:trPr>
        <w:tc>
          <w:tcPr>
            <w:tcW w:w="1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78"/>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25,757</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Location hold-per-day</w:t>
      </w:r>
    </w:p>
    <w:p>
      <w:pPr>
        <w:spacing w:after="0" w:line="197"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Location hold-per-day is calculated by dividing net gaming revenue in the period by the average number of locations. Then divide the calculated amount by the number of operational days. We utilize this metric to compare market and location performance on a normalized basis. The percent change in location hold-per-day is the underlying metric we use to determine the change in same-store sales.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our location hold-per-day in our primary locations for the three and six months ended:</w:t>
      </w:r>
    </w:p>
    <w:p>
      <w:pPr>
        <w:spacing w:after="0" w:line="219" w:lineRule="exact"/>
        <w:rPr>
          <w:sz w:val="20"/>
          <w:szCs w:val="20"/>
          <w:color w:val="auto"/>
        </w:rPr>
      </w:pPr>
    </w:p>
    <w:tbl>
      <w:tblPr>
        <w:tblLayout w:type="fixed"/>
        <w:tblInd w:w="2740" w:type="dxa"/>
        <w:tblCellMar>
          <w:top w:w="0" w:type="dxa"/>
          <w:left w:w="0" w:type="dxa"/>
          <w:bottom w:w="0" w:type="dxa"/>
          <w:right w:w="0" w:type="dxa"/>
        </w:tblCellMar>
      </w:tblPr>
      <w:tr>
        <w:trPr>
          <w:trHeight w:val="208"/>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center"/>
              <w:ind w:left="43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1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7"/>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1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w:t>
            </w:r>
          </w:p>
        </w:tc>
      </w:tr>
      <w:tr>
        <w:trPr>
          <w:trHeight w:val="26"/>
        </w:trPr>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w:t>
            </w:r>
          </w:p>
        </w:tc>
      </w:tr>
    </w:tbl>
    <w:p>
      <w:pPr>
        <w:spacing w:after="0" w:line="279" w:lineRule="exact"/>
        <w:rPr>
          <w:sz w:val="20"/>
          <w:szCs w:val="20"/>
          <w:color w:val="auto"/>
        </w:rPr>
      </w:pPr>
    </w:p>
    <w:tbl>
      <w:tblPr>
        <w:tblLayout w:type="fixed"/>
        <w:tblInd w:w="2740" w:type="dxa"/>
        <w:tblCellMar>
          <w:top w:w="0" w:type="dxa"/>
          <w:left w:w="0" w:type="dxa"/>
          <w:bottom w:w="0" w:type="dxa"/>
          <w:right w:w="0" w:type="dxa"/>
        </w:tblCellMar>
      </w:tblPr>
      <w:tr>
        <w:trPr>
          <w:trHeight w:val="208"/>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1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7"/>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1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center"/>
              <w:ind w:left="493"/>
              <w:spacing w:after="0"/>
              <w:rPr>
                <w:sz w:val="20"/>
                <w:szCs w:val="20"/>
                <w:color w:val="auto"/>
              </w:rPr>
            </w:pPr>
            <w:r>
              <w:rPr>
                <w:rFonts w:ascii="Times New Roman" w:cs="Times New Roman" w:eastAsia="Times New Roman" w:hAnsi="Times New Roman"/>
                <w:sz w:val="17"/>
                <w:szCs w:val="17"/>
                <w:color w:val="auto"/>
                <w:w w:val="98"/>
              </w:rPr>
              <w:t>(10)</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auto"/>
                <w:w w:val="93"/>
              </w:rPr>
              <w:t>28</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6"/>
        </w:trPr>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center"/>
              <w:ind w:left="493"/>
              <w:spacing w:after="0"/>
              <w:rPr>
                <w:sz w:val="20"/>
                <w:szCs w:val="20"/>
                <w:color w:val="auto"/>
              </w:rPr>
            </w:pPr>
            <w:r>
              <w:rPr>
                <w:rFonts w:ascii="Times New Roman" w:cs="Times New Roman" w:eastAsia="Times New Roman" w:hAnsi="Times New Roman"/>
                <w:sz w:val="17"/>
                <w:szCs w:val="17"/>
                <w:color w:val="auto"/>
                <w:w w:val="98"/>
              </w:rPr>
              <w:t>(15)</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auto"/>
                <w:w w:val="93"/>
              </w:rPr>
              <w:t>14</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97" w:lineRule="exact"/>
        <w:rPr>
          <w:sz w:val="20"/>
          <w:szCs w:val="20"/>
          <w:color w:val="auto"/>
        </w:rPr>
      </w:pPr>
    </w:p>
    <w:p>
      <w:pPr>
        <w:jc w:val="both"/>
        <w:ind w:firstLine="312"/>
        <w:spacing w:after="0" w:line="314" w:lineRule="auto"/>
        <w:rPr>
          <w:sz w:val="20"/>
          <w:szCs w:val="20"/>
          <w:color w:val="auto"/>
        </w:rPr>
      </w:pPr>
      <w:r>
        <w:rPr>
          <w:rFonts w:ascii="Times New Roman" w:cs="Times New Roman" w:eastAsia="Times New Roman" w:hAnsi="Times New Roman"/>
          <w:sz w:val="17"/>
          <w:szCs w:val="17"/>
          <w:color w:val="auto"/>
        </w:rPr>
        <w:t>Adjusted EBITDA and Adjusted net income are non-GAAP financial measures, but are key metrics management uses to monitor ongoing core operations. Adjusted EBITDA and Adjusted net income exclude the effects of certain non-cash items or represent certain nonrecurring items that are unrelated to core performance. Management believes these non-GAAP financial measures enhance the understanding of our underlying drivers of profitability, trends in our business, and facilitate company-to-company and period-to-period comparisons.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17"/>
          <w:szCs w:val="17"/>
          <w:color w:val="auto"/>
        </w:rPr>
        <w:t>is defined as net income plus:</w:t>
      </w:r>
    </w:p>
    <w:p>
      <w:pPr>
        <w:spacing w:after="0" w:line="93" w:lineRule="exact"/>
        <w:rPr>
          <w:sz w:val="20"/>
          <w:szCs w:val="20"/>
          <w:color w:val="auto"/>
        </w:rPr>
      </w:pPr>
    </w:p>
    <w:p>
      <w:pPr>
        <w:ind w:left="620" w:hanging="304"/>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intangible assets and route and customer acquisition costs</w:t>
      </w:r>
    </w:p>
    <w:p>
      <w:pPr>
        <w:spacing w:after="0" w:line="10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loss on change in fair value of contingent earnout shares</w:t>
      </w:r>
    </w:p>
    <w:p>
      <w:pPr>
        <w:spacing w:after="0" w:line="103" w:lineRule="exact"/>
        <w:rPr>
          <w:rFonts w:ascii="Times New Roman" w:cs="Times New Roman" w:eastAsia="Times New Roman" w:hAnsi="Times New Roman"/>
          <w:sz w:val="17"/>
          <w:szCs w:val="17"/>
          <w:color w:val="auto"/>
        </w:rPr>
      </w:pPr>
    </w:p>
    <w:p>
      <w:pPr>
        <w:ind w:left="620" w:hanging="304"/>
        <w:spacing w:after="0" w:line="335"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net which consists of (i) non-cash expenses including the remeasurement of contingent consideration liabilities, (ii) non-recurring lobbying and legal expenses related to distributed gaming expansion in current or prospective markets, and (iii) other non-recurring expenses</w:t>
      </w:r>
    </w:p>
    <w:p>
      <w:pPr>
        <w:ind w:left="620" w:hanging="304"/>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 of adjustments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17"/>
          <w:szCs w:val="17"/>
          <w:color w:val="auto"/>
        </w:rPr>
        <w:t>is defined as net income plus:</w:t>
      </w:r>
    </w:p>
    <w:p>
      <w:pPr>
        <w:spacing w:after="0" w:line="106" w:lineRule="exact"/>
        <w:rPr>
          <w:sz w:val="20"/>
          <w:szCs w:val="20"/>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intangible assets and route and customer acquisition costs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w:t>
      </w:r>
    </w:p>
    <w:p>
      <w:pPr>
        <w:spacing w:after="0" w:line="10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loss on change in fair value of contingent earnout shares</w:t>
      </w:r>
    </w:p>
    <w:p>
      <w:pPr>
        <w:spacing w:after="0" w:line="10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net</w:t>
      </w:r>
    </w:p>
    <w:p>
      <w:pPr>
        <w:spacing w:after="0" w:line="10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 of adjustments</w:t>
      </w:r>
    </w:p>
    <w:p>
      <w:pPr>
        <w:spacing w:after="0" w:line="10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of property and equipment</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net</w:t>
      </w:r>
    </w:p>
    <w:p>
      <w:pPr>
        <w:spacing w:after="0" w:line="10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markets which reflects the results, on an Adjusted EBITDA basis, for non-core jurisdictions where our operations are developing</w:t>
      </w:r>
    </w:p>
    <w:p>
      <w:pPr>
        <w:spacing w:after="0" w:line="103" w:lineRule="exact"/>
        <w:rPr>
          <w:rFonts w:ascii="Times New Roman" w:cs="Times New Roman" w:eastAsia="Times New Roman" w:hAnsi="Times New Roman"/>
          <w:sz w:val="17"/>
          <w:szCs w:val="17"/>
          <w:color w:val="auto"/>
        </w:rPr>
      </w:pPr>
    </w:p>
    <w:p>
      <w:pPr>
        <w:ind w:left="1100" w:hanging="237"/>
        <w:spacing w:after="0" w:line="335" w:lineRule="auto"/>
        <w:tabs>
          <w:tab w:leader="none" w:pos="110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Markets are no longer considered emerging when we have installed or acquired at least 500 gaming terminals in the jurisdiction, or when 24 months have elapsed from the date we first install or acquire gaming terminals in the jurisdiction, whichever occurs first</w:t>
      </w:r>
    </w:p>
    <w:p>
      <w:pPr>
        <w:ind w:left="1100" w:hanging="237"/>
        <w:spacing w:after="0"/>
        <w:tabs>
          <w:tab w:leader="none" w:pos="11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view Pennsylvania as an emerging market</w:t>
      </w:r>
    </w:p>
    <w:p>
      <w:pPr>
        <w:spacing w:after="0" w:line="116" w:lineRule="exact"/>
        <w:rPr>
          <w:rFonts w:ascii="Times New Roman" w:cs="Times New Roman" w:eastAsia="Times New Roman" w:hAnsi="Times New Roman"/>
          <w:sz w:val="17"/>
          <w:szCs w:val="17"/>
          <w:color w:val="auto"/>
        </w:rPr>
      </w:pPr>
    </w:p>
    <w:p>
      <w:pPr>
        <w:ind w:left="1100" w:hanging="237"/>
        <w:spacing w:after="0"/>
        <w:tabs>
          <w:tab w:leader="none" w:pos="11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January 2024, Iowa was considered an emerging market</w:t>
      </w:r>
    </w:p>
    <w:p>
      <w:pPr>
        <w:spacing w:after="0" w:line="103" w:lineRule="exact"/>
        <w:rPr>
          <w:rFonts w:ascii="Times New Roman" w:cs="Times New Roman" w:eastAsia="Times New Roman" w:hAnsi="Times New Roman"/>
          <w:sz w:val="17"/>
          <w:szCs w:val="17"/>
          <w:color w:val="auto"/>
        </w:rPr>
      </w:pPr>
    </w:p>
    <w:p>
      <w:pPr>
        <w:ind w:left="1100" w:hanging="237"/>
        <w:spacing w:after="0"/>
        <w:tabs>
          <w:tab w:leader="none" w:pos="11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April 2023, Nebraska was considered an emerging market</w:t>
      </w:r>
    </w:p>
    <w:p>
      <w:pPr>
        <w:spacing w:after="0" w:line="10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800"/>
        </w:trPr>
        <w:tc>
          <w:tcPr>
            <w:tcW w:w="5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 and Adjusted EBITDA</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202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1160" w:type="dxa"/>
            <w:vAlign w:val="bottom"/>
          </w:tcPr>
          <w:p>
            <w:pPr>
              <w:spacing w:after="0"/>
              <w:rPr>
                <w:sz w:val="19"/>
                <w:szCs w:val="19"/>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Pr>
          <w:p>
            <w:pPr>
              <w:spacing w:after="0"/>
              <w:rPr>
                <w:sz w:val="19"/>
                <w:szCs w:val="19"/>
                <w:color w:val="auto"/>
              </w:rPr>
            </w:pPr>
          </w:p>
        </w:tc>
      </w:tr>
      <w:tr>
        <w:trPr>
          <w:trHeight w:val="26"/>
        </w:trPr>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7"/>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84"/>
        </w:trPr>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60"/>
        </w:trPr>
        <w:tc>
          <w:tcPr>
            <w:tcW w:w="1160" w:type="dxa"/>
            <w:vAlign w:val="bottom"/>
          </w:tcPr>
          <w:p>
            <w:pPr>
              <w:spacing w:after="0"/>
              <w:rPr>
                <w:sz w:val="22"/>
                <w:szCs w:val="22"/>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14,586</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9,983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22,002</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19,165</w:t>
            </w:r>
          </w:p>
        </w:tc>
      </w:tr>
      <w:tr>
        <w:trPr>
          <w:trHeight w:val="234"/>
        </w:trPr>
        <w:tc>
          <w:tcPr>
            <w:tcW w:w="1160" w:type="dxa"/>
            <w:vAlign w:val="bottom"/>
          </w:tcPr>
          <w:p>
            <w:pPr>
              <w:spacing w:after="0"/>
              <w:rPr>
                <w:sz w:val="20"/>
                <w:szCs w:val="20"/>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6"/>
        </w:trPr>
        <w:tc>
          <w:tcPr>
            <w:tcW w:w="116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 and route and customer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53"/>
        </w:trPr>
        <w:tc>
          <w:tcPr>
            <w:tcW w:w="1160" w:type="dxa"/>
            <w:vAlign w:val="bottom"/>
          </w:tcPr>
          <w:p>
            <w:pPr>
              <w:spacing w:after="0"/>
              <w:rPr>
                <w:sz w:val="21"/>
                <w:szCs w:val="21"/>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costs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5,589</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5,284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11,027</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10,526</w:t>
            </w:r>
          </w:p>
        </w:tc>
      </w:tr>
      <w:tr>
        <w:trPr>
          <w:trHeight w:val="234"/>
        </w:trPr>
        <w:tc>
          <w:tcPr>
            <w:tcW w:w="1160" w:type="dxa"/>
            <w:vAlign w:val="bottom"/>
          </w:tcPr>
          <w:p>
            <w:pPr>
              <w:spacing w:after="0"/>
              <w:rPr>
                <w:sz w:val="20"/>
                <w:szCs w:val="20"/>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2,567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w:t>
            </w:r>
          </w:p>
        </w:tc>
      </w:tr>
      <w:tr>
        <w:trPr>
          <w:trHeight w:val="26"/>
        </w:trPr>
        <w:tc>
          <w:tcPr>
            <w:tcW w:w="116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change in fair value of contingent earnout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3"/>
        </w:trPr>
        <w:tc>
          <w:tcPr>
            <w:tcW w:w="1160" w:type="dxa"/>
            <w:vAlign w:val="bottom"/>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(4,742)</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4,836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9,438</w:t>
            </w:r>
          </w:p>
        </w:tc>
      </w:tr>
      <w:tr>
        <w:trPr>
          <w:trHeight w:val="234"/>
        </w:trPr>
        <w:tc>
          <w:tcPr>
            <w:tcW w:w="1160" w:type="dxa"/>
            <w:vAlign w:val="bottom"/>
          </w:tcPr>
          <w:p>
            <w:pPr>
              <w:spacing w:after="0"/>
              <w:rPr>
                <w:sz w:val="20"/>
                <w:szCs w:val="20"/>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expenses, net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3,324</w:t>
            </w:r>
          </w:p>
        </w:tc>
      </w:tr>
      <w:tr>
        <w:trPr>
          <w:trHeight w:val="26"/>
        </w:trPr>
        <w:tc>
          <w:tcPr>
            <w:tcW w:w="116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0"/>
        </w:trPr>
        <w:tc>
          <w:tcPr>
            <w:tcW w:w="1160" w:type="dxa"/>
            <w:vAlign w:val="bottom"/>
          </w:tcPr>
          <w:p>
            <w:pPr>
              <w:spacing w:after="0"/>
              <w:rPr>
                <w:sz w:val="22"/>
                <w:szCs w:val="22"/>
                <w:color w:val="auto"/>
              </w:rPr>
            </w:pP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of 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(7,453)</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(5,209)</w:t>
            </w:r>
          </w:p>
        </w:tc>
      </w:tr>
      <w:tr>
        <w:trPr>
          <w:trHeight w:val="227"/>
        </w:trPr>
        <w:tc>
          <w:tcPr>
            <w:tcW w:w="1160" w:type="dxa"/>
            <w:vAlign w:val="bottom"/>
          </w:tcPr>
          <w:p>
            <w:pPr>
              <w:spacing w:after="0"/>
              <w:rPr>
                <w:sz w:val="19"/>
                <w:szCs w:val="19"/>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21,383</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20,435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40,888</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41,499</w:t>
            </w:r>
          </w:p>
        </w:tc>
      </w:tr>
      <w:tr>
        <w:trPr>
          <w:trHeight w:val="26"/>
        </w:trPr>
        <w:tc>
          <w:tcPr>
            <w:tcW w:w="1160" w:type="dxa"/>
            <w:vAlign w:val="bottom"/>
          </w:tcPr>
          <w:p>
            <w:pPr>
              <w:spacing w:after="0"/>
              <w:rPr>
                <w:sz w:val="2"/>
                <w:szCs w:val="2"/>
                <w:color w:val="auto"/>
              </w:rPr>
            </w:pPr>
          </w:p>
        </w:tc>
        <w:tc>
          <w:tcPr>
            <w:tcW w:w="43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0"/>
        </w:trPr>
        <w:tc>
          <w:tcPr>
            <w:tcW w:w="1160" w:type="dxa"/>
            <w:vAlign w:val="bottom"/>
          </w:tcPr>
          <w:p>
            <w:pPr>
              <w:spacing w:after="0"/>
              <w:rPr>
                <w:sz w:val="20"/>
                <w:szCs w:val="20"/>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9,446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18,509</w:t>
            </w:r>
          </w:p>
        </w:tc>
      </w:tr>
      <w:tr>
        <w:trPr>
          <w:trHeight w:val="260"/>
        </w:trPr>
        <w:tc>
          <w:tcPr>
            <w:tcW w:w="1160" w:type="dxa"/>
            <w:vAlign w:val="bottom"/>
          </w:tcPr>
          <w:p>
            <w:pPr>
              <w:spacing w:after="0"/>
              <w:rPr>
                <w:sz w:val="22"/>
                <w:szCs w:val="22"/>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8,906</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8,243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17,566</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16,131</w:t>
            </w:r>
          </w:p>
        </w:tc>
      </w:tr>
      <w:tr>
        <w:trPr>
          <w:trHeight w:val="260"/>
        </w:trPr>
        <w:tc>
          <w:tcPr>
            <w:tcW w:w="1160" w:type="dxa"/>
            <w:vAlign w:val="bottom"/>
          </w:tcPr>
          <w:p>
            <w:pPr>
              <w:spacing w:after="0"/>
              <w:rPr>
                <w:sz w:val="22"/>
                <w:szCs w:val="22"/>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markets</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60"/>
        </w:trPr>
        <w:tc>
          <w:tcPr>
            <w:tcW w:w="1160" w:type="dxa"/>
            <w:vAlign w:val="bottom"/>
          </w:tcPr>
          <w:p>
            <w:pPr>
              <w:spacing w:after="0"/>
              <w:rPr>
                <w:sz w:val="22"/>
                <w:szCs w:val="22"/>
                <w:color w:val="auto"/>
              </w:rPr>
            </w:pPr>
          </w:p>
        </w:tc>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8,544</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8,410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16,152</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17,311</w:t>
            </w:r>
          </w:p>
        </w:tc>
      </w:tr>
      <w:tr>
        <w:trPr>
          <w:trHeight w:val="278"/>
        </w:trPr>
        <w:tc>
          <w:tcPr>
            <w:tcW w:w="1160" w:type="dxa"/>
            <w:vAlign w:val="bottom"/>
          </w:tcPr>
          <w:p>
            <w:pPr>
              <w:spacing w:after="0"/>
              <w:rPr>
                <w:sz w:val="23"/>
                <w:szCs w:val="23"/>
                <w:color w:val="auto"/>
              </w:rPr>
            </w:pP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49,665</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46,612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95,912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92,730</w:t>
            </w:r>
          </w:p>
        </w:tc>
      </w:tr>
      <w:tr>
        <w:trPr>
          <w:trHeight w:val="20"/>
        </w:trPr>
        <w:tc>
          <w:tcPr>
            <w:tcW w:w="116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312"/>
        <w:spacing w:after="0" w:line="330" w:lineRule="auto"/>
        <w:rPr>
          <w:sz w:val="20"/>
          <w:szCs w:val="20"/>
          <w:color w:val="auto"/>
        </w:rPr>
      </w:pPr>
      <w:r>
        <w:rPr>
          <w:rFonts w:ascii="Times New Roman" w:cs="Times New Roman" w:eastAsia="Times New Roman" w:hAnsi="Times New Roman"/>
          <w:sz w:val="17"/>
          <w:szCs w:val="17"/>
          <w:color w:val="auto"/>
        </w:rPr>
        <w:t>Adjusted EBITDA for the three months ended June 30, 2024, was $49.7 million, an increase of $3.1 million, or 6.5%, compared to the prior-year period. Adjusted EBITDA for the six months ended June 30, 2024, was $95.9 million, an increase of $3.2 million, or 3.4%, compared to the prior-year period. The increase for both periods was attributable to an increase in the number of locations and gaming terminals.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97"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We believe that our cash and cash equivalents, cash flows from operations and borrowing availability under the Credit Agreement (as defined below) will be sufficient to meet our capital requirements for the next twelve months. Our primary short-term cash needs are paying operating expenses and contingent earnout payments, purchases of property and equipment, servicing outstanding indebtedness, and funding our Board of Directors approved share repurchase program and near term acquisitions. As of June 30, 2024, we had $254.9 million in cash and cash equivalents.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Secured Credit Facility</w:t>
      </w:r>
    </w:p>
    <w:p>
      <w:pPr>
        <w:spacing w:after="0" w:line="184" w:lineRule="exact"/>
        <w:rPr>
          <w:sz w:val="20"/>
          <w:szCs w:val="20"/>
          <w:color w:val="auto"/>
        </w:rPr>
      </w:pPr>
    </w:p>
    <w:p>
      <w:pPr>
        <w:jc w:val="both"/>
        <w:ind w:firstLine="312"/>
        <w:spacing w:after="0" w:line="330" w:lineRule="auto"/>
        <w:rPr>
          <w:sz w:val="20"/>
          <w:szCs w:val="20"/>
          <w:color w:val="auto"/>
        </w:rPr>
      </w:pPr>
      <w:r>
        <w:rPr>
          <w:rFonts w:ascii="Times New Roman" w:cs="Times New Roman" w:eastAsia="Times New Roman" w:hAnsi="Times New Roman"/>
          <w:sz w:val="17"/>
          <w:szCs w:val="17"/>
          <w:color w:val="auto"/>
        </w:rPr>
        <w:t>We have entered into a credit agreement (as amended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91" w:lineRule="exact"/>
        <w:rPr>
          <w:sz w:val="20"/>
          <w:szCs w:val="20"/>
          <w:color w:val="auto"/>
        </w:rPr>
      </w:pPr>
    </w:p>
    <w:p>
      <w:pPr>
        <w:ind w:left="620" w:hanging="304"/>
        <w:spacing w:after="0" w:line="341"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 million revolving credit facility, including a letter of credit facility with a $10.0 million sublimit and a swing line facility with a $10.0 million sublimit,</w:t>
      </w:r>
    </w:p>
    <w:p>
      <w:pPr>
        <w:spacing w:after="0" w:line="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$350.0 million initial term loan facility, and</w:t>
      </w:r>
    </w:p>
    <w:p>
      <w:pPr>
        <w:spacing w:after="0" w:line="207"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$400.0 million delayed draw term loan facility, which is available for borrowing until October 22, 2024.</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maturity date of the Credit Agreement is October 22, 2026.</w:t>
      </w:r>
    </w:p>
    <w:p>
      <w:pPr>
        <w:spacing w:after="0" w:line="208" w:lineRule="exact"/>
        <w:rPr>
          <w:sz w:val="20"/>
          <w:szCs w:val="20"/>
          <w:color w:val="auto"/>
        </w:rPr>
      </w:pPr>
    </w:p>
    <w:p>
      <w:pPr>
        <w:ind w:firstLine="312"/>
        <w:spacing w:after="0" w:line="341" w:lineRule="auto"/>
        <w:rPr>
          <w:sz w:val="20"/>
          <w:szCs w:val="20"/>
          <w:color w:val="auto"/>
        </w:rPr>
      </w:pPr>
      <w:r>
        <w:rPr>
          <w:rFonts w:ascii="Times New Roman" w:cs="Times New Roman" w:eastAsia="Times New Roman" w:hAnsi="Times New Roman"/>
          <w:sz w:val="17"/>
          <w:szCs w:val="17"/>
          <w:color w:val="auto"/>
        </w:rPr>
        <w:t>As of June 30, 2024, there remained $267 million of availability under the Credit Agreement and the weighted-average interest rate on our borrowings under the Credit Agreement was approximately 7.7%.</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were in compliance with all debt covenants under the Credit Agreement as of June 30, 2024 and expect to remain in compliance for the next 12 months.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caplets</w:t>
      </w:r>
    </w:p>
    <w:p>
      <w:pPr>
        <w:spacing w:after="0" w:line="197" w:lineRule="exact"/>
        <w:rPr>
          <w:sz w:val="20"/>
          <w:szCs w:val="20"/>
          <w:color w:val="auto"/>
        </w:rPr>
      </w:pPr>
    </w:p>
    <w:p>
      <w:pPr>
        <w:jc w:val="both"/>
        <w:ind w:firstLine="312"/>
        <w:spacing w:after="0" w:line="330" w:lineRule="auto"/>
        <w:rPr>
          <w:sz w:val="20"/>
          <w:szCs w:val="20"/>
          <w:color w:val="auto"/>
        </w:rPr>
      </w:pPr>
      <w:r>
        <w:rPr>
          <w:rFonts w:ascii="Times New Roman" w:cs="Times New Roman" w:eastAsia="Times New Roman" w:hAnsi="Times New Roman"/>
          <w:sz w:val="17"/>
          <w:szCs w:val="17"/>
          <w:color w:val="auto"/>
        </w:rPr>
        <w:t>We manage our exposure to some of our interest rate risk through the use of interest rate caplets, which are derivative financial instruments. On January 12, 2022, we hedged the variability of the cash flows attributable to the changes in the 1-month LIBOR/SOFR interest rate on the first $300 million of the term loan under the Credit Agreement by entering into a 4-year series of 48 deferred premium caplets (“caplets”).</w:t>
      </w:r>
    </w:p>
    <w:p>
      <w:pPr>
        <w:spacing w:after="0" w:line="104" w:lineRule="exact"/>
        <w:rPr>
          <w:sz w:val="20"/>
          <w:szCs w:val="20"/>
          <w:color w:val="auto"/>
        </w:rPr>
      </w:pPr>
    </w:p>
    <w:p>
      <w:pPr>
        <w:jc w:val="both"/>
        <w:ind w:firstLine="312"/>
        <w:spacing w:after="0" w:line="314" w:lineRule="auto"/>
        <w:rPr>
          <w:sz w:val="20"/>
          <w:szCs w:val="20"/>
          <w:color w:val="auto"/>
        </w:rPr>
      </w:pPr>
      <w:r>
        <w:rPr>
          <w:rFonts w:ascii="Times New Roman" w:cs="Times New Roman" w:eastAsia="Times New Roman" w:hAnsi="Times New Roman"/>
          <w:sz w:val="17"/>
          <w:szCs w:val="17"/>
          <w:color w:val="auto"/>
        </w:rPr>
        <w:t>We recognized an unrealized loss, net of taxes, on the change in fair value of the caplets of $1.1 million and an unrealized gain of less than $0.1 million for the three and six months ended June 30, 2024, respectively. In comparison, we recognized an unrealized gain of $2.1 million and an unrealized loss of $0.1 million, net of taxes, for the three and six months ended June 30, 2023, respectively. We also recognized interest income on the caplets of $2.5 million and $5.1 million for the three and six months ended June 30, 2024. In comparison, we recognized interest income on the caplets of $2.3 million and $4.2 million for the three and six months ended June 30, 2023, respectively. These amounts are reflected in interest expense, net in the condensed consolidated statements of operations and other comprehensive income.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p>
      <w:pPr>
        <w:spacing w:after="0" w:line="54" w:lineRule="exact"/>
        <w:rPr>
          <w:sz w:val="20"/>
          <w:szCs w:val="20"/>
          <w:color w:val="auto"/>
        </w:rPr>
      </w:pPr>
    </w:p>
    <w:tbl>
      <w:tblPr>
        <w:tblLayout w:type="fixed"/>
        <w:tblInd w:w="1520" w:type="dxa"/>
        <w:tblCellMar>
          <w:top w:w="0" w:type="dxa"/>
          <w:left w:w="0" w:type="dxa"/>
          <w:bottom w:w="0" w:type="dxa"/>
          <w:right w:w="0" w:type="dxa"/>
        </w:tblCellMar>
      </w:tblPr>
      <w:tr>
        <w:trPr>
          <w:trHeight w:val="208"/>
        </w:trPr>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9"/>
                <w:szCs w:val="19"/>
                <w:color w:val="auto"/>
              </w:rPr>
            </w:pPr>
          </w:p>
        </w:tc>
        <w:tc>
          <w:tcPr>
            <w:tcW w:w="1300" w:type="dxa"/>
            <w:vAlign w:val="bottom"/>
            <w:gridSpan w:val="3"/>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3"/>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40"/>
        </w:trPr>
        <w:tc>
          <w:tcPr>
            <w:tcW w:w="3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40"/>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57,614</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63,845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60"/>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(69,324)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rPr>
              <w:t>(16,245)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(53,079)</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326.7 %</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activities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(38,279)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43,301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113.1 %</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operating activities</w:t>
      </w:r>
    </w:p>
    <w:p>
      <w:pPr>
        <w:spacing w:after="0" w:line="197" w:lineRule="exact"/>
        <w:rPr>
          <w:sz w:val="20"/>
          <w:szCs w:val="20"/>
          <w:color w:val="auto"/>
        </w:rPr>
      </w:pPr>
    </w:p>
    <w:p>
      <w:pPr>
        <w:jc w:val="both"/>
        <w:ind w:firstLine="312"/>
        <w:spacing w:after="0" w:line="350" w:lineRule="auto"/>
        <w:rPr>
          <w:sz w:val="20"/>
          <w:szCs w:val="20"/>
          <w:color w:val="auto"/>
        </w:rPr>
      </w:pPr>
      <w:r>
        <w:rPr>
          <w:rFonts w:ascii="Times New Roman" w:cs="Times New Roman" w:eastAsia="Times New Roman" w:hAnsi="Times New Roman"/>
          <w:sz w:val="17"/>
          <w:szCs w:val="17"/>
          <w:color w:val="auto"/>
        </w:rPr>
        <w:t>For the six months ended June 30, 2024, net cash provided by operating activities was $57.6 million, a decrease of $6.2 million compared to the prior-year period due primarily to lower deferred income taxes and lower working capital adjustments, partially offset by higher remeasurements on contingent consideration.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249"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For the six months ended June 30, 2024, net cash used in investing activities was $69.3 million, an increase in cash used of $53.1 million compared to the prior-year period. The increase in cash used was primarily attributable to more cash used for business and asset acquisitions, deposits paid against a portion of the purchase price on a pending business acquisition as well as an investment in an equity interest, partially offset by the proceeds from the settlement of the convertible notes in the prior year and lower purchases of property and equipment. We anticipate our capital expenditures will be approximately $55–65 million in 2024.</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(used in) financing activities</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For the six months ended June 30, 2024, net cash provided by financing activities was $5.0 million, compared to cash used in financing activities of $38.3 million in the prior-year period. The change reflects an increase in cash due to higher borrowings, partially offset by higher stock repurchases.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In preparing our condensed consolidated financial statements, we applied the same critical accounting policies as described in our Annual Report on Form 10-K for the year ended December 31, 2023, that affect judgments and estimates of amounts recorded for certain assets, liabilities, revenues,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97" w:lineRule="exact"/>
        <w:rPr>
          <w:sz w:val="20"/>
          <w:szCs w:val="20"/>
          <w:color w:val="auto"/>
        </w:rPr>
      </w:pPr>
    </w:p>
    <w:p>
      <w:pPr>
        <w:jc w:val="both"/>
        <w:ind w:firstLine="312"/>
        <w:spacing w:after="0" w:line="330" w:lineRule="auto"/>
        <w:rPr>
          <w:sz w:val="20"/>
          <w:szCs w:val="20"/>
          <w:color w:val="auto"/>
        </w:rPr>
      </w:pPr>
      <w:r>
        <w:rPr>
          <w:rFonts w:ascii="Times New Roman" w:cs="Times New Roman" w:eastAsia="Times New Roman" w:hAnsi="Times New Roman"/>
          <w:sz w:val="17"/>
          <w:szCs w:val="17"/>
          <w:color w:val="auto"/>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Holidays, vacation seasons, and sporting events may also cause our results to fluctuate.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4"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Market risk represents the risk of loss that may impact our financial position due to adverse changes in financial market prices and rates. Market risk exposure is primarily the result of fluctuations in interest rates.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84" w:lineRule="exact"/>
        <w:rPr>
          <w:sz w:val="20"/>
          <w:szCs w:val="20"/>
          <w:color w:val="auto"/>
        </w:rPr>
      </w:pPr>
    </w:p>
    <w:p>
      <w:pPr>
        <w:jc w:val="both"/>
        <w:ind w:firstLine="312"/>
        <w:spacing w:after="0" w:line="314" w:lineRule="auto"/>
        <w:rPr>
          <w:sz w:val="20"/>
          <w:szCs w:val="20"/>
          <w:color w:val="auto"/>
        </w:rPr>
      </w:pPr>
      <w:r>
        <w:rPr>
          <w:rFonts w:ascii="Times New Roman" w:cs="Times New Roman" w:eastAsia="Times New Roman" w:hAnsi="Times New Roman"/>
          <w:sz w:val="17"/>
          <w:szCs w:val="17"/>
          <w:color w:val="auto"/>
        </w:rPr>
        <w:t>We are exposed to interest rate risk in the ordinary course of business. Borrowings under our senior secured credit facility were $568.1 million as of June 30, 2024. If the underlying interest rates were to increase by 1.0%, or 100 basis points, the increase in interest expense on our floating rate debt would negatively impact future earnings and cash flows by approximately $2.7 million annually, assuming the balance outstanding under the credit facility remained at $568.1 million. In order to protect against higher interest rates in the future on our credit facility, we hedged the variability of the cash flows attributable to the changes in the 1-month LIBOR/SOFR interest rate on the first $300 million of the term loan by entering into a 4-year series of 48 deferred premium caplets (“caplets”) on January 12, 2022. The caplets mature at the end of each month and are used to protect our exposure as the 1-month LIBOR/SOFR interest rate exceeded 2%.</w:t>
      </w:r>
    </w:p>
    <w:p>
      <w:pPr>
        <w:spacing w:after="0" w:line="352"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Cash and cash equivalents are held in cash vaults, highly liquid checking and money market accounts, gaming terminals, redemption terminals, ATMs, and amusement equipment. As a result, these amounts are not materially affected by changes in interest rates.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36" w:lineRule="exact"/>
        <w:rPr>
          <w:sz w:val="20"/>
          <w:szCs w:val="20"/>
          <w:color w:val="auto"/>
        </w:rPr>
      </w:pPr>
    </w:p>
    <w:p>
      <w:pPr>
        <w:jc w:val="both"/>
        <w:ind w:firstLine="312"/>
        <w:spacing w:after="0" w:line="316" w:lineRule="auto"/>
        <w:rPr>
          <w:sz w:val="20"/>
          <w:szCs w:val="20"/>
          <w:color w:val="auto"/>
        </w:rPr>
      </w:pPr>
      <w:r>
        <w:rPr>
          <w:rFonts w:ascii="Times New Roman" w:cs="Times New Roman" w:eastAsia="Times New Roman" w:hAnsi="Times New Roman"/>
          <w:sz w:val="17"/>
          <w:szCs w:val="17"/>
          <w:color w:val="auto"/>
        </w:rPr>
        <w:t>In connection with the filing of this Form 10-Q for the quarter ended June 30, 2024,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our disclosure controls and procedures were effective at the reasonable assurance level as of June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36"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There were no changes during the quarter ended June 30, 2024,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97"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to the discussion in Note 16, Commitments and Contingencies, of the condensed consolidated financial statements included in Part I, Item 1 of this Quarterly Report on Form 10-Q.</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7" w:lineRule="exact"/>
        <w:rPr>
          <w:sz w:val="20"/>
          <w:szCs w:val="20"/>
          <w:color w:val="auto"/>
        </w:rPr>
      </w:pPr>
    </w:p>
    <w:p>
      <w:pPr>
        <w:jc w:val="both"/>
        <w:ind w:firstLine="312"/>
        <w:spacing w:after="0" w:line="311" w:lineRule="auto"/>
        <w:rPr>
          <w:sz w:val="20"/>
          <w:szCs w:val="20"/>
          <w:color w:val="auto"/>
        </w:rPr>
      </w:pPr>
      <w:r>
        <w:rPr>
          <w:rFonts w:ascii="Times New Roman" w:cs="Times New Roman" w:eastAsia="Times New Roman" w:hAnsi="Times New Roman"/>
          <w:sz w:val="17"/>
          <w:szCs w:val="17"/>
          <w:color w:val="auto"/>
        </w:rPr>
        <w:t>An investment in our Class A-1 common stock involves a high degree of risk. You should carefully consider the risk factors described under Part I - Item 1A. “Risk Factors” in our Annual Report on Form 10-K for the year ended December 31, 2023 and our condensed consolidated financial statements and related notes contained in this Quarterly Report on Form 10-Q in analyzing an investment in our Class A-1 common stock. If any such risks occur, our business, financial condition, and results of operations would likely suffer, the trading price of our Class A-1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spacing w:after="0" w:line="120" w:lineRule="exact"/>
        <w:rPr>
          <w:sz w:val="20"/>
          <w:szCs w:val="20"/>
          <w:color w:val="auto"/>
        </w:rPr>
      </w:pPr>
    </w:p>
    <w:p>
      <w:pPr>
        <w:jc w:val="both"/>
        <w:ind w:firstLine="312"/>
        <w:spacing w:after="0" w:line="341" w:lineRule="auto"/>
        <w:rPr>
          <w:sz w:val="20"/>
          <w:szCs w:val="20"/>
          <w:color w:val="auto"/>
        </w:rPr>
      </w:pPr>
      <w:r>
        <w:rPr>
          <w:rFonts w:ascii="Times New Roman" w:cs="Times New Roman" w:eastAsia="Times New Roman" w:hAnsi="Times New Roman"/>
          <w:sz w:val="17"/>
          <w:szCs w:val="17"/>
          <w:color w:val="auto"/>
        </w:rPr>
        <w:t>There have been no material changes in the risk factors described in Item 1A. “Risk Factors” in our Annual Report on Form 10-K for the year ended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3" w:lineRule="exact"/>
        <w:rPr>
          <w:sz w:val="20"/>
          <w:szCs w:val="20"/>
          <w:color w:val="auto"/>
        </w:rPr>
      </w:pPr>
    </w:p>
    <w:p>
      <w:pPr>
        <w:jc w:val="both"/>
        <w:ind w:firstLine="312"/>
        <w:spacing w:after="0" w:line="312" w:lineRule="auto"/>
        <w:rPr>
          <w:sz w:val="20"/>
          <w:szCs w:val="20"/>
          <w:color w:val="auto"/>
        </w:rPr>
      </w:pPr>
      <w:r>
        <w:rPr>
          <w:rFonts w:ascii="Times New Roman" w:cs="Times New Roman" w:eastAsia="Times New Roman" w:hAnsi="Times New Roman"/>
          <w:sz w:val="17"/>
          <w:szCs w:val="17"/>
          <w:color w:val="auto"/>
        </w:rPr>
        <w:t>On November 22, 2021, our Board of Directors approved a share repurchase program of up to $200 million shares of our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us to acquire any particular amount of shares, and the repurchase program may be suspended or discontinued at any time at our discretion.</w:t>
      </w:r>
    </w:p>
    <w:p>
      <w:pPr>
        <w:spacing w:after="0" w:line="186" w:lineRule="exact"/>
        <w:rPr>
          <w:sz w:val="20"/>
          <w:szCs w:val="20"/>
          <w:color w:val="auto"/>
        </w:rPr>
      </w:pPr>
    </w:p>
    <w:p>
      <w:pPr>
        <w:jc w:val="both"/>
        <w:ind w:firstLine="312"/>
        <w:spacing w:after="0" w:line="322" w:lineRule="auto"/>
        <w:rPr>
          <w:sz w:val="20"/>
          <w:szCs w:val="20"/>
          <w:color w:val="auto"/>
        </w:rPr>
      </w:pPr>
      <w:r>
        <w:rPr>
          <w:rFonts w:ascii="Times New Roman" w:cs="Times New Roman" w:eastAsia="Times New Roman" w:hAnsi="Times New Roman"/>
          <w:sz w:val="17"/>
          <w:szCs w:val="17"/>
          <w:color w:val="auto"/>
        </w:rPr>
        <w:t>All share repurchases were made under our publicly announced program, and there are no other programs under which we repurchase shares. Repurchases under our program, during applicable restricted trading windows that we periodically establish, are executed under the terms of a pre-set trading plan meeting the requirements of Rule 10b5-1(c)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a summary of share repurchases made during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520" w:type="dxa"/>
        <w:tblCellMar>
          <w:top w:w="0" w:type="dxa"/>
          <w:left w:w="0" w:type="dxa"/>
          <w:bottom w:w="0" w:type="dxa"/>
          <w:right w:w="0" w:type="dxa"/>
        </w:tblCellMar>
      </w:tblPr>
      <w:tr>
        <w:trPr>
          <w:trHeight w:val="19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60" w:type="dxa"/>
            <w:vAlign w:val="bottom"/>
            <w:vMerge w:val="restart"/>
          </w:tcPr>
          <w:p>
            <w:pPr>
              <w:spacing w:after="0"/>
              <w:rPr>
                <w:sz w:val="17"/>
                <w:szCs w:val="17"/>
                <w:color w:val="auto"/>
              </w:rPr>
            </w:pP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Average price paid</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4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0" w:type="dxa"/>
            <w:vAlign w:val="bottom"/>
          </w:tcPr>
          <w:p>
            <w:pPr>
              <w:spacing w:after="0"/>
              <w:rPr>
                <w:sz w:val="1"/>
                <w:szCs w:val="1"/>
                <w:color w:val="auto"/>
              </w:rPr>
            </w:pPr>
          </w:p>
        </w:tc>
      </w:tr>
      <w:tr>
        <w:trPr>
          <w:trHeight w:val="50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1, 2024 - April 30,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86,777</w:t>
            </w:r>
          </w:p>
        </w:tc>
        <w:tc>
          <w:tcPr>
            <w:tcW w:w="1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52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May 1, 2024 - May 31,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338,117</w:t>
            </w:r>
          </w:p>
        </w:tc>
        <w:tc>
          <w:tcPr>
            <w:tcW w:w="1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$9.97</w:t>
            </w:r>
          </w:p>
        </w:tc>
        <w:tc>
          <w:tcPr>
            <w:tcW w:w="0" w:type="dxa"/>
            <w:vAlign w:val="bottom"/>
          </w:tcPr>
          <w:p>
            <w:pPr>
              <w:spacing w:after="0"/>
              <w:rPr>
                <w:sz w:val="1"/>
                <w:szCs w:val="1"/>
                <w:color w:val="auto"/>
              </w:rPr>
            </w:pPr>
          </w:p>
        </w:tc>
      </w:tr>
      <w:tr>
        <w:trPr>
          <w:trHeight w:val="52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1, 2024 - June 30, 2024</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481,038</w:t>
            </w: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0" w:type="dxa"/>
            <w:vAlign w:val="bottom"/>
          </w:tcPr>
          <w:p>
            <w:pPr>
              <w:spacing w:after="0"/>
              <w:rPr>
                <w:sz w:val="1"/>
                <w:szCs w:val="1"/>
                <w:color w:val="auto"/>
              </w:rPr>
            </w:pPr>
          </w:p>
        </w:tc>
      </w:tr>
      <w:tr>
        <w:trPr>
          <w:trHeight w:val="47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905,932</w:t>
            </w:r>
          </w:p>
        </w:tc>
        <w:tc>
          <w:tcPr>
            <w:tcW w:w="1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$10.16</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-1023620</wp:posOffset>
            </wp:positionV>
            <wp:extent cx="5410835" cy="165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10835" cy="165100"/>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-693420</wp:posOffset>
            </wp:positionV>
            <wp:extent cx="5410835" cy="165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10835" cy="165100"/>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-362585</wp:posOffset>
            </wp:positionV>
            <wp:extent cx="5410835" cy="165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10835" cy="165100"/>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-1353820</wp:posOffset>
            </wp:positionV>
            <wp:extent cx="5410835" cy="165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10835" cy="1651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Maximum</w:t>
      </w:r>
    </w:p>
    <w:p>
      <w:pPr>
        <w:spacing w:after="0" w:line="9" w:lineRule="exact"/>
        <w:rPr>
          <w:sz w:val="20"/>
          <w:szCs w:val="20"/>
          <w:color w:val="auto"/>
        </w:rPr>
      </w:pPr>
    </w:p>
    <w:p>
      <w:pPr>
        <w:jc w:val="center"/>
        <w:ind w:left="20" w:right="1240"/>
        <w:spacing w:after="0" w:line="212" w:lineRule="auto"/>
        <w:rPr>
          <w:sz w:val="20"/>
          <w:szCs w:val="20"/>
          <w:color w:val="auto"/>
        </w:rPr>
      </w:pPr>
      <w:r>
        <w:rPr>
          <w:rFonts w:ascii="Times New Roman" w:cs="Times New Roman" w:eastAsia="Times New Roman" w:hAnsi="Times New Roman"/>
          <w:sz w:val="17"/>
          <w:szCs w:val="17"/>
          <w:b w:val="1"/>
          <w:bCs w:val="1"/>
          <w:color w:val="auto"/>
        </w:rPr>
        <w:t>approximate dollar value of shares that may yet be purchased</w:t>
      </w:r>
    </w:p>
    <w:p>
      <w:pPr>
        <w:jc w:val="center"/>
        <w:ind w:right="1240"/>
        <w:spacing w:after="0" w:line="210" w:lineRule="auto"/>
        <w:rPr>
          <w:sz w:val="20"/>
          <w:szCs w:val="20"/>
          <w:color w:val="auto"/>
        </w:rPr>
      </w:pPr>
      <w:r>
        <w:rPr>
          <w:rFonts w:ascii="Times New Roman" w:cs="Times New Roman" w:eastAsia="Times New Roman" w:hAnsi="Times New Roman"/>
          <w:sz w:val="17"/>
          <w:szCs w:val="17"/>
          <w:b w:val="1"/>
          <w:bCs w:val="1"/>
          <w:color w:val="auto"/>
        </w:rPr>
        <w:t>under the program (in</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millions)</w:t>
      </w:r>
    </w:p>
    <w:p>
      <w:pPr>
        <w:spacing w:after="0" w:line="3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$74.8</w:t>
      </w:r>
    </w:p>
    <w:p>
      <w:pPr>
        <w:spacing w:after="0" w:line="3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$71.5</w:t>
      </w:r>
    </w:p>
    <w:p>
      <w:pPr>
        <w:spacing w:after="0" w:line="3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$66.6</w:t>
      </w:r>
    </w:p>
    <w:p>
      <w:pPr>
        <w:spacing w:after="0" w:line="3151" w:lineRule="exact"/>
        <w:rPr>
          <w:sz w:val="20"/>
          <w:szCs w:val="20"/>
          <w:color w:val="auto"/>
        </w:rPr>
      </w:pPr>
    </w:p>
    <w:p>
      <w:pPr>
        <w:sectPr>
          <w:pgSz w:w="11900" w:h="16838" w:orient="portrait"/>
          <w:cols w:equalWidth="0" w:num="2">
            <w:col w:w="8140" w:space="200"/>
            <w:col w:w="2900"/>
          </w:cols>
          <w:pgMar w:left="320" w:top="121" w:right="339" w:bottom="1440" w:gutter="0" w:footer="0" w:header="0"/>
        </w:sectPr>
      </w:pPr>
    </w:p>
    <w:p>
      <w:pPr>
        <w:spacing w:after="0" w:line="36" w:lineRule="exact"/>
        <w:rPr>
          <w:sz w:val="20"/>
          <w:szCs w:val="20"/>
          <w:color w:val="auto"/>
        </w:rPr>
      </w:pPr>
    </w:p>
    <w:p>
      <w:pPr>
        <w:spacing w:after="0" w:line="341" w:lineRule="auto"/>
        <w:rPr>
          <w:sz w:val="20"/>
          <w:szCs w:val="20"/>
          <w:color w:val="auto"/>
        </w:rPr>
      </w:pPr>
      <w:r>
        <w:rPr>
          <w:rFonts w:ascii="Times New Roman" w:cs="Times New Roman" w:eastAsia="Times New Roman" w:hAnsi="Times New Roman"/>
          <w:sz w:val="17"/>
          <w:szCs w:val="17"/>
          <w:color w:val="auto"/>
        </w:rPr>
        <w:t>None of our directors or officers (as defined in Rule 16a-1(f) under the Exchange Act) adopted or terminated a Rule 10b5-1 trading arrangement or a non-Rule 10b5-1 trading arrangement (as defined in Item 408(c) of Regulation S-K) during the quarterly period covered by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9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0" w:type="dxa"/>
            <w:vAlign w:val="bottom"/>
          </w:tcPr>
          <w:p>
            <w:pPr>
              <w:spacing w:after="0"/>
              <w:rPr>
                <w:sz w:val="1"/>
                <w:szCs w:val="1"/>
                <w:color w:val="auto"/>
              </w:rPr>
            </w:pPr>
          </w:p>
        </w:tc>
      </w:tr>
      <w:tr>
        <w:trPr>
          <w:trHeight w:val="207"/>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9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Exchange Act Rules 13a-14(a) and 15d-14(a)</w:t>
            </w:r>
          </w:p>
        </w:tc>
        <w:tc>
          <w:tcPr>
            <w:tcW w:w="0" w:type="dxa"/>
            <w:vAlign w:val="bottom"/>
          </w:tcPr>
          <w:p>
            <w:pPr>
              <w:spacing w:after="0"/>
              <w:rPr>
                <w:sz w:val="1"/>
                <w:szCs w:val="1"/>
                <w:color w:val="auto"/>
              </w:rPr>
            </w:pPr>
          </w:p>
        </w:tc>
      </w:t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9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Exchange Act Rules 13a-14(a) and 15d-14(a)</w:t>
            </w:r>
          </w:p>
        </w:tc>
        <w:tc>
          <w:tcPr>
            <w:tcW w:w="40" w:type="dxa"/>
            <w:vAlign w:val="bottom"/>
            <w:tcBorders>
              <w:top w:val="single" w:sz="8" w:color="0000FF"/>
            </w:tcBorders>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Section 1350 Certification of Principal Executive Officer</w:t>
            </w:r>
          </w:p>
        </w:tc>
        <w:tc>
          <w:tcPr>
            <w:tcW w:w="0" w:type="dxa"/>
            <w:vAlign w:val="bottom"/>
          </w:tcPr>
          <w:p>
            <w:pPr>
              <w:spacing w:after="0"/>
              <w:rPr>
                <w:sz w:val="1"/>
                <w:szCs w:val="1"/>
                <w:color w:val="auto"/>
              </w:rPr>
            </w:pPr>
          </w:p>
        </w:tc>
      </w:t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1350 Certification of Principal Financial Officer</w:t>
            </w:r>
          </w:p>
        </w:tc>
        <w:tc>
          <w:tcPr>
            <w:tcW w:w="40" w:type="dxa"/>
            <w:vAlign w:val="bottom"/>
            <w:tcBorders>
              <w:top w:val="single" w:sz="8" w:color="0000FF"/>
            </w:tcBorders>
          </w:tcPr>
          <w:p>
            <w:pPr>
              <w:spacing w:after="0"/>
              <w:rPr>
                <w:sz w:val="22"/>
                <w:szCs w:val="22"/>
                <w:color w:val="auto"/>
              </w:rPr>
            </w:pPr>
          </w:p>
        </w:tc>
        <w:tc>
          <w:tcPr>
            <w:tcW w:w="59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73"/>
        </w:trPr>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3"/>
                <w:szCs w:val="23"/>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0" w:type="dxa"/>
            <w:vAlign w:val="bottom"/>
          </w:tcPr>
          <w:p>
            <w:pPr>
              <w:spacing w:after="0"/>
              <w:rPr>
                <w:sz w:val="1"/>
                <w:szCs w:val="1"/>
                <w:color w:val="auto"/>
              </w:rPr>
            </w:pPr>
          </w:p>
        </w:tc>
      </w:tr>
      <w:tr>
        <w:trPr>
          <w:trHeight w:val="273"/>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3"/>
                <w:szCs w:val="23"/>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73"/>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3"/>
                <w:szCs w:val="23"/>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73"/>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3"/>
                <w:szCs w:val="23"/>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0" w:type="dxa"/>
            <w:vAlign w:val="bottom"/>
          </w:tcPr>
          <w:p>
            <w:pPr>
              <w:spacing w:after="0"/>
              <w:rPr>
                <w:sz w:val="1"/>
                <w:szCs w:val="1"/>
                <w:color w:val="auto"/>
              </w:rPr>
            </w:pPr>
          </w:p>
        </w:tc>
      </w:tr>
      <w:tr>
        <w:trPr>
          <w:trHeight w:val="273"/>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3"/>
                <w:szCs w:val="23"/>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300" w:hanging="841"/>
        <w:spacing w:after="0"/>
        <w:tabs>
          <w:tab w:leader="none" w:pos="13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Inline XBRL File (included in Exhibit 101)</w:t>
      </w:r>
    </w:p>
    <w:p>
      <w:pPr>
        <w:spacing w:after="0" w:line="381" w:lineRule="exact"/>
        <w:rPr>
          <w:rFonts w:ascii="Times New Roman" w:cs="Times New Roman" w:eastAsia="Times New Roman" w:hAnsi="Times New Roman"/>
          <w:sz w:val="17"/>
          <w:szCs w:val="17"/>
          <w:color w:val="auto"/>
        </w:rPr>
      </w:pPr>
    </w:p>
    <w:p>
      <w:pPr>
        <w:ind w:left="200" w:hanging="196"/>
        <w:spacing w:after="0"/>
        <w:tabs>
          <w:tab w:leader="none" w:pos="2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7" w:lineRule="exact"/>
        <w:rPr>
          <w:sz w:val="20"/>
          <w:szCs w:val="20"/>
          <w:color w:val="auto"/>
        </w:rPr>
      </w:pPr>
    </w:p>
    <w:p>
      <w:pPr>
        <w:ind w:firstLine="312"/>
        <w:spacing w:after="0" w:line="34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ACCEL ENTERTAINMENT, INC.</w:t>
      </w:r>
    </w:p>
    <w:p>
      <w:pPr>
        <w:spacing w:after="0" w:line="323" w:lineRule="exact"/>
        <w:rPr>
          <w:sz w:val="20"/>
          <w:szCs w:val="20"/>
          <w:color w:val="auto"/>
        </w:rPr>
      </w:pPr>
    </w:p>
    <w:p>
      <w:pPr>
        <w:ind w:left="2020"/>
        <w:spacing w:after="0"/>
        <w:tabs>
          <w:tab w:leader="none" w:pos="5380" w:val="left"/>
          <w:tab w:leader="none" w:pos="5940" w:val="left"/>
        </w:tabs>
        <w:rPr>
          <w:sz w:val="20"/>
          <w:szCs w:val="20"/>
          <w:color w:val="auto"/>
        </w:rPr>
      </w:pPr>
      <w:r>
        <w:rPr>
          <w:rFonts w:ascii="Times New Roman" w:cs="Times New Roman" w:eastAsia="Times New Roman" w:hAnsi="Times New Roman"/>
          <w:sz w:val="17"/>
          <w:szCs w:val="17"/>
          <w:color w:val="auto"/>
        </w:rPr>
        <w:t>Date: July 30,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Christie Kozlik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37465</wp:posOffset>
            </wp:positionV>
            <wp:extent cx="21971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97100" cy="8255"/>
                    </a:xfrm>
                    <a:prstGeom prst="rect">
                      <a:avLst/>
                    </a:prstGeom>
                    <a:noFill/>
                  </pic:spPr>
                </pic:pic>
              </a:graphicData>
            </a:graphic>
          </wp:anchor>
        </w:drawing>
      </w:r>
    </w:p>
    <w:p>
      <w:pPr>
        <w:spacing w:after="0" w:line="6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Christie Kozlik</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21" w:right="339" w:bottom="1440" w:gutter="0" w:footer="0" w:header="0"/>
        </w:sectPr>
      </w:pPr>
    </w:p>
    <w:bookmarkStart w:id="40" w:name="page41"/>
    <w:bookmarkEnd w:id="40"/>
    <w:p>
      <w:pPr>
        <w:ind w:left="10380"/>
        <w:spacing w:after="0"/>
        <w:rPr>
          <w:sz w:val="20"/>
          <w:szCs w:val="20"/>
          <w:color w:val="auto"/>
        </w:rPr>
      </w:pPr>
      <w:r>
        <w:rPr>
          <w:rFonts w:ascii="Times New Roman" w:cs="Times New Roman" w:eastAsia="Times New Roman" w:hAnsi="Times New Roman"/>
          <w:sz w:val="17"/>
          <w:szCs w:val="17"/>
          <w:color w:val="auto"/>
        </w:rPr>
        <w:t>Exhibit 31.1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Rubenstein, certify that:</w:t>
      </w:r>
    </w:p>
    <w:p>
      <w:pPr>
        <w:spacing w:after="0" w:line="221" w:lineRule="exact"/>
        <w:rPr>
          <w:sz w:val="20"/>
          <w:szCs w:val="20"/>
          <w:color w:val="auto"/>
        </w:rPr>
      </w:pPr>
    </w:p>
    <w:p>
      <w:pPr>
        <w:ind w:left="180" w:hanging="176"/>
        <w:spacing w:after="0"/>
        <w:tabs>
          <w:tab w:leader="none" w:pos="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Accel Entertainment, Inc.;</w:t>
      </w:r>
    </w:p>
    <w:p>
      <w:pPr>
        <w:spacing w:after="0" w:line="181" w:lineRule="exact"/>
        <w:rPr>
          <w:rFonts w:ascii="Times New Roman" w:cs="Times New Roman" w:eastAsia="Times New Roman" w:hAnsi="Times New Roman"/>
          <w:sz w:val="17"/>
          <w:szCs w:val="17"/>
          <w:color w:val="auto"/>
        </w:rPr>
      </w:pPr>
    </w:p>
    <w:p>
      <w:pPr>
        <w:ind w:firstLine="4"/>
        <w:spacing w:after="0" w:line="357" w:lineRule="auto"/>
        <w:tabs>
          <w:tab w:leader="none" w:pos="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7"/>
          <w:szCs w:val="17"/>
          <w:color w:val="auto"/>
        </w:rPr>
      </w:pPr>
    </w:p>
    <w:p>
      <w:pPr>
        <w:ind w:firstLine="4"/>
        <w:spacing w:after="0" w:line="357" w:lineRule="auto"/>
        <w:tabs>
          <w:tab w:leader="none" w:pos="18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4" w:lineRule="exact"/>
        <w:rPr>
          <w:rFonts w:ascii="Times New Roman" w:cs="Times New Roman" w:eastAsia="Times New Roman" w:hAnsi="Times New Roman"/>
          <w:sz w:val="17"/>
          <w:szCs w:val="17"/>
          <w:color w:val="auto"/>
        </w:rPr>
      </w:pPr>
    </w:p>
    <w:p>
      <w:pPr>
        <w:spacing w:after="0" w:line="34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7"/>
          <w:szCs w:val="17"/>
          <w:color w:val="auto"/>
        </w:rPr>
      </w:pPr>
    </w:p>
    <w:p>
      <w:pPr>
        <w:jc w:val="both"/>
        <w:ind w:left="400" w:hanging="6"/>
        <w:spacing w:after="0" w:line="322" w:lineRule="auto"/>
        <w:tabs>
          <w:tab w:leader="none" w:pos="57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Times New Roman" w:cs="Times New Roman" w:eastAsia="Times New Roman" w:hAnsi="Times New Roman"/>
          <w:sz w:val="17"/>
          <w:szCs w:val="17"/>
          <w:color w:val="auto"/>
        </w:rPr>
      </w:pPr>
    </w:p>
    <w:p>
      <w:pPr>
        <w:jc w:val="both"/>
        <w:ind w:left="400" w:hanging="6"/>
        <w:spacing w:after="0" w:line="322" w:lineRule="auto"/>
        <w:tabs>
          <w:tab w:leader="none" w:pos="59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Times New Roman" w:cs="Times New Roman" w:eastAsia="Times New Roman" w:hAnsi="Times New Roman"/>
          <w:sz w:val="17"/>
          <w:szCs w:val="17"/>
          <w:color w:val="auto"/>
        </w:rPr>
      </w:pPr>
    </w:p>
    <w:p>
      <w:pPr>
        <w:ind w:left="400" w:hanging="6"/>
        <w:spacing w:after="0" w:line="341" w:lineRule="auto"/>
        <w:tabs>
          <w:tab w:leader="none" w:pos="58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jc w:val="both"/>
        <w:ind w:left="400" w:hanging="6"/>
        <w:spacing w:after="0" w:line="330" w:lineRule="auto"/>
        <w:tabs>
          <w:tab w:leader="none" w:pos="60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7"/>
          <w:szCs w:val="17"/>
          <w:color w:val="auto"/>
        </w:rPr>
      </w:pPr>
    </w:p>
    <w:p>
      <w:pPr>
        <w:ind w:firstLine="4"/>
        <w:spacing w:after="0" w:line="357" w:lineRule="auto"/>
        <w:tabs>
          <w:tab w:leader="none" w:pos="20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7"/>
          <w:szCs w:val="17"/>
          <w:color w:val="auto"/>
        </w:rPr>
      </w:pPr>
    </w:p>
    <w:p>
      <w:pPr>
        <w:ind w:left="400" w:hanging="6"/>
        <w:spacing w:after="0" w:line="357" w:lineRule="auto"/>
        <w:tabs>
          <w:tab w:leader="none" w:pos="58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400" w:hanging="6"/>
        <w:spacing w:after="0" w:line="357" w:lineRule="auto"/>
        <w:tabs>
          <w:tab w:leader="none" w:pos="602"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Date: July 30, 2024</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Andrew Rubenstein</w:t>
            </w:r>
          </w:p>
        </w:tc>
      </w:tr>
      <w:tr>
        <w:trPr>
          <w:trHeight w:val="209"/>
        </w:trPr>
        <w:tc>
          <w:tcPr>
            <w:tcW w:w="62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Rubenstein</w:t>
            </w:r>
          </w:p>
        </w:tc>
      </w:tr>
      <w:tr>
        <w:trPr>
          <w:trHeight w:val="227"/>
        </w:trPr>
        <w:tc>
          <w:tcPr>
            <w:tcW w:w="62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r>
    </w:tbl>
    <w:p>
      <w:pPr>
        <w:sectPr>
          <w:pgSz w:w="11900" w:h="16838" w:orient="portrait"/>
          <w:cols w:equalWidth="0" w:num="1">
            <w:col w:w="11240"/>
          </w:cols>
          <w:pgMar w:left="320" w:top="915" w:right="339" w:bottom="1440" w:gutter="0" w:footer="0" w:header="0"/>
        </w:sectPr>
      </w:pPr>
    </w:p>
    <w:bookmarkStart w:id="41" w:name="page42"/>
    <w:bookmarkEnd w:id="41"/>
    <w:p>
      <w:pPr>
        <w:ind w:left="10380"/>
        <w:spacing w:after="0"/>
        <w:rPr>
          <w:sz w:val="20"/>
          <w:szCs w:val="20"/>
          <w:color w:val="auto"/>
        </w:rPr>
      </w:pPr>
      <w:r>
        <w:rPr>
          <w:rFonts w:ascii="Times New Roman" w:cs="Times New Roman" w:eastAsia="Times New Roman" w:hAnsi="Times New Roman"/>
          <w:sz w:val="17"/>
          <w:szCs w:val="17"/>
          <w:color w:val="auto"/>
        </w:rPr>
        <w:t>Exhibit 31.2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Mathew Ellis, certify that:</w:t>
      </w:r>
    </w:p>
    <w:p>
      <w:pPr>
        <w:spacing w:after="0" w:line="195" w:lineRule="exact"/>
        <w:rPr>
          <w:sz w:val="20"/>
          <w:szCs w:val="20"/>
          <w:color w:val="auto"/>
        </w:rPr>
      </w:pPr>
    </w:p>
    <w:p>
      <w:pPr>
        <w:ind w:left="180" w:hanging="176"/>
        <w:spacing w:after="0"/>
        <w:tabs>
          <w:tab w:leader="none" w:pos="1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Accel Entertainment, Inc.;</w:t>
      </w:r>
    </w:p>
    <w:p>
      <w:pPr>
        <w:spacing w:after="0" w:line="181" w:lineRule="exact"/>
        <w:rPr>
          <w:rFonts w:ascii="Times New Roman" w:cs="Times New Roman" w:eastAsia="Times New Roman" w:hAnsi="Times New Roman"/>
          <w:sz w:val="17"/>
          <w:szCs w:val="17"/>
          <w:color w:val="auto"/>
        </w:rPr>
      </w:pPr>
    </w:p>
    <w:p>
      <w:pPr>
        <w:ind w:firstLine="4"/>
        <w:spacing w:after="0" w:line="357" w:lineRule="auto"/>
        <w:tabs>
          <w:tab w:leader="none" w:pos="1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7"/>
          <w:szCs w:val="17"/>
          <w:color w:val="auto"/>
        </w:rPr>
      </w:pPr>
    </w:p>
    <w:p>
      <w:pPr>
        <w:ind w:firstLine="4"/>
        <w:spacing w:after="0" w:line="357" w:lineRule="auto"/>
        <w:tabs>
          <w:tab w:leader="none" w:pos="18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4" w:lineRule="exact"/>
        <w:rPr>
          <w:rFonts w:ascii="Times New Roman" w:cs="Times New Roman" w:eastAsia="Times New Roman" w:hAnsi="Times New Roman"/>
          <w:sz w:val="17"/>
          <w:szCs w:val="17"/>
          <w:color w:val="auto"/>
        </w:rPr>
      </w:pPr>
    </w:p>
    <w:p>
      <w:pPr>
        <w:spacing w:after="0" w:line="34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7"/>
          <w:szCs w:val="17"/>
          <w:color w:val="auto"/>
        </w:rPr>
      </w:pPr>
    </w:p>
    <w:p>
      <w:pPr>
        <w:jc w:val="both"/>
        <w:ind w:left="400" w:hanging="6"/>
        <w:spacing w:after="0" w:line="322" w:lineRule="auto"/>
        <w:tabs>
          <w:tab w:leader="none" w:pos="57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Times New Roman" w:cs="Times New Roman" w:eastAsia="Times New Roman" w:hAnsi="Times New Roman"/>
          <w:sz w:val="17"/>
          <w:szCs w:val="17"/>
          <w:color w:val="auto"/>
        </w:rPr>
      </w:pPr>
    </w:p>
    <w:p>
      <w:pPr>
        <w:jc w:val="both"/>
        <w:ind w:left="400" w:hanging="6"/>
        <w:spacing w:after="0" w:line="322" w:lineRule="auto"/>
        <w:tabs>
          <w:tab w:leader="none" w:pos="59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Times New Roman" w:cs="Times New Roman" w:eastAsia="Times New Roman" w:hAnsi="Times New Roman"/>
          <w:sz w:val="17"/>
          <w:szCs w:val="17"/>
          <w:color w:val="auto"/>
        </w:rPr>
      </w:pPr>
    </w:p>
    <w:p>
      <w:pPr>
        <w:ind w:left="400" w:hanging="6"/>
        <w:spacing w:after="0" w:line="341" w:lineRule="auto"/>
        <w:tabs>
          <w:tab w:leader="none" w:pos="58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jc w:val="both"/>
        <w:ind w:left="400" w:hanging="6"/>
        <w:spacing w:after="0" w:line="330" w:lineRule="auto"/>
        <w:tabs>
          <w:tab w:leader="none" w:pos="60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7"/>
          <w:szCs w:val="17"/>
          <w:color w:val="auto"/>
        </w:rPr>
      </w:pPr>
    </w:p>
    <w:p>
      <w:pPr>
        <w:ind w:firstLine="4"/>
        <w:spacing w:after="0" w:line="357" w:lineRule="auto"/>
        <w:tabs>
          <w:tab w:leader="none" w:pos="20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7"/>
          <w:szCs w:val="17"/>
          <w:color w:val="auto"/>
        </w:rPr>
      </w:pPr>
    </w:p>
    <w:p>
      <w:pPr>
        <w:ind w:left="400" w:hanging="6"/>
        <w:spacing w:after="0" w:line="357" w:lineRule="auto"/>
        <w:tabs>
          <w:tab w:leader="none" w:pos="583"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400" w:hanging="6"/>
        <w:spacing w:after="0" w:line="357" w:lineRule="auto"/>
        <w:tabs>
          <w:tab w:leader="none" w:pos="602"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Date: July 30, 2024</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Mathew Ellis</w:t>
            </w:r>
          </w:p>
        </w:tc>
      </w:tr>
      <w:tr>
        <w:trPr>
          <w:trHeight w:val="209"/>
        </w:trPr>
        <w:tc>
          <w:tcPr>
            <w:tcW w:w="62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Mathew Ellis</w:t>
            </w:r>
          </w:p>
        </w:tc>
      </w:tr>
      <w:tr>
        <w:trPr>
          <w:trHeight w:val="227"/>
        </w:trPr>
        <w:tc>
          <w:tcPr>
            <w:tcW w:w="62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bl>
    <w:p>
      <w:pPr>
        <w:sectPr>
          <w:pgSz w:w="11900" w:h="16838" w:orient="portrait"/>
          <w:cols w:equalWidth="0" w:num="1">
            <w:col w:w="11240"/>
          </w:cols>
          <w:pgMar w:left="320" w:top="91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1350 Certification of Principal Executive Officer</w:t>
      </w:r>
    </w:p>
    <w:p>
      <w:pPr>
        <w:spacing w:after="0" w:line="22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In connection with the Quarterly Report on Form 10-Q of Accel Entertainment, Inc. (the “Company”) for the three months ended June 30, 2024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111" w:lineRule="exact"/>
        <w:rPr>
          <w:sz w:val="20"/>
          <w:szCs w:val="20"/>
          <w:color w:val="auto"/>
        </w:rPr>
      </w:pPr>
    </w:p>
    <w:p>
      <w:pPr>
        <w:ind w:left="1260" w:hanging="514"/>
        <w:spacing w:after="0" w:line="341" w:lineRule="auto"/>
        <w:tabs>
          <w:tab w:leader="none" w:pos="125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07" w:lineRule="exact"/>
        <w:rPr>
          <w:rFonts w:ascii="Times New Roman" w:cs="Times New Roman" w:eastAsia="Times New Roman" w:hAnsi="Times New Roman"/>
          <w:sz w:val="17"/>
          <w:szCs w:val="17"/>
          <w:color w:val="auto"/>
        </w:rPr>
      </w:pPr>
    </w:p>
    <w:p>
      <w:pPr>
        <w:ind w:left="1260" w:hanging="514"/>
        <w:spacing w:after="0" w:line="290" w:lineRule="auto"/>
        <w:tabs>
          <w:tab w:leader="none" w:pos="125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17513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51330" cy="825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Andrew Rubenstein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 (Principal</w:t>
      </w:r>
    </w:p>
    <w:p>
      <w:pPr>
        <w:ind w:left="20"/>
        <w:spacing w:after="0"/>
        <w:rPr>
          <w:sz w:val="20"/>
          <w:szCs w:val="20"/>
          <w:color w:val="auto"/>
        </w:rPr>
      </w:pPr>
      <w:r>
        <w:rPr>
          <w:rFonts w:ascii="Times New Roman" w:cs="Times New Roman" w:eastAsia="Times New Roman" w:hAnsi="Times New Roman"/>
          <w:sz w:val="17"/>
          <w:szCs w:val="17"/>
          <w:color w:val="auto"/>
        </w:rPr>
        <w:t>Executive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30, 2024</w:t>
      </w:r>
    </w:p>
    <w:p>
      <w:pPr>
        <w:spacing w:after="0" w:line="208"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7"/>
          <w:szCs w:val="17"/>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91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1350 Certification of Principal Financial Officer</w:t>
      </w:r>
    </w:p>
    <w:p>
      <w:pPr>
        <w:spacing w:after="0" w:line="22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In connection with the Quarterly Report on Form 10-Q of Accel Entertainment, Inc. (the “Company”) for the three months ended June 30, 2024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spacing w:after="0" w:line="111" w:lineRule="exact"/>
        <w:rPr>
          <w:sz w:val="20"/>
          <w:szCs w:val="20"/>
          <w:color w:val="auto"/>
        </w:rPr>
      </w:pPr>
    </w:p>
    <w:p>
      <w:pPr>
        <w:ind w:left="1260" w:hanging="514"/>
        <w:spacing w:after="0" w:line="341" w:lineRule="auto"/>
        <w:tabs>
          <w:tab w:leader="none" w:pos="125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07" w:lineRule="exact"/>
        <w:rPr>
          <w:rFonts w:ascii="Times New Roman" w:cs="Times New Roman" w:eastAsia="Times New Roman" w:hAnsi="Times New Roman"/>
          <w:sz w:val="17"/>
          <w:szCs w:val="17"/>
          <w:color w:val="auto"/>
        </w:rPr>
      </w:pPr>
    </w:p>
    <w:p>
      <w:pPr>
        <w:ind w:left="1260" w:hanging="514"/>
        <w:spacing w:after="0" w:line="290" w:lineRule="auto"/>
        <w:tabs>
          <w:tab w:leader="none" w:pos="125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 Mathew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18751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Mathew Ellis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 (Principal</w:t>
      </w:r>
    </w:p>
    <w:p>
      <w:pPr>
        <w:ind w:left="20"/>
        <w:spacing w:after="0"/>
        <w:rPr>
          <w:sz w:val="20"/>
          <w:szCs w:val="20"/>
          <w:color w:val="auto"/>
        </w:rPr>
      </w:pPr>
      <w:r>
        <w:rPr>
          <w:rFonts w:ascii="Times New Roman" w:cs="Times New Roman" w:eastAsia="Times New Roman" w:hAnsi="Times New Roman"/>
          <w:sz w:val="17"/>
          <w:szCs w:val="17"/>
          <w:color w:val="auto"/>
        </w:rPr>
        <w:t>Financial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30, 2024</w:t>
      </w:r>
    </w:p>
    <w:p>
      <w:pPr>
        <w:spacing w:after="0" w:line="23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7"/>
          <w:szCs w:val="17"/>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9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904"/>
    </w:lvl>
    <w:lvl w:ilvl="1">
      <w:lvlJc w:val="left"/>
      <w:lvlText w:val="(%2)"/>
      <w:numFmt w:val="decimal"/>
      <w:start w:val="26"/>
    </w:lvl>
  </w:abstractNum>
  <w:abstractNum w:abstractNumId="3">
    <w:nsid w:val="140E0F76"/>
    <w:multiLevelType w:val="hybridMultilevel"/>
    <w:lvl w:ilvl="0">
      <w:lvlJc w:val="left"/>
      <w:lvlText w:val="(%1)"/>
      <w:numFmt w:val="decimal"/>
      <w:start w:val="289"/>
    </w:lvl>
  </w:abstractNum>
  <w:abstractNum w:abstractNumId="4">
    <w:nsid w:val="3352255A"/>
    <w:multiLevelType w:val="hybridMultilevel"/>
    <w:lvl w:ilvl="0">
      <w:lvlJc w:val="left"/>
      <w:lvlText w:val="%1"/>
      <w:numFmt w:val="decimal"/>
      <w:start w:val="330"/>
    </w:lvl>
  </w:abstractNum>
  <w:abstractNum w:abstractNumId="5">
    <w:nsid w:val="109CF92E"/>
    <w:multiLevelType w:val="hybridMultilevel"/>
    <w:lvl w:ilvl="0">
      <w:lvlJc w:val="left"/>
      <w:lvlText w:val="(%1)"/>
      <w:numFmt w:val="decimal"/>
      <w:start w:val="487"/>
    </w:lvl>
  </w:abstractNum>
  <w:abstractNum w:abstractNumId="6">
    <w:nsid w:val="DED7263"/>
    <w:multiLevelType w:val="hybridMultilevel"/>
    <w:lvl w:ilvl="0">
      <w:lvlJc w:val="left"/>
      <w:lvlText w:val="(%1)"/>
      <w:numFmt w:val="decimal"/>
      <w:start w:val="17"/>
    </w:lvl>
  </w:abstractNum>
  <w:abstractNum w:abstractNumId="7">
    <w:nsid w:val="7FDCC233"/>
    <w:multiLevelType w:val="hybridMultilevel"/>
    <w:lvl w:ilvl="0">
      <w:lvlJc w:val="left"/>
      <w:lvlText w:val="(%1)"/>
      <w:numFmt w:val="decimal"/>
      <w:start w:val="291"/>
    </w:lvl>
  </w:abstractNum>
  <w:abstractNum w:abstractNumId="8">
    <w:nsid w:val="1BEFD79F"/>
    <w:multiLevelType w:val="hybridMultilevel"/>
    <w:lvl w:ilvl="0">
      <w:lvlJc w:val="left"/>
      <w:lvlText w:val="%1)"/>
      <w:numFmt w:val="lowerRoman"/>
      <w:start w:val="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endash "/>
      <w:numFmt w:val="bullet"/>
      <w:start w:val="1"/>
    </w:lvl>
  </w:abstractNum>
  <w:abstractNum w:abstractNumId="11">
    <w:nsid w:val="4E6AFB66"/>
    <w:multiLevelType w:val="hybridMultilevel"/>
    <w:lvl w:ilvl="0">
      <w:lvlJc w:val="left"/>
      <w:lvlText w:val="•"/>
      <w:numFmt w:val="bullet"/>
      <w:start w:val="1"/>
    </w:lvl>
    <w:lvl w:ilvl="1">
      <w:lvlJc w:val="left"/>
      <w:lvlText w:val="\endash "/>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lvl w:ilvl="1">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2"/>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2024-07-30T15:42:16Z</dcterms:created>
  <dcterms:modified xsi:type="dcterms:W3CDTF">2024-07-30T15:42:16Z</dcterms:modified>
</cp:coreProperties>
</file>