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201930</wp:posOffset>
            </wp:positionH>
            <wp:positionV relativeFrom="page">
              <wp:posOffset>744855</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768350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33" w:lineRule="exact"/>
        <w:rPr>
          <w:sz w:val="24"/>
          <w:szCs w:val="24"/>
          <w:color w:val="auto"/>
        </w:rPr>
      </w:pPr>
    </w:p>
    <w:p>
      <w:pPr>
        <w:ind w:left="1620" w:hanging="317"/>
        <w:spacing w:after="0"/>
        <w:tabs>
          <w:tab w:leader="none" w:pos="16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March 31, 2026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1" w:lineRule="exact"/>
        <w:rPr>
          <w:sz w:val="24"/>
          <w:szCs w:val="24"/>
          <w:color w:val="auto"/>
        </w:rPr>
      </w:pPr>
    </w:p>
    <w:p>
      <w:pPr>
        <w:ind w:left="1660" w:hanging="335"/>
        <w:spacing w:after="0"/>
        <w:tabs>
          <w:tab w:leader="none" w:pos="1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1" w:lineRule="exact"/>
        <w:rPr>
          <w:rFonts w:ascii="MS PGothic" w:cs="MS PGothic" w:eastAsia="MS PGothic" w:hAnsi="MS PGothic"/>
          <w:sz w:val="16"/>
          <w:szCs w:val="16"/>
          <w:color w:val="auto"/>
        </w:rPr>
      </w:pPr>
    </w:p>
    <w:p>
      <w:pPr>
        <w:ind w:left="40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transition period from _______ to ______</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114300</wp:posOffset>
            </wp:positionV>
            <wp:extent cx="28968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6870" cy="762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Accel Entertainment, Inc.</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110490</wp:posOffset>
            </wp:positionV>
            <wp:extent cx="28968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6870" cy="7620"/>
                    </a:xfrm>
                    <a:prstGeom prst="rect">
                      <a:avLst/>
                    </a:prstGeom>
                    <a:noFill/>
                  </pic:spPr>
                </pic:pic>
              </a:graphicData>
            </a:graphic>
          </wp:anchor>
        </w:drawing>
      </w:r>
    </w:p>
    <w:p>
      <w:pPr>
        <w:spacing w:after="0" w:line="276" w:lineRule="exact"/>
        <w:rPr>
          <w:sz w:val="24"/>
          <w:szCs w:val="24"/>
          <w:color w:val="auto"/>
        </w:rPr>
      </w:pPr>
    </w:p>
    <w:tbl>
      <w:tblPr>
        <w:tblLayout w:type="fixed"/>
        <w:tblInd w:w="1180" w:type="dxa"/>
        <w:tblCellMar>
          <w:top w:w="0" w:type="dxa"/>
          <w:left w:w="0" w:type="dxa"/>
          <w:bottom w:w="0" w:type="dxa"/>
          <w:right w:w="0" w:type="dxa"/>
        </w:tblCellMar>
      </w:tblPr>
      <w:tr>
        <w:trPr>
          <w:trHeight w:val="172"/>
        </w:trPr>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98-1350261</w:t>
            </w:r>
          </w:p>
        </w:tc>
        <w:tc>
          <w:tcPr>
            <w:tcW w:w="1520" w:type="dxa"/>
            <w:vAlign w:val="bottom"/>
          </w:tcPr>
          <w:p>
            <w:pPr>
              <w:spacing w:after="0"/>
              <w:rPr>
                <w:sz w:val="15"/>
                <w:szCs w:val="15"/>
                <w:color w:val="auto"/>
              </w:rPr>
            </w:pPr>
          </w:p>
        </w:tc>
      </w:tr>
      <w:tr>
        <w:trPr>
          <w:trHeight w:val="212"/>
        </w:trPr>
        <w:tc>
          <w:tcPr>
            <w:tcW w:w="920" w:type="dxa"/>
            <w:vAlign w:val="bottom"/>
          </w:tcPr>
          <w:p>
            <w:pPr>
              <w:spacing w:after="0"/>
              <w:rPr>
                <w:sz w:val="18"/>
                <w:szCs w:val="18"/>
                <w:color w:val="auto"/>
              </w:rPr>
            </w:pPr>
          </w:p>
        </w:tc>
        <w:tc>
          <w:tcPr>
            <w:tcW w:w="2700" w:type="dxa"/>
            <w:vAlign w:val="bottom"/>
            <w:gridSpan w:val="4"/>
          </w:tcPr>
          <w:p>
            <w:pPr>
              <w:jc w:val="center"/>
              <w:ind w:right="386"/>
              <w:spacing w:after="0"/>
              <w:rPr>
                <w:sz w:val="20"/>
                <w:szCs w:val="20"/>
                <w:color w:val="auto"/>
              </w:rPr>
            </w:pPr>
            <w:r>
              <w:rPr>
                <w:rFonts w:ascii="Times New Roman" w:cs="Times New Roman" w:eastAsia="Times New Roman" w:hAnsi="Times New Roman"/>
                <w:sz w:val="15"/>
                <w:szCs w:val="15"/>
                <w:b w:val="1"/>
                <w:bCs w:val="1"/>
                <w:color w:val="auto"/>
                <w:w w:val="98"/>
              </w:rPr>
              <w:t>(State or other jurisdiction of</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tcPr>
          <w:p>
            <w:pPr>
              <w:jc w:val="center"/>
              <w:ind w:right="1300"/>
              <w:spacing w:after="0"/>
              <w:rPr>
                <w:sz w:val="20"/>
                <w:szCs w:val="20"/>
                <w:color w:val="auto"/>
              </w:rPr>
            </w:pPr>
            <w:r>
              <w:rPr>
                <w:rFonts w:ascii="Times New Roman" w:cs="Times New Roman" w:eastAsia="Times New Roman" w:hAnsi="Times New Roman"/>
                <w:sz w:val="15"/>
                <w:szCs w:val="15"/>
                <w:b w:val="1"/>
                <w:bCs w:val="1"/>
                <w:color w:val="auto"/>
                <w:w w:val="97"/>
              </w:rPr>
              <w:t>(I.R.S. Employer</w:t>
            </w:r>
          </w:p>
        </w:tc>
      </w:tr>
      <w:tr>
        <w:trPr>
          <w:trHeight w:val="193"/>
        </w:trPr>
        <w:tc>
          <w:tcPr>
            <w:tcW w:w="920" w:type="dxa"/>
            <w:vAlign w:val="bottom"/>
          </w:tcPr>
          <w:p>
            <w:pPr>
              <w:spacing w:after="0"/>
              <w:rPr>
                <w:sz w:val="16"/>
                <w:szCs w:val="16"/>
                <w:color w:val="auto"/>
              </w:rPr>
            </w:pPr>
          </w:p>
        </w:tc>
        <w:tc>
          <w:tcPr>
            <w:tcW w:w="2700" w:type="dxa"/>
            <w:vAlign w:val="bottom"/>
            <w:gridSpan w:val="4"/>
          </w:tcPr>
          <w:p>
            <w:pPr>
              <w:jc w:val="center"/>
              <w:ind w:right="386"/>
              <w:spacing w:after="0"/>
              <w:rPr>
                <w:sz w:val="20"/>
                <w:szCs w:val="20"/>
                <w:color w:val="auto"/>
              </w:rPr>
            </w:pPr>
            <w:r>
              <w:rPr>
                <w:rFonts w:ascii="Times New Roman" w:cs="Times New Roman" w:eastAsia="Times New Roman" w:hAnsi="Times New Roman"/>
                <w:sz w:val="15"/>
                <w:szCs w:val="15"/>
                <w:b w:val="1"/>
                <w:bCs w:val="1"/>
                <w:color w:val="auto"/>
                <w:w w:val="98"/>
              </w:rPr>
              <w:t>incorporation or organization)</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20" w:type="dxa"/>
            <w:vAlign w:val="bottom"/>
            <w:gridSpan w:val="4"/>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w w:val="98"/>
              </w:rPr>
              <w:t>Identification No.)</w:t>
            </w:r>
          </w:p>
        </w:tc>
      </w:tr>
      <w:tr>
        <w:trPr>
          <w:trHeight w:val="283"/>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60" w:type="dxa"/>
            <w:vAlign w:val="bottom"/>
            <w:gridSpan w:val="6"/>
          </w:tcPr>
          <w:p>
            <w:pPr>
              <w:jc w:val="center"/>
              <w:ind w:right="920"/>
              <w:spacing w:after="0"/>
              <w:rPr>
                <w:sz w:val="20"/>
                <w:szCs w:val="20"/>
                <w:color w:val="auto"/>
              </w:rPr>
            </w:pPr>
            <w:r>
              <w:rPr>
                <w:rFonts w:ascii="Times New Roman" w:cs="Times New Roman" w:eastAsia="Times New Roman" w:hAnsi="Times New Roman"/>
                <w:sz w:val="15"/>
                <w:szCs w:val="15"/>
                <w:b w:val="1"/>
                <w:bCs w:val="1"/>
                <w:color w:val="auto"/>
                <w:w w:val="96"/>
              </w:rPr>
              <w:t>140 Tower Drive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Burr Ridge, Illinois 60527</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3"/>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40" w:type="dxa"/>
            <w:vAlign w:val="bottom"/>
            <w:gridSpan w:val="7"/>
          </w:tcPr>
          <w:p>
            <w:pPr>
              <w:jc w:val="center"/>
              <w:ind w:left="286"/>
              <w:spacing w:after="0"/>
              <w:rPr>
                <w:sz w:val="20"/>
                <w:szCs w:val="20"/>
                <w:color w:val="auto"/>
              </w:rPr>
            </w:pPr>
            <w:r>
              <w:rPr>
                <w:rFonts w:ascii="Times New Roman" w:cs="Times New Roman" w:eastAsia="Times New Roman" w:hAnsi="Times New Roman"/>
                <w:sz w:val="15"/>
                <w:szCs w:val="15"/>
                <w:b w:val="1"/>
                <w:bCs w:val="1"/>
                <w:color w:val="auto"/>
                <w:w w:val="98"/>
              </w:rPr>
              <w:t>(Address of principal executive offices) (Zip Code)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9"/>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(630) 972-2235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96"/>
        </w:trPr>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40" w:type="dxa"/>
            <w:vAlign w:val="bottom"/>
            <w:gridSpan w:val="7"/>
          </w:tcPr>
          <w:p>
            <w:pPr>
              <w:jc w:val="center"/>
              <w:ind w:left="286"/>
              <w:spacing w:after="0"/>
              <w:rPr>
                <w:sz w:val="20"/>
                <w:szCs w:val="20"/>
                <w:color w:val="auto"/>
              </w:rPr>
            </w:pPr>
            <w:r>
              <w:rPr>
                <w:rFonts w:ascii="Times New Roman" w:cs="Times New Roman" w:eastAsia="Times New Roman" w:hAnsi="Times New Roman"/>
                <w:sz w:val="15"/>
                <w:szCs w:val="15"/>
                <w:b w:val="1"/>
                <w:bCs w:val="1"/>
                <w:color w:val="auto"/>
                <w:w w:val="97"/>
              </w:rPr>
              <w:t>(Registrant’s telephone number, including area code)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1"/>
        </w:trPr>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60" w:type="dxa"/>
            <w:vAlign w:val="bottom"/>
            <w:gridSpan w:val="11"/>
          </w:tcPr>
          <w:p>
            <w:pPr>
              <w:jc w:val="center"/>
              <w:ind w:right="2160"/>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12(b) of the Act:</w:t>
            </w:r>
          </w:p>
        </w:tc>
      </w:tr>
      <w:tr>
        <w:trPr>
          <w:trHeight w:val="251"/>
        </w:trPr>
        <w:tc>
          <w:tcPr>
            <w:tcW w:w="920" w:type="dxa"/>
            <w:vAlign w:val="bottom"/>
          </w:tcPr>
          <w:p>
            <w:pPr>
              <w:spacing w:after="0"/>
              <w:rPr>
                <w:sz w:val="21"/>
                <w:szCs w:val="21"/>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7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2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17"/>
        </w:trPr>
        <w:tc>
          <w:tcPr>
            <w:tcW w:w="3620" w:type="dxa"/>
            <w:vAlign w:val="bottom"/>
            <w:gridSpan w:val="5"/>
          </w:tcPr>
          <w:p>
            <w:pPr>
              <w:jc w:val="center"/>
              <w:ind w:right="726"/>
              <w:spacing w:after="0"/>
              <w:rPr>
                <w:sz w:val="20"/>
                <w:szCs w:val="20"/>
                <w:color w:val="auto"/>
              </w:rPr>
            </w:pPr>
            <w:r>
              <w:rPr>
                <w:rFonts w:ascii="Times New Roman" w:cs="Times New Roman" w:eastAsia="Times New Roman" w:hAnsi="Times New Roman"/>
                <w:sz w:val="13"/>
                <w:szCs w:val="13"/>
                <w:color w:val="auto"/>
              </w:rPr>
              <w:t>Class A-1 Common Stock, par value $.0001 per share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4"/>
          </w:tcPr>
          <w:p>
            <w:pPr>
              <w:jc w:val="center"/>
              <w:ind w:right="1300"/>
              <w:spacing w:after="0"/>
              <w:rPr>
                <w:sz w:val="20"/>
                <w:szCs w:val="20"/>
                <w:color w:val="auto"/>
              </w:rPr>
            </w:pPr>
            <w:r>
              <w:rPr>
                <w:rFonts w:ascii="Times New Roman" w:cs="Times New Roman" w:eastAsia="Times New Roman" w:hAnsi="Times New Roman"/>
                <w:sz w:val="13"/>
                <w:szCs w:val="13"/>
                <w:color w:val="auto"/>
              </w:rPr>
              <w:t>ACEL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The New York Stock Exchange</w:t>
            </w:r>
          </w:p>
        </w:tc>
      </w:tr>
    </w:tbl>
    <w:p>
      <w:pPr>
        <w:spacing w:after="0" w:line="349" w:lineRule="exact"/>
        <w:rPr>
          <w:sz w:val="24"/>
          <w:szCs w:val="24"/>
          <w:color w:val="auto"/>
        </w:rPr>
      </w:pPr>
    </w:p>
    <w:p>
      <w:pPr>
        <w:jc w:val="both"/>
        <w:ind w:firstLine="295"/>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8" w:lineRule="exact"/>
        <w:rPr>
          <w:sz w:val="24"/>
          <w:szCs w:val="24"/>
          <w:color w:val="auto"/>
        </w:rPr>
      </w:pPr>
    </w:p>
    <w:p>
      <w:pPr>
        <w:jc w:val="both"/>
        <w:ind w:firstLine="295"/>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8" w:lineRule="exact"/>
        <w:rPr>
          <w:sz w:val="24"/>
          <w:szCs w:val="24"/>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200" w:type="dxa"/>
        <w:tblCellMar>
          <w:top w:w="0" w:type="dxa"/>
          <w:left w:w="0" w:type="dxa"/>
          <w:bottom w:w="0" w:type="dxa"/>
          <w:right w:w="0" w:type="dxa"/>
        </w:tblCellMar>
      </w:tblPr>
      <w:tr>
        <w:trPr>
          <w:trHeight w:val="209"/>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86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28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9"/>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86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28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0"/>
        </w:trPr>
        <w:tc>
          <w:tcPr>
            <w:tcW w:w="2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17" w:lineRule="exact"/>
        <w:rPr>
          <w:sz w:val="24"/>
          <w:szCs w:val="24"/>
          <w:color w:val="auto"/>
        </w:rPr>
      </w:pPr>
    </w:p>
    <w:p>
      <w:pPr>
        <w:ind w:firstLine="295"/>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 w:lineRule="exact"/>
        <w:rPr>
          <w:sz w:val="24"/>
          <w:szCs w:val="24"/>
          <w:color w:val="auto"/>
        </w:rPr>
      </w:pPr>
    </w:p>
    <w:p>
      <w:pPr>
        <w:ind w:left="300"/>
        <w:spacing w:after="0" w:line="184" w:lineRule="exact"/>
        <w:tabs>
          <w:tab w:leader="none" w:pos="7180" w:val="left"/>
          <w:tab w:leader="none" w:pos="7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4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May 1, 2026, there were 81,392,900 shares outstanding of the registrant’s Class A-1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528955</wp:posOffset>
            </wp:positionV>
            <wp:extent cx="71697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4127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112395</wp:posOffset>
            </wp:positionV>
            <wp:extent cx="7014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4845" cy="762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135890</wp:posOffset>
            </wp:positionV>
            <wp:extent cx="7014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762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tbl>
      <w:tblPr>
        <w:tblLayout w:type="fixed"/>
        <w:tblInd w:w="240" w:type="dxa"/>
        <w:tblCellMar>
          <w:top w:w="0" w:type="dxa"/>
          <w:left w:w="0" w:type="dxa"/>
          <w:bottom w:w="0" w:type="dxa"/>
          <w:right w:w="0" w:type="dxa"/>
        </w:tblCellMar>
      </w:tblPr>
      <w:tr>
        <w:trPr>
          <w:trHeight w:val="218"/>
        </w:trPr>
        <w:tc>
          <w:tcPr>
            <w:tcW w:w="1040" w:type="dxa"/>
            <w:vAlign w:val="bottom"/>
          </w:tcPr>
          <w:p>
            <w:pPr>
              <w:spacing w:after="0"/>
              <w:rPr>
                <w:sz w:val="18"/>
                <w:szCs w:val="18"/>
                <w:color w:val="auto"/>
              </w:rPr>
            </w:pPr>
          </w:p>
        </w:tc>
        <w:tc>
          <w:tcPr>
            <w:tcW w:w="7100" w:type="dxa"/>
            <w:vAlign w:val="bottom"/>
          </w:tcPr>
          <w:p>
            <w:pPr>
              <w:jc w:val="center"/>
              <w:ind w:right="578"/>
              <w:spacing w:after="0"/>
              <w:rPr>
                <w:sz w:val="20"/>
                <w:szCs w:val="20"/>
                <w:color w:val="auto"/>
              </w:rPr>
            </w:pPr>
            <w:r>
              <w:rPr>
                <w:rFonts w:ascii="Times New Roman" w:cs="Times New Roman" w:eastAsia="Times New Roman" w:hAnsi="Times New Roman"/>
                <w:sz w:val="16"/>
                <w:szCs w:val="16"/>
                <w:b w:val="1"/>
                <w:bCs w:val="1"/>
                <w:color w:val="auto"/>
              </w:rPr>
              <w:t>ACCEL ENTERTAINMENT, INC.</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7100" w:type="dxa"/>
            <w:vAlign w:val="bottom"/>
          </w:tcPr>
          <w:p>
            <w:pPr>
              <w:jc w:val="center"/>
              <w:ind w:right="578"/>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7100" w:type="dxa"/>
            <w:vAlign w:val="bottom"/>
          </w:tcPr>
          <w:p>
            <w:pPr>
              <w:jc w:val="center"/>
              <w:ind w:right="558"/>
              <w:spacing w:after="0"/>
              <w:rPr>
                <w:sz w:val="20"/>
                <w:szCs w:val="20"/>
                <w:color w:val="auto"/>
              </w:rPr>
            </w:pPr>
            <w:r>
              <w:rPr>
                <w:rFonts w:ascii="Times New Roman" w:cs="Times New Roman" w:eastAsia="Times New Roman" w:hAnsi="Times New Roman"/>
                <w:sz w:val="16"/>
                <w:szCs w:val="16"/>
                <w:b w:val="1"/>
                <w:bCs w:val="1"/>
                <w:color w:val="auto"/>
              </w:rPr>
              <w:t>FOR THE QUARTER ENDED MARCH 31, 2026</w:t>
            </w:r>
          </w:p>
        </w:tc>
        <w:tc>
          <w:tcPr>
            <w:tcW w:w="0" w:type="dxa"/>
            <w:vAlign w:val="bottom"/>
          </w:tcPr>
          <w:p>
            <w:pPr>
              <w:spacing w:after="0"/>
              <w:rPr>
                <w:sz w:val="1"/>
                <w:szCs w:val="1"/>
                <w:color w:val="auto"/>
              </w:rPr>
            </w:pPr>
          </w:p>
        </w:tc>
      </w:tr>
      <w:tr>
        <w:trPr>
          <w:trHeight w:val="541"/>
        </w:trPr>
        <w:tc>
          <w:tcPr>
            <w:tcW w:w="1040" w:type="dxa"/>
            <w:vAlign w:val="bottom"/>
          </w:tcPr>
          <w:p>
            <w:pPr>
              <w:spacing w:after="0"/>
              <w:rPr>
                <w:sz w:val="24"/>
                <w:szCs w:val="24"/>
                <w:color w:val="auto"/>
              </w:rPr>
            </w:pPr>
          </w:p>
        </w:tc>
        <w:tc>
          <w:tcPr>
            <w:tcW w:w="7100" w:type="dxa"/>
            <w:vAlign w:val="bottom"/>
          </w:tcPr>
          <w:p>
            <w:pPr>
              <w:jc w:val="center"/>
              <w:ind w:right="558"/>
              <w:spacing w:after="0"/>
              <w:rPr>
                <w:sz w:val="20"/>
                <w:szCs w:val="20"/>
                <w:color w:val="auto"/>
              </w:rPr>
            </w:pPr>
            <w:r>
              <w:rPr>
                <w:rFonts w:ascii="Times New Roman" w:cs="Times New Roman" w:eastAsia="Times New Roman" w:hAnsi="Times New Roman"/>
                <w:sz w:val="16"/>
                <w:szCs w:val="16"/>
                <w:color w:val="auto"/>
              </w:rPr>
              <w:t>TABLE OF CONTENTS</w:t>
            </w:r>
          </w:p>
        </w:tc>
        <w:tc>
          <w:tcPr>
            <w:tcW w:w="0" w:type="dxa"/>
            <w:vAlign w:val="bottom"/>
          </w:tcPr>
          <w:p>
            <w:pPr>
              <w:spacing w:after="0"/>
              <w:rPr>
                <w:sz w:val="1"/>
                <w:szCs w:val="1"/>
                <w:color w:val="auto"/>
              </w:rPr>
            </w:pPr>
          </w:p>
        </w:tc>
      </w:tr>
      <w:tr>
        <w:trPr>
          <w:trHeight w:val="307"/>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STATEMENTS</w:t>
            </w:r>
          </w:p>
        </w:tc>
        <w:tc>
          <w:tcPr>
            <w:tcW w:w="0" w:type="dxa"/>
            <w:vAlign w:val="bottom"/>
          </w:tcPr>
          <w:p>
            <w:pPr>
              <w:spacing w:after="0"/>
              <w:rPr>
                <w:sz w:val="1"/>
                <w:szCs w:val="1"/>
                <w:color w:val="auto"/>
              </w:rPr>
            </w:pPr>
          </w:p>
        </w:tc>
      </w:tr>
      <w:tr>
        <w:trPr>
          <w:trHeight w:val="164"/>
        </w:trPr>
        <w:tc>
          <w:tcPr>
            <w:tcW w:w="1040" w:type="dxa"/>
            <w:vAlign w:val="bottom"/>
          </w:tcPr>
          <w:p>
            <w:pPr>
              <w:spacing w:after="0"/>
              <w:rPr>
                <w:sz w:val="14"/>
                <w:szCs w:val="14"/>
                <w:color w:val="auto"/>
              </w:rPr>
            </w:pPr>
          </w:p>
        </w:tc>
        <w:tc>
          <w:tcPr>
            <w:tcW w:w="710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Condensed Consolidated Statements of Operations and Comprehensive Income (Unaudited)</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7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 the three months ended March 31, 2026 and 2025</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Condensed Consolidated Balance Sheets (Unaudited)</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March 31, 2026 and December 31, 2025</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Condensed Consolidated Statements of Stockholders’ Equity (Unaudited)</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three months ended March 31, 2026 and 2025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Condensed Consolidated Statements of Cash Flows (Unaudited)</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three months ended March 31, 2026 and 2025</w:t>
            </w:r>
          </w:p>
        </w:tc>
        <w:tc>
          <w:tcPr>
            <w:tcW w:w="0" w:type="dxa"/>
            <w:vAlign w:val="bottom"/>
          </w:tcPr>
          <w:p>
            <w:pPr>
              <w:spacing w:after="0"/>
              <w:rPr>
                <w:sz w:val="1"/>
                <w:szCs w:val="1"/>
                <w:color w:val="auto"/>
              </w:rPr>
            </w:pPr>
          </w:p>
        </w:tc>
      </w:tr>
      <w:tr>
        <w:trPr>
          <w:trHeight w:val="254"/>
        </w:trPr>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2.</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to the Condensed Consolidated Financial Statements (Unaudited)</w:t>
            </w:r>
          </w:p>
        </w:tc>
        <w:tc>
          <w:tcPr>
            <w:tcW w:w="0" w:type="dxa"/>
            <w:vAlign w:val="bottom"/>
          </w:tcPr>
          <w:p>
            <w:pPr>
              <w:spacing w:after="0"/>
              <w:rPr>
                <w:sz w:val="1"/>
                <w:szCs w:val="1"/>
                <w:color w:val="auto"/>
              </w:rPr>
            </w:pPr>
          </w:p>
        </w:tc>
      </w:tr>
      <w:tr>
        <w:trPr>
          <w:trHeight w:val="171"/>
        </w:trPr>
        <w:tc>
          <w:tcPr>
            <w:tcW w:w="1040" w:type="dxa"/>
            <w:vAlign w:val="bottom"/>
            <w:vMerge w:val="continue"/>
          </w:tcPr>
          <w:p>
            <w:pPr>
              <w:spacing w:after="0"/>
              <w:rPr>
                <w:sz w:val="14"/>
                <w:szCs w:val="14"/>
                <w:color w:val="auto"/>
              </w:rPr>
            </w:pPr>
          </w:p>
        </w:tc>
        <w:tc>
          <w:tcPr>
            <w:tcW w:w="710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w:t>
            </w:r>
          </w:p>
        </w:tc>
        <w:tc>
          <w:tcPr>
            <w:tcW w:w="0" w:type="dxa"/>
            <w:vAlign w:val="bottom"/>
          </w:tcPr>
          <w:p>
            <w:pPr>
              <w:spacing w:after="0"/>
              <w:rPr>
                <w:sz w:val="1"/>
                <w:szCs w:val="1"/>
                <w:color w:val="auto"/>
              </w:rPr>
            </w:pPr>
          </w:p>
        </w:tc>
      </w:tr>
      <w:tr>
        <w:trPr>
          <w:trHeight w:val="25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CONTROLS AND PROCEDURES</w:t>
            </w:r>
          </w:p>
        </w:tc>
        <w:tc>
          <w:tcPr>
            <w:tcW w:w="0" w:type="dxa"/>
            <w:vAlign w:val="bottom"/>
          </w:tcPr>
          <w:p>
            <w:pPr>
              <w:spacing w:after="0"/>
              <w:rPr>
                <w:sz w:val="1"/>
                <w:szCs w:val="1"/>
                <w:color w:val="auto"/>
              </w:rPr>
            </w:pPr>
          </w:p>
        </w:tc>
      </w:tr>
      <w:tr>
        <w:trPr>
          <w:trHeight w:val="480"/>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PROCEEDINGS</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 FACTORS</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DEFAULTS UPON SENIOR SECURITIES</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MINE SAFETY DISCLOSURES</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INFORMATION</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EXHIBITS</w:t>
            </w:r>
          </w:p>
        </w:tc>
        <w:tc>
          <w:tcPr>
            <w:tcW w:w="0" w:type="dxa"/>
            <w:vAlign w:val="bottom"/>
          </w:tcPr>
          <w:p>
            <w:pPr>
              <w:spacing w:after="0"/>
              <w:rPr>
                <w:sz w:val="1"/>
                <w:szCs w:val="1"/>
                <w:color w:val="auto"/>
              </w:rPr>
            </w:pPr>
          </w:p>
        </w:tc>
      </w:tr>
      <w:tr>
        <w:trPr>
          <w:trHeight w:val="492"/>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SIGNATURES</w:t>
            </w: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564515</wp:posOffset>
            </wp:positionV>
            <wp:extent cx="71697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1</w:t>
      </w:r>
    </w:p>
    <w:p>
      <w:pPr>
        <w:spacing w:after="0" w:line="62"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1</w:t>
      </w:r>
    </w:p>
    <w:p>
      <w:pPr>
        <w:spacing w:after="0" w:line="259"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1</w:t>
      </w:r>
    </w:p>
    <w:p>
      <w:pPr>
        <w:spacing w:after="0" w:line="259"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2</w:t>
      </w:r>
    </w:p>
    <w:p>
      <w:pPr>
        <w:spacing w:after="0" w:line="246"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3</w:t>
      </w:r>
    </w:p>
    <w:p>
      <w:pPr>
        <w:spacing w:after="0" w:line="19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4</w:t>
      </w:r>
    </w:p>
    <w:p>
      <w:pPr>
        <w:spacing w:after="0" w:line="62"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6"/>
          <w:szCs w:val="16"/>
          <w:color w:val="0000FF"/>
        </w:rPr>
        <w:t>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w:t>
      </w: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0000FF"/>
        </w:rPr>
        <w:t>38</w:t>
      </w:r>
    </w:p>
    <w:p>
      <w:pPr>
        <w:sectPr>
          <w:pgSz w:w="11900" w:h="16838" w:orient="portrait"/>
          <w:cols w:equalWidth="0" w:num="2">
            <w:col w:w="8380" w:space="220"/>
            <w:col w:w="419"/>
          </w:cols>
          <w:pgMar w:left="1440" w:top="8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7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ACCEL ENTERTAINMENT, INC.</w:t>
      </w:r>
    </w:p>
    <w:p>
      <w:pPr>
        <w:spacing w:after="0" w:line="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INCOME (Unaudited)</w:t>
      </w:r>
    </w:p>
    <w:p>
      <w:pPr>
        <w:spacing w:after="0" w:line="124"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r>
      <w:tr>
        <w:trPr>
          <w:trHeight w:val="214"/>
        </w:trPr>
        <w:tc>
          <w:tcPr>
            <w:tcW w:w="5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gaming</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301,951</w:t>
            </w:r>
          </w:p>
        </w:tc>
      </w:tr>
      <w:tr>
        <w:trPr>
          <w:trHeight w:val="234"/>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Amusement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Manufacturing</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r>
      <w:tr>
        <w:trPr>
          <w:trHeight w:val="234"/>
        </w:trPr>
        <w:tc>
          <w:tcPr>
            <w:tcW w:w="5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ATM fees and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12,195</w:t>
            </w:r>
          </w:p>
        </w:tc>
      </w:tr>
      <w:tr>
        <w:trPr>
          <w:trHeight w:val="214"/>
        </w:trPr>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net revenues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323,912</w:t>
            </w: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revenue (exclusive of depreciation and amortization expense shown below)</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221,472</w:t>
            </w:r>
          </w:p>
        </w:tc>
      </w:tr>
      <w:tr>
        <w:trPr>
          <w:trHeight w:val="168"/>
        </w:trPr>
        <w:tc>
          <w:tcPr>
            <w:tcW w:w="5640" w:type="dxa"/>
            <w:vAlign w:val="bottom"/>
          </w:tcPr>
          <w:p>
            <w:pPr>
              <w:ind w:left="160"/>
              <w:spacing w:after="0" w:line="168" w:lineRule="exact"/>
              <w:rPr>
                <w:sz w:val="20"/>
                <w:szCs w:val="20"/>
                <w:color w:val="auto"/>
              </w:rPr>
            </w:pPr>
            <w:r>
              <w:rPr>
                <w:rFonts w:ascii="Times New Roman" w:cs="Times New Roman" w:eastAsia="Times New Roman" w:hAnsi="Times New Roman"/>
                <w:sz w:val="16"/>
                <w:szCs w:val="16"/>
                <w:color w:val="auto"/>
              </w:rPr>
              <w:t>Cost of manufacturing goods sold (exclusive of depreciation and amortization</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3"/>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expense shown below)</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53,004</w:t>
            </w:r>
          </w:p>
        </w:tc>
      </w:tr>
      <w:tr>
        <w:trPr>
          <w:trHeight w:val="234"/>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w:t>
            </w: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 and route and customer acquisition costs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234"/>
        </w:trPr>
        <w:tc>
          <w:tcPr>
            <w:tcW w:w="5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expenses, net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w:t>
            </w:r>
          </w:p>
        </w:tc>
      </w:tr>
      <w:tr>
        <w:trPr>
          <w:trHeight w:val="214"/>
        </w:trPr>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324,478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297,960</w:t>
            </w:r>
          </w:p>
        </w:tc>
      </w:tr>
      <w:tr>
        <w:trPr>
          <w:trHeight w:val="214"/>
        </w:trPr>
        <w:tc>
          <w:tcPr>
            <w:tcW w:w="5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25,952</w:t>
            </w:r>
          </w:p>
        </w:tc>
      </w:tr>
      <w:tr>
        <w:trPr>
          <w:trHeight w:val="21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unconsolidated affiliates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change in fair value of contingent earnout shares</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14"/>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19,606</w:t>
            </w: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r>
      <w:tr>
        <w:trPr>
          <w:trHeight w:val="214"/>
        </w:trPr>
        <w:tc>
          <w:tcPr>
            <w:tcW w:w="5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14,613</w:t>
            </w:r>
          </w:p>
        </w:tc>
      </w:tr>
      <w:tr>
        <w:trPr>
          <w:trHeight w:val="214"/>
        </w:trPr>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Less: Net loss attributed to redeemable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1"/>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Net income attributable to Accel Entertainment, Inc.</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14,639</w:t>
            </w:r>
          </w:p>
        </w:tc>
      </w:tr>
      <w:tr>
        <w:trPr>
          <w:trHeight w:val="76"/>
        </w:trPr>
        <w:tc>
          <w:tcPr>
            <w:tcW w:w="56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34"/>
        </w:trPr>
        <w:tc>
          <w:tcPr>
            <w:tcW w:w="5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34"/>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4"/>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86,003</w:t>
            </w:r>
          </w:p>
        </w:tc>
      </w:tr>
      <w:tr>
        <w:trPr>
          <w:trHeight w:val="234"/>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84,094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87,223</w:t>
            </w:r>
          </w:p>
        </w:tc>
      </w:tr>
      <w:tr>
        <w:trPr>
          <w:trHeight w:val="86"/>
        </w:trPr>
        <w:tc>
          <w:tcPr>
            <w:tcW w:w="5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2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22"/>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14,613</w:t>
            </w:r>
          </w:p>
        </w:tc>
      </w:tr>
      <w:tr>
        <w:trPr>
          <w:trHeight w:val="24"/>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5"/>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loss on interest rate hedging instruments (net of income tax benefit of</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8"/>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$(18), and $(426),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14"/>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13,480</w:t>
            </w:r>
          </w:p>
        </w:tc>
      </w:tr>
      <w:tr>
        <w:trPr>
          <w:trHeight w:val="24"/>
        </w:trPr>
        <w:tc>
          <w:tcPr>
            <w:tcW w:w="5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1"/>
        </w:trPr>
        <w:tc>
          <w:tcPr>
            <w:tcW w:w="5640" w:type="dxa"/>
            <w:vAlign w:val="bottom"/>
            <w:shd w:val="clear" w:color="auto" w:fill="CCEEFF"/>
          </w:tcPr>
          <w:p>
            <w:pPr>
              <w:ind w:left="300"/>
              <w:spacing w:after="0" w:line="181" w:lineRule="exact"/>
              <w:rPr>
                <w:sz w:val="20"/>
                <w:szCs w:val="20"/>
                <w:color w:val="auto"/>
              </w:rPr>
            </w:pPr>
            <w:r>
              <w:rPr>
                <w:rFonts w:ascii="Times New Roman" w:cs="Times New Roman" w:eastAsia="Times New Roman" w:hAnsi="Times New Roman"/>
                <w:sz w:val="16"/>
                <w:szCs w:val="16"/>
                <w:b w:val="1"/>
                <w:bCs w:val="1"/>
                <w:color w:val="auto"/>
              </w:rPr>
              <w:t>Less: Comprehensive loss attributable to redeemable noncontrolling</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2"/>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8"/>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Accel Entertainment, Inc.</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14,625</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13,506</w:t>
            </w: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ACCEL ENTERTAINMENT, INC.</w:t>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3"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(In thousands, except par value and share amounts)</w:t>
            </w:r>
          </w:p>
        </w:tc>
        <w:tc>
          <w:tcPr>
            <w:tcW w:w="20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5"/>
                <w:szCs w:val="15"/>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97"/>
        </w:trPr>
        <w:tc>
          <w:tcPr>
            <w:tcW w:w="5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
        </w:trPr>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75"/>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274,095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296,566</w:t>
            </w: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14,198</w:t>
            </w:r>
          </w:p>
        </w:tc>
      </w:tr>
      <w:tr>
        <w:trPr>
          <w:trHeight w:val="34"/>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Prepaid expenses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7,102</w:t>
            </w: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8,231</w:t>
            </w:r>
          </w:p>
        </w:tc>
      </w:tr>
      <w:tr>
        <w:trPr>
          <w:trHeight w:val="34"/>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Income taxes receivable</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9,121</w:t>
            </w: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Interest rate hedging instruments</w:t>
            </w:r>
          </w:p>
        </w:tc>
        <w:tc>
          <w:tcPr>
            <w:tcW w:w="2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430</w:t>
            </w:r>
          </w:p>
        </w:tc>
      </w:tr>
      <w:tr>
        <w:trPr>
          <w:trHeight w:val="34"/>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7,386</w:t>
            </w:r>
          </w:p>
        </w:tc>
      </w:tr>
      <w:tr>
        <w:trPr>
          <w:trHeight w:val="168"/>
        </w:trPr>
        <w:tc>
          <w:tcPr>
            <w:tcW w:w="59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317,337</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343,034</w:t>
            </w:r>
          </w:p>
        </w:tc>
      </w:tr>
      <w:tr>
        <w:trPr>
          <w:trHeight w:val="34"/>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8"/>
        </w:trPr>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349,241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350,304</w:t>
            </w:r>
          </w:p>
        </w:tc>
      </w:tr>
      <w:tr>
        <w:trPr>
          <w:trHeight w:val="34"/>
        </w:trPr>
        <w:tc>
          <w:tcPr>
            <w:tcW w:w="5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sectPr>
          <w:pgSz w:w="11900" w:h="16838" w:orient="portrait"/>
          <w:cols w:equalWidth="0" w:num="1">
            <w:col w:w="10139"/>
          </w:cols>
          <w:pgMar w:left="320" w:top="123" w:right="1440" w:bottom="1440" w:gutter="0" w:footer="0" w:header="0"/>
        </w:sectPr>
      </w:pPr>
    </w:p>
    <w:p>
      <w:pPr>
        <w:ind w:left="1780"/>
        <w:spacing w:after="0"/>
        <w:rPr>
          <w:sz w:val="20"/>
          <w:szCs w:val="20"/>
          <w:color w:val="auto"/>
        </w:rPr>
      </w:pPr>
      <w:r>
        <w:rPr>
          <w:rFonts w:ascii="Times New Roman" w:cs="Times New Roman" w:eastAsia="Times New Roman" w:hAnsi="Times New Roman"/>
          <w:sz w:val="13"/>
          <w:szCs w:val="13"/>
          <w:color w:val="auto"/>
        </w:rPr>
        <w:t>Route and customer acquisition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34925</wp:posOffset>
            </wp:positionV>
            <wp:extent cx="5426710"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6710" cy="132715"/>
                    </a:xfrm>
                    <a:prstGeom prst="rect">
                      <a:avLst/>
                    </a:prstGeom>
                    <a:noFill/>
                  </pic:spPr>
                </pic:pic>
              </a:graphicData>
            </a:graphic>
          </wp:anchor>
        </w:drawing>
      </w:r>
    </w:p>
    <w:p>
      <w:pPr>
        <w:spacing w:after="0" w:line="4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Location contracts acquired, net</w:t>
      </w:r>
    </w:p>
    <w:p>
      <w:pPr>
        <w:spacing w:after="0" w:line="6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34925</wp:posOffset>
            </wp:positionV>
            <wp:extent cx="5426710"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6710" cy="132715"/>
                    </a:xfrm>
                    <a:prstGeom prst="rect">
                      <a:avLst/>
                    </a:prstGeom>
                    <a:noFill/>
                  </pic:spPr>
                </pic:pic>
              </a:graphicData>
            </a:graphic>
          </wp:anchor>
        </w:drawing>
      </w:r>
    </w:p>
    <w:p>
      <w:pPr>
        <w:spacing w:after="0" w:line="4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Other intangible assets, net</w:t>
      </w:r>
    </w:p>
    <w:p>
      <w:pPr>
        <w:spacing w:after="0" w:line="6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Interest rate hedging instruments, net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34925</wp:posOffset>
            </wp:positionV>
            <wp:extent cx="5426710"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26710" cy="132715"/>
                    </a:xfrm>
                    <a:prstGeom prst="rect">
                      <a:avLst/>
                    </a:prstGeom>
                    <a:noFill/>
                  </pic:spPr>
                </pic:pic>
              </a:graphicData>
            </a:graphic>
          </wp:anchor>
        </w:drawing>
      </w:r>
    </w:p>
    <w:p>
      <w:pPr>
        <w:spacing w:after="0" w:line="4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Other assets</w:t>
      </w:r>
    </w:p>
    <w:p>
      <w:pPr>
        <w:spacing w:after="0" w:line="9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36195</wp:posOffset>
            </wp:positionV>
            <wp:extent cx="5426710"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6710" cy="132715"/>
                    </a:xfrm>
                    <a:prstGeom prst="rect">
                      <a:avLst/>
                    </a:prstGeom>
                    <a:noFill/>
                  </pic:spPr>
                </pic:pic>
              </a:graphicData>
            </a:graphic>
          </wp:anchor>
        </w:drawing>
      </w:r>
    </w:p>
    <w:p>
      <w:pPr>
        <w:spacing w:after="0" w:line="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Liabilities, Temporary equity, and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171"/>
        </w:trPr>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rPr>
              <w:t>31,581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31,147</w:t>
            </w:r>
          </w:p>
        </w:tc>
      </w:tr>
      <w:tr>
        <w:trPr>
          <w:trHeight w:val="209"/>
        </w:trPr>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9"/>
              </w:rPr>
              <w:t>181,516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186,406</w:t>
            </w:r>
          </w:p>
        </w:tc>
      </w:tr>
      <w:tr>
        <w:trPr>
          <w:trHeight w:val="209"/>
        </w:trPr>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9"/>
              </w:rPr>
              <w:t>114,426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114,426</w:t>
            </w:r>
          </w:p>
        </w:tc>
      </w:tr>
      <w:tr>
        <w:trPr>
          <w:trHeight w:val="221"/>
        </w:trPr>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rPr>
              <w:t>60,447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61,034</w:t>
            </w:r>
          </w:p>
        </w:tc>
      </w:tr>
    </w:tbl>
    <w:p>
      <w:pPr>
        <w:spacing w:after="0" w:line="38" w:lineRule="exact"/>
        <w:rPr>
          <w:sz w:val="20"/>
          <w:szCs w:val="20"/>
          <w:color w:val="auto"/>
        </w:rPr>
      </w:pPr>
    </w:p>
    <w:p>
      <w:pPr>
        <w:ind w:left="2360" w:hanging="1422"/>
        <w:spacing w:after="0"/>
        <w:tabs>
          <w:tab w:leader="none" w:pos="23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58" w:lineRule="exact"/>
        <w:rPr>
          <w:rFonts w:ascii="Times New Roman" w:cs="Times New Roman" w:eastAsia="Times New Roman" w:hAnsi="Times New Roman"/>
          <w:sz w:val="12"/>
          <w:szCs w:val="12"/>
          <w:color w:val="auto"/>
        </w:rPr>
      </w:pPr>
    </w:p>
    <w:p>
      <w:pPr>
        <w:ind w:left="7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16,41117,042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6395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9570" cy="7620"/>
                    </a:xfrm>
                    <a:prstGeom prst="rect">
                      <a:avLst/>
                    </a:prstGeom>
                    <a:noFill/>
                  </pic:spPr>
                </pic:pic>
              </a:graphicData>
            </a:graphic>
          </wp:anchor>
        </w:drawing>
      </w:r>
    </w:p>
    <w:p>
      <w:pPr>
        <w:spacing w:after="0" w:line="52" w:lineRule="exact"/>
        <w:rPr>
          <w:sz w:val="20"/>
          <w:szCs w:val="20"/>
          <w:color w:val="auto"/>
        </w:rPr>
      </w:pPr>
    </w:p>
    <w:p>
      <w:pPr>
        <w:spacing w:after="0"/>
        <w:tabs>
          <w:tab w:leader="none" w:pos="600" w:val="left"/>
          <w:tab w:leader="none" w:pos="1320" w:val="left"/>
          <w:tab w:leader="none" w:pos="194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1,071,244</w:t>
        <w:tab/>
        <w:t>$</w:t>
      </w:r>
      <w:r>
        <w:rPr>
          <w:sz w:val="20"/>
          <w:szCs w:val="20"/>
          <w:color w:val="auto"/>
        </w:rPr>
        <w:tab/>
      </w:r>
      <w:r>
        <w:rPr>
          <w:rFonts w:ascii="Times New Roman" w:cs="Times New Roman" w:eastAsia="Times New Roman" w:hAnsi="Times New Roman"/>
          <w:sz w:val="13"/>
          <w:szCs w:val="13"/>
          <w:color w:val="auto"/>
        </w:rPr>
        <w:t>1,103,393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6395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9570" cy="7620"/>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6620" w:space="720"/>
            <w:col w:w="2799"/>
          </w:cols>
          <w:pgMar w:left="320" w:top="123" w:right="1440" w:bottom="1440" w:gutter="0" w:footer="0" w:header="0"/>
          <w:type w:val="continuous"/>
        </w:sectPr>
      </w:pPr>
    </w:p>
    <w:tbl>
      <w:tblPr>
        <w:tblLayout w:type="fixed"/>
        <w:tblInd w:w="1360" w:type="dxa"/>
        <w:tblCellMar>
          <w:top w:w="0" w:type="dxa"/>
          <w:left w:w="0" w:type="dxa"/>
          <w:bottom w:w="0" w:type="dxa"/>
          <w:right w:w="0" w:type="dxa"/>
        </w:tblCellMar>
      </w:tblPr>
      <w:tr>
        <w:trPr>
          <w:trHeight w:val="171"/>
        </w:trPr>
        <w:tc>
          <w:tcPr>
            <w:tcW w:w="596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Current maturities of debt</w:t>
            </w:r>
          </w:p>
        </w:tc>
        <w:tc>
          <w:tcPr>
            <w:tcW w:w="3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37,583</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Current portion of route and customer acquisition costs payable</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2,473</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Accrued location gaming expense</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5,516</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state gaming expense</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21,065</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Accounts payable and other accrued expenses</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43,500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51,028</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compensation and related expenses</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9,946</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Current portion of consideration payable</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3,881</w:t>
            </w:r>
          </w:p>
        </w:tc>
        <w:tc>
          <w:tcPr>
            <w:tcW w:w="0" w:type="dxa"/>
            <w:vAlign w:val="bottom"/>
          </w:tcPr>
          <w:p>
            <w:pPr>
              <w:spacing w:after="0"/>
              <w:rPr>
                <w:sz w:val="1"/>
                <w:szCs w:val="1"/>
                <w:color w:val="auto"/>
              </w:rPr>
            </w:pPr>
          </w:p>
        </w:tc>
      </w:tr>
      <w:tr>
        <w:trPr>
          <w:trHeight w:val="168"/>
        </w:trPr>
        <w:tc>
          <w:tcPr>
            <w:tcW w:w="59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117,173</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131,492</w:t>
            </w:r>
          </w:p>
        </w:tc>
        <w:tc>
          <w:tcPr>
            <w:tcW w:w="0" w:type="dxa"/>
            <w:vAlign w:val="bottom"/>
          </w:tcPr>
          <w:p>
            <w:pPr>
              <w:spacing w:after="0"/>
              <w:rPr>
                <w:sz w:val="1"/>
                <w:szCs w:val="1"/>
                <w:color w:val="auto"/>
              </w:rPr>
            </w:pPr>
          </w:p>
        </w:tc>
      </w:tr>
      <w:tr>
        <w:trPr>
          <w:trHeight w:val="34"/>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Debt, net of current maturities</w:t>
            </w:r>
          </w:p>
        </w:tc>
        <w:tc>
          <w:tcPr>
            <w:tcW w:w="3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550,561</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569,837</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Route and customer acquisition costs payable, less current portion</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10,232</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Consideration payable, less current portion</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15,790</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Contingent earnout share liability</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33,676</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9,373</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Deferred income tax liability, net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59,230</w:t>
            </w:r>
          </w:p>
        </w:tc>
        <w:tc>
          <w:tcPr>
            <w:tcW w:w="0" w:type="dxa"/>
            <w:vAlign w:val="bottom"/>
          </w:tcPr>
          <w:p>
            <w:pPr>
              <w:spacing w:after="0"/>
              <w:rPr>
                <w:sz w:val="1"/>
                <w:szCs w:val="1"/>
                <w:color w:val="auto"/>
              </w:rPr>
            </w:pPr>
          </w:p>
        </w:tc>
      </w:tr>
      <w:tr>
        <w:trPr>
          <w:trHeight w:val="34"/>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794,905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829,630</w:t>
            </w:r>
          </w:p>
        </w:tc>
        <w:tc>
          <w:tcPr>
            <w:tcW w:w="0" w:type="dxa"/>
            <w:vAlign w:val="bottom"/>
          </w:tcPr>
          <w:p>
            <w:pPr>
              <w:spacing w:after="0"/>
              <w:rPr>
                <w:sz w:val="1"/>
                <w:szCs w:val="1"/>
                <w:color w:val="auto"/>
              </w:rPr>
            </w:pPr>
          </w:p>
        </w:tc>
      </w:tr>
      <w:tr>
        <w:trPr>
          <w:trHeight w:val="164"/>
        </w:trPr>
        <w:tc>
          <w:tcPr>
            <w:tcW w:w="59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Temporary equity - Redeemable noncontrolling interest</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4,080</w:t>
            </w: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Preferred Stock, par value of $0.0001; 1,000,000 shares authorized; 0 shares issued and outstanding at</w:t>
            </w:r>
          </w:p>
        </w:tc>
        <w:tc>
          <w:tcPr>
            <w:tcW w:w="3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March 31, 2026 and December 31, 2025</w:t>
            </w:r>
          </w:p>
        </w:tc>
        <w:tc>
          <w:tcPr>
            <w:tcW w:w="3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5960" w:type="dxa"/>
            <w:vAlign w:val="bottom"/>
            <w:shd w:val="clear" w:color="auto" w:fill="CCEEFF"/>
          </w:tcPr>
          <w:p>
            <w:pPr>
              <w:ind w:left="420"/>
              <w:spacing w:after="0" w:line="132" w:lineRule="exact"/>
              <w:rPr>
                <w:sz w:val="20"/>
                <w:szCs w:val="20"/>
                <w:color w:val="auto"/>
              </w:rPr>
            </w:pPr>
            <w:r>
              <w:rPr>
                <w:rFonts w:ascii="Times New Roman" w:cs="Times New Roman" w:eastAsia="Times New Roman" w:hAnsi="Times New Roman"/>
                <w:sz w:val="13"/>
                <w:szCs w:val="13"/>
                <w:color w:val="auto"/>
              </w:rPr>
              <w:t>Class A-1 Common Stock, par value $0.0001; 250,000,000 shares authorized; 96,621,766 shares issued</w:t>
            </w: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960" w:type="dxa"/>
            <w:vAlign w:val="bottom"/>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and 81,575,213 shares outstanding at March 31, 2026; 96,250,980 shares issued and 82,287,349 shares</w:t>
            </w:r>
          </w:p>
        </w:tc>
        <w:tc>
          <w:tcPr>
            <w:tcW w:w="3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4"/>
        </w:trPr>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outstanding at December 31, 2025</w:t>
            </w:r>
          </w:p>
        </w:tc>
        <w:tc>
          <w:tcPr>
            <w:tcW w:w="3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229,256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229,028</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Treasury stock, at cost</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(158,014)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(145,747)</w:t>
            </w:r>
          </w:p>
        </w:tc>
        <w:tc>
          <w:tcPr>
            <w:tcW w:w="0" w:type="dxa"/>
            <w:vAlign w:val="bottom"/>
          </w:tcPr>
          <w:p>
            <w:pPr>
              <w:spacing w:after="0"/>
              <w:rPr>
                <w:sz w:val="1"/>
                <w:szCs w:val="1"/>
                <w:color w:val="auto"/>
              </w:rPr>
            </w:pPr>
          </w:p>
        </w:tc>
      </w:tr>
      <w:tr>
        <w:trPr>
          <w:trHeight w:val="175"/>
        </w:trPr>
        <w:tc>
          <w:tcPr>
            <w:tcW w:w="5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34"/>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Accumulated earnings</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200,879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186,206</w:t>
            </w:r>
          </w:p>
        </w:tc>
        <w:tc>
          <w:tcPr>
            <w:tcW w:w="0" w:type="dxa"/>
            <w:vAlign w:val="bottom"/>
          </w:tcPr>
          <w:p>
            <w:pPr>
              <w:spacing w:after="0"/>
              <w:rPr>
                <w:sz w:val="1"/>
                <w:szCs w:val="1"/>
                <w:color w:val="auto"/>
              </w:rPr>
            </w:pPr>
          </w:p>
        </w:tc>
      </w:tr>
      <w:tr>
        <w:trPr>
          <w:trHeight w:val="168"/>
        </w:trPr>
        <w:tc>
          <w:tcPr>
            <w:tcW w:w="59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272,269</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269,683</w:t>
            </w:r>
          </w:p>
        </w:tc>
        <w:tc>
          <w:tcPr>
            <w:tcW w:w="0" w:type="dxa"/>
            <w:vAlign w:val="bottom"/>
          </w:tcPr>
          <w:p>
            <w:pPr>
              <w:spacing w:after="0"/>
              <w:rPr>
                <w:sz w:val="1"/>
                <w:szCs w:val="1"/>
                <w:color w:val="auto"/>
              </w:rPr>
            </w:pPr>
          </w:p>
        </w:tc>
      </w:tr>
      <w:tr>
        <w:trPr>
          <w:trHeight w:val="34"/>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9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b w:val="1"/>
                <w:bCs w:val="1"/>
                <w:color w:val="auto"/>
              </w:rPr>
              <w:t>Total liabilities, temporary equity, and stockholders' equity</w:t>
            </w: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1,071,244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1,103,393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0139"/>
          </w:cols>
          <w:pgMar w:left="320" w:top="123" w:right="1440"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ACCEL ENTERTAINMENT,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 thousands, except shares)</w:t>
            </w:r>
          </w:p>
        </w:tc>
        <w:tc>
          <w:tcPr>
            <w:tcW w:w="100" w:type="dxa"/>
            <w:vAlign w:val="bottom"/>
          </w:tcPr>
          <w:p>
            <w:pPr>
              <w:spacing w:after="0"/>
              <w:rPr>
                <w:sz w:val="16"/>
                <w:szCs w:val="16"/>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3"/>
                <w:szCs w:val="13"/>
                <w:color w:val="auto"/>
                <w:w w:val="96"/>
              </w:rPr>
              <w:t>Temporary</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7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color w:val="auto"/>
              </w:rPr>
              <w:t>Class A-1</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Additional</w:t>
            </w:r>
          </w:p>
        </w:tc>
        <w:tc>
          <w:tcPr>
            <w:tcW w:w="1080" w:type="dxa"/>
            <w:vAlign w:val="bottom"/>
            <w:gridSpan w:val="3"/>
            <w:vMerge w:val="restart"/>
          </w:tcPr>
          <w:p>
            <w:pPr>
              <w:ind w:left="620"/>
              <w:spacing w:after="0"/>
              <w:rPr>
                <w:sz w:val="20"/>
                <w:szCs w:val="20"/>
                <w:color w:val="auto"/>
              </w:rPr>
            </w:pPr>
            <w:r>
              <w:rPr>
                <w:rFonts w:ascii="Times New Roman" w:cs="Times New Roman" w:eastAsia="Times New Roman" w:hAnsi="Times New Roman"/>
                <w:sz w:val="13"/>
                <w:szCs w:val="13"/>
                <w:color w:val="auto"/>
                <w:w w:val="95"/>
              </w:rPr>
              <w:t>Treasury</w:t>
            </w: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line="20" w:lineRule="exact"/>
              <w:rPr>
                <w:sz w:val="1"/>
                <w:szCs w:val="1"/>
                <w:color w:val="auto"/>
              </w:rPr>
            </w:pPr>
          </w:p>
        </w:tc>
      </w:tr>
      <w:tr>
        <w:trPr>
          <w:trHeight w:val="131"/>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3"/>
                <w:szCs w:val="13"/>
                <w:color w:val="auto"/>
                <w:w w:val="99"/>
              </w:rPr>
              <w:t>equity -</w:t>
            </w:r>
          </w:p>
        </w:tc>
        <w:tc>
          <w:tcPr>
            <w:tcW w:w="1740" w:type="dxa"/>
            <w:vAlign w:val="bottom"/>
            <w:gridSpan w:val="5"/>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320"/>
              <w:spacing w:after="0" w:line="128" w:lineRule="exact"/>
              <w:rPr>
                <w:sz w:val="20"/>
                <w:szCs w:val="20"/>
                <w:color w:val="auto"/>
              </w:rPr>
            </w:pPr>
            <w:r>
              <w:rPr>
                <w:rFonts w:ascii="Times New Roman" w:cs="Times New Roman" w:eastAsia="Times New Roman" w:hAnsi="Times New Roman"/>
                <w:sz w:val="13"/>
                <w:szCs w:val="13"/>
                <w:color w:val="auto"/>
                <w:w w:val="99"/>
              </w:rPr>
              <w:t>Redeemable</w:t>
            </w:r>
          </w:p>
        </w:tc>
        <w:tc>
          <w:tcPr>
            <w:tcW w:w="17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9"/>
              </w:rPr>
              <w:t>Paid-In</w:t>
            </w:r>
          </w:p>
        </w:tc>
        <w:tc>
          <w:tcPr>
            <w:tcW w:w="108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Stock</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Comprehensive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1"/>
                <w:szCs w:val="11"/>
                <w:color w:val="auto"/>
              </w:rPr>
            </w:pPr>
          </w:p>
        </w:tc>
        <w:tc>
          <w:tcPr>
            <w:tcW w:w="82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rPr>
              <w:t>Stockholders’</w:t>
            </w: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220"/>
              <w:spacing w:after="0" w:line="111" w:lineRule="exact"/>
              <w:rPr>
                <w:sz w:val="20"/>
                <w:szCs w:val="20"/>
                <w:color w:val="auto"/>
              </w:rPr>
            </w:pPr>
            <w:r>
              <w:rPr>
                <w:rFonts w:ascii="Times New Roman" w:cs="Times New Roman" w:eastAsia="Times New Roman" w:hAnsi="Times New Roman"/>
                <w:sz w:val="12"/>
                <w:szCs w:val="12"/>
                <w:color w:val="auto"/>
              </w:rPr>
              <w:t>noncontrolling</w:t>
            </w:r>
          </w:p>
        </w:tc>
        <w:tc>
          <w:tcPr>
            <w:tcW w:w="10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Capital</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7"/>
              </w:rPr>
              <w:t>Income</w:t>
            </w:r>
          </w:p>
        </w:tc>
        <w:tc>
          <w:tcPr>
            <w:tcW w:w="140" w:type="dxa"/>
            <w:vAlign w:val="bottom"/>
          </w:tcPr>
          <w:p>
            <w:pPr>
              <w:spacing w:after="0" w:line="20" w:lineRule="exact"/>
              <w:rPr>
                <w:sz w:val="1"/>
                <w:szCs w:val="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w w:val="99"/>
              </w:rPr>
              <w:t>Earnings</w:t>
            </w:r>
          </w:p>
        </w:tc>
        <w:tc>
          <w:tcPr>
            <w:tcW w:w="100" w:type="dxa"/>
            <w:vAlign w:val="bottom"/>
          </w:tcPr>
          <w:p>
            <w:pPr>
              <w:spacing w:after="0" w:line="20" w:lineRule="exact"/>
              <w:rPr>
                <w:sz w:val="1"/>
                <w:szCs w:val="1"/>
                <w:color w:val="auto"/>
              </w:rPr>
            </w:pPr>
          </w:p>
        </w:tc>
        <w:tc>
          <w:tcPr>
            <w:tcW w:w="82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860" w:type="dxa"/>
            <w:vAlign w:val="bottom"/>
            <w:gridSpan w:val="2"/>
            <w:vMerge w:val="continue"/>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4,080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82,287,349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   229,028</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(13,963,631)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(145,747)</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186,206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269,683</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(1,082,922)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(1,082,922)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(12,267)</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2,499</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w:t>
            </w:r>
          </w:p>
        </w:tc>
        <w:tc>
          <w:tcPr>
            <w:tcW w:w="0" w:type="dxa"/>
            <w:vAlign w:val="bottom"/>
          </w:tcPr>
          <w:p>
            <w:pPr>
              <w:spacing w:after="0"/>
              <w:rPr>
                <w:sz w:val="1"/>
                <w:szCs w:val="1"/>
                <w:color w:val="auto"/>
              </w:rPr>
            </w:pPr>
          </w:p>
        </w:tc>
      </w:tr>
      <w:tr>
        <w:trPr>
          <w:trHeight w:val="127"/>
        </w:trPr>
        <w:tc>
          <w:tcPr>
            <w:tcW w:w="25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Exercise of stock-based awards, net of shares</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370,786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100" w:type="dxa"/>
            <w:vAlign w:val="bottom"/>
          </w:tcPr>
          <w:p>
            <w:pPr>
              <w:spacing w:after="0"/>
              <w:rPr>
                <w:sz w:val="11"/>
                <w:szCs w:val="11"/>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withheld</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5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Unrealized loss on interest rate hedging</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instruments, net of taxes</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14,673</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5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2026</w:t>
            </w: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4,070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81,575,213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229,256</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(15,046,553)</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(158,014)</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200,879</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 thousands, except shares)</w:t>
            </w:r>
          </w:p>
        </w:tc>
        <w:tc>
          <w:tcPr>
            <w:tcW w:w="10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color w:val="auto"/>
              </w:rPr>
              <w:t>Temporary</w:t>
            </w:r>
          </w:p>
        </w:tc>
        <w:tc>
          <w:tcPr>
            <w:tcW w:w="17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color w:val="auto"/>
              </w:rPr>
              <w:t>Class A-1</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Additional</w:t>
            </w:r>
          </w:p>
        </w:tc>
        <w:tc>
          <w:tcPr>
            <w:tcW w:w="10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3"/>
                <w:szCs w:val="13"/>
                <w:color w:val="auto"/>
                <w:w w:val="95"/>
              </w:rPr>
              <w:t>Treasury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300"/>
              <w:spacing w:after="0" w:line="128" w:lineRule="exact"/>
              <w:rPr>
                <w:sz w:val="20"/>
                <w:szCs w:val="20"/>
                <w:color w:val="auto"/>
              </w:rPr>
            </w:pPr>
            <w:r>
              <w:rPr>
                <w:rFonts w:ascii="Times New Roman" w:cs="Times New Roman" w:eastAsia="Times New Roman" w:hAnsi="Times New Roman"/>
                <w:sz w:val="13"/>
                <w:szCs w:val="13"/>
                <w:color w:val="auto"/>
                <w:w w:val="99"/>
              </w:rPr>
              <w:t>equity -</w:t>
            </w:r>
          </w:p>
        </w:tc>
        <w:tc>
          <w:tcPr>
            <w:tcW w:w="1740" w:type="dxa"/>
            <w:vAlign w:val="bottom"/>
            <w:gridSpan w:val="5"/>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300"/>
              <w:spacing w:after="0" w:line="136" w:lineRule="exact"/>
              <w:rPr>
                <w:sz w:val="20"/>
                <w:szCs w:val="20"/>
                <w:color w:val="auto"/>
              </w:rPr>
            </w:pPr>
            <w:r>
              <w:rPr>
                <w:rFonts w:ascii="Times New Roman" w:cs="Times New Roman" w:eastAsia="Times New Roman" w:hAnsi="Times New Roman"/>
                <w:sz w:val="13"/>
                <w:szCs w:val="13"/>
                <w:color w:val="auto"/>
                <w:w w:val="99"/>
              </w:rPr>
              <w:t>Redeemable</w:t>
            </w:r>
          </w:p>
        </w:tc>
        <w:tc>
          <w:tcPr>
            <w:tcW w:w="17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Common Stock</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Paid-In</w:t>
            </w:r>
          </w:p>
        </w:tc>
        <w:tc>
          <w:tcPr>
            <w:tcW w:w="106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11"/>
                <w:szCs w:val="11"/>
                <w:color w:val="auto"/>
              </w:rPr>
            </w:pPr>
          </w:p>
        </w:tc>
        <w:tc>
          <w:tcPr>
            <w:tcW w:w="84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auto"/>
                <w:w w:val="99"/>
              </w:rPr>
              <w:t>Stockholders’</w:t>
            </w: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220"/>
              <w:spacing w:after="0" w:line="111" w:lineRule="exact"/>
              <w:rPr>
                <w:sz w:val="20"/>
                <w:szCs w:val="20"/>
                <w:color w:val="auto"/>
              </w:rPr>
            </w:pPr>
            <w:r>
              <w:rPr>
                <w:rFonts w:ascii="Times New Roman" w:cs="Times New Roman" w:eastAsia="Times New Roman" w:hAnsi="Times New Roman"/>
                <w:sz w:val="12"/>
                <w:szCs w:val="12"/>
                <w:color w:val="auto"/>
              </w:rPr>
              <w:t>noncontrolling</w:t>
            </w:r>
          </w:p>
        </w:tc>
        <w:tc>
          <w:tcPr>
            <w:tcW w:w="8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5"/>
              </w:rPr>
              <w:t>Capital</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Income</w:t>
            </w:r>
          </w:p>
        </w:tc>
        <w:tc>
          <w:tcPr>
            <w:tcW w:w="120" w:type="dxa"/>
            <w:vAlign w:val="bottom"/>
          </w:tcPr>
          <w:p>
            <w:pPr>
              <w:spacing w:after="0" w:line="20" w:lineRule="exact"/>
              <w:rPr>
                <w:sz w:val="1"/>
                <w:szCs w:val="1"/>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w w:val="99"/>
              </w:rPr>
              <w:t>Earnings</w:t>
            </w:r>
          </w:p>
        </w:tc>
        <w:tc>
          <w:tcPr>
            <w:tcW w:w="80" w:type="dxa"/>
            <w:vAlign w:val="bottom"/>
          </w:tcPr>
          <w:p>
            <w:pPr>
              <w:spacing w:after="0" w:line="20" w:lineRule="exact"/>
              <w:rPr>
                <w:sz w:val="1"/>
                <w:szCs w:val="1"/>
                <w:color w:val="auto"/>
              </w:rPr>
            </w:pPr>
          </w:p>
        </w:tc>
        <w:tc>
          <w:tcPr>
            <w:tcW w:w="84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interest</w:t>
            </w:r>
          </w:p>
        </w:tc>
        <w:tc>
          <w:tcPr>
            <w:tcW w:w="8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Amount</w:t>
            </w:r>
          </w:p>
        </w:tc>
        <w:tc>
          <w:tcPr>
            <w:tcW w:w="880" w:type="dxa"/>
            <w:vAlign w:val="bottom"/>
            <w:gridSpan w:val="2"/>
            <w:vMerge w:val="continue"/>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4,278</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85,670,255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221,625</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(10,194,771)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(105,485)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4,145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134,736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255,029</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(988,678)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(988,678)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(10,304)</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2,091</w:t>
            </w:r>
          </w:p>
        </w:tc>
        <w:tc>
          <w:tcPr>
            <w:tcW w:w="0" w:type="dxa"/>
            <w:vAlign w:val="bottom"/>
          </w:tcPr>
          <w:p>
            <w:pPr>
              <w:spacing w:after="0"/>
              <w:rPr>
                <w:sz w:val="1"/>
                <w:szCs w:val="1"/>
                <w:color w:val="auto"/>
              </w:rPr>
            </w:pPr>
          </w:p>
        </w:tc>
      </w:tr>
      <w:tr>
        <w:trPr>
          <w:trHeight w:val="123"/>
        </w:trPr>
        <w:tc>
          <w:tcPr>
            <w:tcW w:w="256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Exercise of stock-based awards, net of shares</w:t>
            </w:r>
          </w:p>
        </w:tc>
        <w:tc>
          <w:tcPr>
            <w:tcW w:w="1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245,663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120" w:type="dxa"/>
            <w:vAlign w:val="bottom"/>
          </w:tcPr>
          <w:p>
            <w:pPr>
              <w:spacing w:after="0"/>
              <w:rPr>
                <w:sz w:val="10"/>
                <w:szCs w:val="10"/>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0" w:type="dxa"/>
            <w:vAlign w:val="bottom"/>
          </w:tcPr>
          <w:p>
            <w:pPr>
              <w:spacing w:after="0"/>
              <w:rPr>
                <w:sz w:val="1"/>
                <w:szCs w:val="1"/>
                <w:color w:val="auto"/>
              </w:rPr>
            </w:pPr>
          </w:p>
        </w:tc>
      </w:tr>
      <w:tr>
        <w:trPr>
          <w:trHeight w:val="178"/>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withheld</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Unrealized loss on interest rate hedging</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instruments, net of taxes</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14,639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14,639</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4,252</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84,927,240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222,462</w:t>
            </w: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(11,183,449)</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(115,789)</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3,012</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149,375</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259,068</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ACCEL ENTERTAINMENT, INC.</w:t>
      </w:r>
    </w:p>
    <w:p>
      <w:pPr>
        <w:jc w:val="center"/>
        <w:ind w:right="-1100"/>
        <w:spacing w:after="0" w:line="224" w:lineRule="auto"/>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6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2"/>
                <w:szCs w:val="12"/>
                <w:color w:val="auto"/>
              </w:rPr>
            </w:pPr>
          </w:p>
        </w:tc>
        <w:tc>
          <w:tcPr>
            <w:tcW w:w="2140" w:type="dxa"/>
            <w:vAlign w:val="bottom"/>
            <w:gridSpan w:val="4"/>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7"/>
        </w:trPr>
        <w:tc>
          <w:tcPr>
            <w:tcW w:w="614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75"/>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14,663</w:t>
            </w:r>
          </w:p>
        </w:tc>
        <w:tc>
          <w:tcPr>
            <w:tcW w:w="12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14,613</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1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Depreciation and amortization of property and equipment</w:t>
            </w:r>
          </w:p>
        </w:tc>
        <w:tc>
          <w:tcPr>
            <w:tcW w:w="2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13,862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12,301</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Amortization of intangible assets and route and customer acquisition costs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6,790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6,290</w:t>
            </w:r>
          </w:p>
        </w:tc>
        <w:tc>
          <w:tcPr>
            <w:tcW w:w="0" w:type="dxa"/>
            <w:vAlign w:val="bottom"/>
          </w:tcPr>
          <w:p>
            <w:pPr>
              <w:spacing w:after="0"/>
              <w:rPr>
                <w:sz w:val="1"/>
                <w:szCs w:val="1"/>
                <w:color w:val="auto"/>
              </w:rPr>
            </w:pPr>
          </w:p>
        </w:tc>
      </w:tr>
      <w:tr>
        <w:trPr>
          <w:trHeight w:val="175"/>
        </w:trPr>
        <w:tc>
          <w:tcPr>
            <w:tcW w:w="61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Gain on change in fair value of contingent earnout shares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0" w:type="dxa"/>
            <w:vAlign w:val="bottom"/>
          </w:tcPr>
          <w:p>
            <w:pPr>
              <w:spacing w:after="0"/>
              <w:rPr>
                <w:sz w:val="1"/>
                <w:szCs w:val="1"/>
                <w:color w:val="auto"/>
              </w:rPr>
            </w:pPr>
          </w:p>
        </w:tc>
      </w:tr>
      <w:tr>
        <w:trPr>
          <w:trHeight w:val="175"/>
        </w:trPr>
        <w:tc>
          <w:tcPr>
            <w:tcW w:w="61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2,499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27"/>
        </w:trPr>
        <w:tc>
          <w:tcPr>
            <w:tcW w:w="6140" w:type="dxa"/>
            <w:vAlign w:val="bottom"/>
          </w:tcPr>
          <w:p>
            <w:pPr>
              <w:ind w:left="780"/>
              <w:spacing w:after="0" w:line="128" w:lineRule="exact"/>
              <w:rPr>
                <w:sz w:val="20"/>
                <w:szCs w:val="20"/>
                <w:color w:val="auto"/>
              </w:rPr>
            </w:pPr>
            <w:r>
              <w:rPr>
                <w:rFonts w:ascii="Times New Roman" w:cs="Times New Roman" w:eastAsia="Times New Roman" w:hAnsi="Times New Roman"/>
                <w:sz w:val="13"/>
                <w:szCs w:val="13"/>
                <w:color w:val="auto"/>
              </w:rPr>
              <w:t>Net loss on write-off of route and customer acquisition costs and route and customer acquisition costs</w:t>
            </w:r>
          </w:p>
        </w:tc>
        <w:tc>
          <w:tcPr>
            <w:tcW w:w="260" w:type="dxa"/>
            <w:vAlign w:val="bottom"/>
          </w:tcPr>
          <w:p>
            <w:pPr>
              <w:spacing w:after="0"/>
              <w:rPr>
                <w:sz w:val="11"/>
                <w:szCs w:val="11"/>
                <w:color w:val="auto"/>
              </w:rPr>
            </w:pPr>
          </w:p>
        </w:tc>
        <w:tc>
          <w:tcPr>
            <w:tcW w:w="8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386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175"/>
        </w:trPr>
        <w:tc>
          <w:tcPr>
            <w:tcW w:w="61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payable</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Remeasurement of contingent consideration</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1,200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78"/>
        </w:trPr>
        <w:tc>
          <w:tcPr>
            <w:tcW w:w="61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Payments on consideration payable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34"/>
        </w:trPr>
        <w:tc>
          <w:tcPr>
            <w:tcW w:w="6140" w:type="dxa"/>
            <w:vAlign w:val="bottom"/>
            <w:shd w:val="clear" w:color="auto" w:fill="CCEEFF"/>
          </w:tcPr>
          <w:p>
            <w:pPr>
              <w:ind w:left="780"/>
              <w:spacing w:after="0" w:line="134" w:lineRule="exact"/>
              <w:rPr>
                <w:sz w:val="20"/>
                <w:szCs w:val="20"/>
                <w:color w:val="auto"/>
              </w:rPr>
            </w:pPr>
            <w:r>
              <w:rPr>
                <w:rFonts w:ascii="Times New Roman" w:cs="Times New Roman" w:eastAsia="Times New Roman" w:hAnsi="Times New Roman"/>
                <w:sz w:val="13"/>
                <w:szCs w:val="13"/>
                <w:color w:val="auto"/>
              </w:rPr>
              <w:t>Accretion of interest on route and customer acquisition costs payable, contingent consideration, and</w:t>
            </w:r>
          </w:p>
        </w:tc>
        <w:tc>
          <w:tcPr>
            <w:tcW w:w="2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629</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contingent stock consideration</w:t>
            </w:r>
          </w:p>
        </w:tc>
        <w:tc>
          <w:tcPr>
            <w:tcW w:w="2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1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w:t>
            </w:r>
          </w:p>
        </w:tc>
        <w:tc>
          <w:tcPr>
            <w:tcW w:w="0" w:type="dxa"/>
            <w:vAlign w:val="bottom"/>
          </w:tcPr>
          <w:p>
            <w:pPr>
              <w:spacing w:after="0"/>
              <w:rPr>
                <w:sz w:val="1"/>
                <w:szCs w:val="1"/>
                <w:color w:val="auto"/>
              </w:rPr>
            </w:pPr>
          </w:p>
        </w:tc>
      </w:tr>
      <w:tr>
        <w:trPr>
          <w:trHeight w:val="188"/>
        </w:trPr>
        <w:tc>
          <w:tcPr>
            <w:tcW w:w="61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Income taxes receivable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5,226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Route and customer acquisition costs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Route and customer acquisition costs payable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75"/>
        </w:trPr>
        <w:tc>
          <w:tcPr>
            <w:tcW w:w="61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16,157</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Accrued compensation and related expenses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0" w:type="dxa"/>
            <w:vAlign w:val="bottom"/>
          </w:tcPr>
          <w:p>
            <w:pPr>
              <w:spacing w:after="0"/>
              <w:rPr>
                <w:sz w:val="1"/>
                <w:szCs w:val="1"/>
                <w:color w:val="auto"/>
              </w:rPr>
            </w:pPr>
          </w:p>
        </w:tc>
      </w:tr>
      <w:tr>
        <w:trPr>
          <w:trHeight w:val="175"/>
        </w:trPr>
        <w:tc>
          <w:tcPr>
            <w:tcW w:w="61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995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0" w:type="dxa"/>
            <w:vAlign w:val="bottom"/>
          </w:tcPr>
          <w:p>
            <w:pPr>
              <w:spacing w:after="0"/>
              <w:rPr>
                <w:sz w:val="1"/>
                <w:szCs w:val="1"/>
                <w:color w:val="auto"/>
              </w:rPr>
            </w:pPr>
          </w:p>
        </w:tc>
      </w:tr>
      <w:tr>
        <w:trPr>
          <w:trHeight w:val="34"/>
        </w:trPr>
        <w:tc>
          <w:tcPr>
            <w:tcW w:w="6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1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42,743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44,752</w:t>
            </w:r>
          </w:p>
        </w:tc>
        <w:tc>
          <w:tcPr>
            <w:tcW w:w="0" w:type="dxa"/>
            <w:vAlign w:val="bottom"/>
          </w:tcPr>
          <w:p>
            <w:pPr>
              <w:spacing w:after="0"/>
              <w:rPr>
                <w:sz w:val="1"/>
                <w:szCs w:val="1"/>
                <w:color w:val="auto"/>
              </w:rPr>
            </w:pPr>
          </w:p>
        </w:tc>
      </w:tr>
      <w:tr>
        <w:trPr>
          <w:trHeight w:val="155"/>
        </w:trPr>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(26,755)</w:t>
            </w:r>
          </w:p>
        </w:tc>
        <w:tc>
          <w:tcPr>
            <w:tcW w:w="0" w:type="dxa"/>
            <w:vAlign w:val="bottom"/>
          </w:tcPr>
          <w:p>
            <w:pPr>
              <w:spacing w:after="0"/>
              <w:rPr>
                <w:sz w:val="1"/>
                <w:szCs w:val="1"/>
                <w:color w:val="auto"/>
              </w:rPr>
            </w:pPr>
          </w:p>
        </w:tc>
      </w:tr>
      <w:tr>
        <w:trPr>
          <w:trHeight w:val="175"/>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Proceeds from the sale of property and equipment</w:t>
            </w:r>
          </w:p>
        </w:tc>
        <w:tc>
          <w:tcPr>
            <w:tcW w:w="2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Business and asset acquisitions, net of cash acquired</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68"/>
        </w:trPr>
        <w:tc>
          <w:tcPr>
            <w:tcW w:w="6140" w:type="dxa"/>
            <w:vAlign w:val="bottom"/>
          </w:tcPr>
          <w:p>
            <w:pPr>
              <w:ind w:left="15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(23,069)</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(26,186)</w:t>
            </w:r>
          </w:p>
        </w:tc>
        <w:tc>
          <w:tcPr>
            <w:tcW w:w="0" w:type="dxa"/>
            <w:vAlign w:val="bottom"/>
          </w:tcPr>
          <w:p>
            <w:pPr>
              <w:spacing w:after="0"/>
              <w:rPr>
                <w:sz w:val="1"/>
                <w:szCs w:val="1"/>
                <w:color w:val="auto"/>
              </w:rPr>
            </w:pPr>
          </w:p>
        </w:tc>
      </w:tr>
      <w:tr>
        <w:trPr>
          <w:trHeight w:val="34"/>
        </w:trPr>
        <w:tc>
          <w:tcPr>
            <w:tcW w:w="6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Payments on debt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(14,863)</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Payments for debt issuance costs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Payments for repurchase of common stock</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(10,202)</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Payments on interest rate hedging instruments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0" w:type="dxa"/>
            <w:vAlign w:val="bottom"/>
          </w:tcPr>
          <w:p>
            <w:pPr>
              <w:spacing w:after="0"/>
              <w:rPr>
                <w:sz w:val="1"/>
                <w:szCs w:val="1"/>
                <w:color w:val="auto"/>
              </w:rPr>
            </w:pPr>
          </w:p>
        </w:tc>
      </w:tr>
      <w:tr>
        <w:trPr>
          <w:trHeight w:val="188"/>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Payments on financing of property and equipment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Payments on finance leases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88"/>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Payments on consideration payable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Tax withholding on stock-based payments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0" w:type="dxa"/>
            <w:vAlign w:val="bottom"/>
          </w:tcPr>
          <w:p>
            <w:pPr>
              <w:spacing w:after="0"/>
              <w:rPr>
                <w:sz w:val="1"/>
                <w:szCs w:val="1"/>
                <w:color w:val="auto"/>
              </w:rPr>
            </w:pPr>
          </w:p>
        </w:tc>
      </w:tr>
      <w:tr>
        <w:trPr>
          <w:trHeight w:val="168"/>
        </w:trPr>
        <w:tc>
          <w:tcPr>
            <w:tcW w:w="6140" w:type="dxa"/>
            <w:vAlign w:val="bottom"/>
          </w:tcPr>
          <w:p>
            <w:pPr>
              <w:ind w:left="158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(42,145)</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(27,932)</w:t>
            </w:r>
          </w:p>
        </w:tc>
        <w:tc>
          <w:tcPr>
            <w:tcW w:w="0" w:type="dxa"/>
            <w:vAlign w:val="bottom"/>
          </w:tcPr>
          <w:p>
            <w:pPr>
              <w:spacing w:after="0"/>
              <w:rPr>
                <w:sz w:val="1"/>
                <w:szCs w:val="1"/>
                <w:color w:val="auto"/>
              </w:rPr>
            </w:pPr>
          </w:p>
        </w:tc>
      </w:tr>
      <w:tr>
        <w:trPr>
          <w:trHeight w:val="21"/>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14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(9,366)</w:t>
            </w:r>
          </w:p>
        </w:tc>
        <w:tc>
          <w:tcPr>
            <w:tcW w:w="0" w:type="dxa"/>
            <w:vAlign w:val="bottom"/>
          </w:tcPr>
          <w:p>
            <w:pPr>
              <w:spacing w:after="0"/>
              <w:rPr>
                <w:sz w:val="1"/>
                <w:szCs w:val="1"/>
                <w:color w:val="auto"/>
              </w:rPr>
            </w:pPr>
          </w:p>
        </w:tc>
      </w:tr>
      <w:tr>
        <w:trPr>
          <w:trHeight w:val="175"/>
        </w:trPr>
        <w:tc>
          <w:tcPr>
            <w:tcW w:w="61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296,566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281,305</w:t>
            </w:r>
          </w:p>
        </w:tc>
        <w:tc>
          <w:tcPr>
            <w:tcW w:w="0" w:type="dxa"/>
            <w:vAlign w:val="bottom"/>
          </w:tcPr>
          <w:p>
            <w:pPr>
              <w:spacing w:after="0"/>
              <w:rPr>
                <w:sz w:val="1"/>
                <w:szCs w:val="1"/>
                <w:color w:val="auto"/>
              </w:rPr>
            </w:pPr>
          </w:p>
        </w:tc>
      </w:tr>
      <w:tr>
        <w:trPr>
          <w:trHeight w:val="197"/>
        </w:trPr>
        <w:tc>
          <w:tcPr>
            <w:tcW w:w="6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End of period</w:t>
            </w: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274,095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271,939</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ACCEL ENTERTAINMENT, INC.</w:t>
      </w:r>
    </w:p>
    <w:p>
      <w:pPr>
        <w:jc w:val="center"/>
        <w:ind w:right="-1100"/>
        <w:spacing w:after="0" w:line="224" w:lineRule="auto"/>
        <w:rPr>
          <w:sz w:val="20"/>
          <w:szCs w:val="20"/>
          <w:color w:val="auto"/>
        </w:rPr>
      </w:pPr>
      <w:r>
        <w:rPr>
          <w:rFonts w:ascii="Times New Roman" w:cs="Times New Roman" w:eastAsia="Times New Roman" w:hAnsi="Times New Roman"/>
          <w:sz w:val="16"/>
          <w:szCs w:val="16"/>
          <w:b w:val="1"/>
          <w:bCs w:val="1"/>
          <w:color w:val="auto"/>
        </w:rPr>
        <w:t>CONDENSED CONSOLIDATED STATEMENTS OF CASH FLOWS - (Continued)</w:t>
      </w: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6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80" w:type="dxa"/>
            <w:vAlign w:val="bottom"/>
            <w:gridSpan w:val="4"/>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120" w:type="dxa"/>
            <w:vAlign w:val="bottom"/>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 payments for:</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Interest, net</w:t>
            </w:r>
          </w:p>
        </w:tc>
        <w:tc>
          <w:tcPr>
            <w:tcW w:w="74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7,942</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8,065</w:t>
            </w:r>
          </w:p>
        </w:tc>
        <w:tc>
          <w:tcPr>
            <w:tcW w:w="0" w:type="dxa"/>
            <w:vAlign w:val="bottom"/>
          </w:tcPr>
          <w:p>
            <w:pPr>
              <w:spacing w:after="0"/>
              <w:rPr>
                <w:sz w:val="1"/>
                <w:szCs w:val="1"/>
                <w:color w:val="auto"/>
              </w:rPr>
            </w:pPr>
          </w:p>
        </w:tc>
      </w:tr>
      <w:tr>
        <w:trPr>
          <w:trHeight w:val="200"/>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schedules of noncash investing and financing activities: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Purchases of property and equipment in accounts payable and accrued liabilities</w:t>
            </w:r>
          </w:p>
        </w:tc>
        <w:tc>
          <w:tcPr>
            <w:tcW w:w="74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7,961</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13,552</w:t>
            </w:r>
          </w:p>
        </w:tc>
        <w:tc>
          <w:tcPr>
            <w:tcW w:w="0" w:type="dxa"/>
            <w:vAlign w:val="bottom"/>
          </w:tcPr>
          <w:p>
            <w:pPr>
              <w:spacing w:after="0"/>
              <w:rPr>
                <w:sz w:val="1"/>
                <w:szCs w:val="1"/>
                <w:color w:val="auto"/>
              </w:rPr>
            </w:pPr>
          </w:p>
        </w:tc>
      </w:tr>
      <w:tr>
        <w:trPr>
          <w:trHeight w:val="212"/>
        </w:trPr>
        <w:tc>
          <w:tcPr>
            <w:tcW w:w="61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Purchase of equipment financed through vendor</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4,498</w:t>
            </w:r>
          </w:p>
        </w:tc>
        <w:tc>
          <w:tcPr>
            <w:tcW w:w="120" w:type="dxa"/>
            <w:vAlign w:val="bottom"/>
          </w:tcPr>
          <w:p>
            <w:pPr>
              <w:spacing w:after="0"/>
              <w:rPr>
                <w:sz w:val="18"/>
                <w:szCs w:val="18"/>
                <w:color w:val="auto"/>
              </w:rPr>
            </w:pPr>
          </w:p>
        </w:tc>
        <w:tc>
          <w:tcPr>
            <w:tcW w:w="700" w:type="dxa"/>
            <w:vAlign w:val="bottom"/>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Deferred premium on interest rate caplets</w:t>
            </w:r>
          </w:p>
        </w:tc>
        <w:tc>
          <w:tcPr>
            <w:tcW w:w="74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0" w:type="dxa"/>
            <w:vAlign w:val="bottom"/>
          </w:tcPr>
          <w:p>
            <w:pPr>
              <w:spacing w:after="0"/>
              <w:rPr>
                <w:sz w:val="1"/>
                <w:szCs w:val="1"/>
                <w:color w:val="auto"/>
              </w:rPr>
            </w:pPr>
          </w:p>
        </w:tc>
      </w:tr>
      <w:tr>
        <w:trPr>
          <w:trHeight w:val="200"/>
        </w:trPr>
        <w:tc>
          <w:tcPr>
            <w:tcW w:w="612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businesses and assets: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identifiable net assets acquired</w:t>
            </w:r>
          </w:p>
        </w:tc>
        <w:tc>
          <w:tcPr>
            <w:tcW w:w="74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34"/>
        </w:trPr>
        <w:tc>
          <w:tcPr>
            <w:tcW w:w="6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ACCEL ENTERTAINMENT,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Description of Business</w:t>
      </w:r>
    </w:p>
    <w:p>
      <w:pPr>
        <w:spacing w:after="0" w:line="164" w:lineRule="exact"/>
        <w:rPr>
          <w:sz w:val="20"/>
          <w:szCs w:val="20"/>
          <w:color w:val="auto"/>
        </w:rPr>
      </w:pPr>
    </w:p>
    <w:p>
      <w:pPr>
        <w:jc w:val="both"/>
        <w:ind w:firstLine="295"/>
        <w:spacing w:after="0" w:line="323" w:lineRule="auto"/>
        <w:rPr>
          <w:sz w:val="20"/>
          <w:szCs w:val="20"/>
          <w:color w:val="auto"/>
        </w:rPr>
      </w:pPr>
      <w:r>
        <w:rPr>
          <w:rFonts w:ascii="Times New Roman" w:cs="Times New Roman" w:eastAsia="Times New Roman" w:hAnsi="Times New Roman"/>
          <w:sz w:val="16"/>
          <w:szCs w:val="16"/>
          <w:color w:val="auto"/>
        </w:rPr>
        <w:t>Accel Entertainment, Inc. (and together with its subsidiaries, the “Company” or “Accel”) is a leading distributed gaming operator in the United States (“U.S.”), as well as a developer of brick-and-mortar casinos that serve local gaming markets and horse racing venues. The Company has operations in Illinois, Montana, Nevada, Nebraska, Georgia, Iowa, Louisiana, South Dakota, West Virginia and Pennsylvania. The Company is subject to the various regulations in the states in which it operates, as well as various other federal, state and local laws and regulations.</w:t>
      </w:r>
    </w:p>
    <w:p>
      <w:pPr>
        <w:spacing w:after="0" w:line="92" w:lineRule="exact"/>
        <w:rPr>
          <w:sz w:val="20"/>
          <w:szCs w:val="20"/>
          <w:color w:val="auto"/>
        </w:rPr>
      </w:pPr>
    </w:p>
    <w:p>
      <w:pPr>
        <w:jc w:val="both"/>
        <w:ind w:firstLine="295"/>
        <w:spacing w:after="0" w:line="317" w:lineRule="auto"/>
        <w:rPr>
          <w:sz w:val="20"/>
          <w:szCs w:val="20"/>
          <w:color w:val="auto"/>
        </w:rPr>
      </w:pPr>
      <w:r>
        <w:rPr>
          <w:rFonts w:ascii="Times New Roman" w:cs="Times New Roman" w:eastAsia="Times New Roman" w:hAnsi="Times New Roman"/>
          <w:sz w:val="16"/>
          <w:szCs w:val="16"/>
          <w:color w:val="auto"/>
        </w:rPr>
        <w:t>The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as well as casinos and horse racing venues. The Company also operates stand-alone ATMs in gaming and non-gaming locations and designs and manufactures gaming terminals and related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73"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b w:val="1"/>
          <w:bCs w:val="1"/>
          <w:color w:val="auto"/>
        </w:rPr>
        <w:t>Basis of presentation and preparation</w:t>
      </w:r>
      <w:r>
        <w:rPr>
          <w:rFonts w:ascii="Times New Roman" w:cs="Times New Roman" w:eastAsia="Times New Roman" w:hAnsi="Times New Roman"/>
          <w:sz w:val="16"/>
          <w:szCs w:val="16"/>
          <w:color w:val="auto"/>
        </w:rPr>
        <w:t>: The condensed consolidated financial statements and accompanying notes were prepared in conformity with U.S. generally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accepted accounting principles (“GAAP”) and the rules and regulations of the Securities and Exchange Commission (“SEC”). The condensed consolidated financial statements include the accounts of the Company and of its wholly-owned subsidiaries. All significant intercompany balances and transactions have been eliminated in consolidation. Certain prior period amounts have been reclassified to conform to the current period presentation.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2025 (the “Form 10-K”).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w:t>
      </w:r>
    </w:p>
    <w:p>
      <w:pPr>
        <w:spacing w:after="0" w:line="33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6"/>
          <w:szCs w:val="16"/>
          <w:b w:val="1"/>
          <w:bCs w:val="1"/>
          <w:color w:val="auto"/>
        </w:rPr>
        <w:t>Use of estimates</w:t>
      </w:r>
      <w:r>
        <w:rPr>
          <w:rFonts w:ascii="Times New Roman" w:cs="Times New Roman" w:eastAsia="Times New Roman" w:hAnsi="Times New Roman"/>
          <w:sz w:val="16"/>
          <w:szCs w:val="16"/>
          <w:color w:val="auto"/>
        </w:rPr>
        <w:t>: The preparation of the condensed consolidated financial statements requires management to make estimates and assumptions that affect (i) the reported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the valuation of interest rate hedging instruments, contingencies, and the expected term of share-based compensation awards and stock price volatility when computing stock-based compensation expense.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399"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b w:val="1"/>
          <w:bCs w:val="1"/>
          <w:color w:val="auto"/>
        </w:rPr>
        <w:t xml:space="preserve">Equity method investments: </w:t>
      </w:r>
      <w:r>
        <w:rPr>
          <w:rFonts w:ascii="Times New Roman" w:cs="Times New Roman" w:eastAsia="Times New Roman" w:hAnsi="Times New Roman"/>
          <w:sz w:val="16"/>
          <w:szCs w:val="16"/>
          <w:color w:val="auto"/>
        </w:rPr>
        <w:t>In the normal course of business, the Company makes investments in companies that will allow it to expand the Company’s core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VIEs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In assessing whether it has a controlling financial interest, the Company’s management assesses, among other factors, the Company’s risk of loss, its investment percentage and its ability to control the operations of the investment. If the Company determines it is not the primary beneficiary, it will account for the investment under the equity method of accounting.</w:t>
      </w:r>
    </w:p>
    <w:p>
      <w:pPr>
        <w:spacing w:after="0" w:line="112"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color w:val="auto"/>
        </w:rPr>
        <w:t>The Company accounts for its investments in unconsolidated affiliates, which do not meet the controlling financial interest consolidation criteria of the authoritative accounting guidance for VIEs, under the equity method of accounting. Under the equity method of accounting, the Company records its share of net income or loss from equity method investments within (income) loss from unconsolidated affiliates in the condensed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w:t>
      </w:r>
    </w:p>
    <w:p>
      <w:pPr>
        <w:spacing w:after="0" w:line="10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6"/>
          <w:szCs w:val="16"/>
          <w:color w:val="auto"/>
        </w:rPr>
        <w:t>In 2024, the Company invested $5.0 million in HBC Gaming LLC (“HBC”), in exchange for a 5% equity interest. HBC is a local entertainment company based in Hampton, New Hampshire that specializes in providing a variety of gaming services to its customers. The Company assessed its investment and determined it is an investment in a VIE but determined it is not the primary beneficiary and does not consolidate HBC. The Company’s maximum risk of loss is equal to its initial $5.0 million investment. As such, the Company’s 5% investment in HBC qualifies for equity method accounting. The Company recorded its initial investment of $5.0 million within other assets on the condensed consolidated balance sheets. The Company also has obligations to fund additional equity investments in the event certain construction and development milestones are met in an amount up to 10% ownership of HBC, on an undiluted basis, at an additional cost of up to $6.5 million.</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recorded a loss from unconsolidated affiliates of less than $0.1 million for both the three months ended March 31, 2026 and 2025.</w:t>
      </w:r>
    </w:p>
    <w:p>
      <w:pPr>
        <w:spacing w:after="0" w:line="18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6"/>
          <w:szCs w:val="16"/>
          <w:b w:val="1"/>
          <w:bCs w:val="1"/>
          <w:color w:val="auto"/>
        </w:rPr>
        <w:t>Revenue recognition</w:t>
      </w:r>
      <w:r>
        <w:rPr>
          <w:rFonts w:ascii="Times New Roman" w:cs="Times New Roman" w:eastAsia="Times New Roman" w:hAnsi="Times New Roman"/>
          <w:sz w:val="16"/>
          <w:szCs w:val="16"/>
          <w:color w:val="auto"/>
        </w:rPr>
        <w:t>: The Company primarily generates revenues from the following types of services: gaming terminals, amusements, and ATMs. The Company also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generates manufacturing revenue from the sale of gaming terminals and associated software, as well as revenue from its casino and racing operations. Revenue is disaggregated by type of revenue and is presented on the face of the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net revenues for the three months ended March 31, 2026 and 2025 is disaggregated in the following table by the primary states in which the Company operates.</w:t>
      </w:r>
    </w:p>
    <w:p>
      <w:pPr>
        <w:spacing w:after="0" w:line="21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2820" w:type="dxa"/>
        <w:tblCellMar>
          <w:top w:w="0" w:type="dxa"/>
          <w:left w:w="0" w:type="dxa"/>
          <w:bottom w:w="0" w:type="dxa"/>
          <w:right w:w="0" w:type="dxa"/>
        </w:tblCellMar>
      </w:tblPr>
      <w:tr>
        <w:trPr>
          <w:trHeight w:val="219"/>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
        </w:trPr>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6"/>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 by state: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222"/>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Illinois</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252,798</w:t>
            </w:r>
          </w:p>
        </w:tc>
        <w:tc>
          <w:tcPr>
            <w:tcW w:w="1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233,479</w:t>
            </w:r>
          </w:p>
        </w:tc>
      </w:tr>
      <w:tr>
        <w:trPr>
          <w:trHeight w:val="24"/>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Montana</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40,636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41,136</w:t>
            </w:r>
          </w:p>
        </w:tc>
      </w:tr>
      <w:tr>
        <w:trPr>
          <w:trHeight w:val="222"/>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Nevada</w:t>
            </w:r>
          </w:p>
        </w:tc>
        <w:tc>
          <w:tcPr>
            <w:tcW w:w="24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29,301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27,617</w:t>
            </w:r>
          </w:p>
        </w:tc>
      </w:tr>
      <w:tr>
        <w:trPr>
          <w:trHeight w:val="24"/>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Louisiana</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9,025</w:t>
            </w:r>
          </w:p>
        </w:tc>
      </w:tr>
      <w:tr>
        <w:trPr>
          <w:trHeight w:val="222"/>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Nebraska</w:t>
            </w:r>
          </w:p>
        </w:tc>
        <w:tc>
          <w:tcPr>
            <w:tcW w:w="24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11,381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w:t>
            </w:r>
          </w:p>
        </w:tc>
      </w:tr>
      <w:tr>
        <w:trPr>
          <w:trHeight w:val="24"/>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Georgia</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6,184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r>
      <w:tr>
        <w:trPr>
          <w:trHeight w:val="222"/>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4"/>
        </w:trPr>
        <w:tc>
          <w:tcPr>
            <w:tcW w:w="3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3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net revenues</w:t>
            </w: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351,558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323,912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May 2025, the Financial Accounting Standards Board (“FASB”) issued Accounting Standards Update (“ASU”) 2025-03,</w:t>
      </w:r>
    </w:p>
    <w:p>
      <w:pPr>
        <w:spacing w:after="0" w:line="5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6"/>
          <w:szCs w:val="16"/>
          <w:i w:val="1"/>
          <w:iCs w:val="1"/>
          <w:color w:val="auto"/>
        </w:rPr>
        <w:t xml:space="preserve">Business Combinations (Topic 805) and Consolidation (Topic 810): Determining the Accounting Acquirer in the Acquisition of a Variable Interest Entity, </w:t>
      </w:r>
      <w:r>
        <w:rPr>
          <w:rFonts w:ascii="Times New Roman" w:cs="Times New Roman" w:eastAsia="Times New Roman" w:hAnsi="Times New Roman"/>
          <w:sz w:val="16"/>
          <w:szCs w:val="16"/>
          <w:color w:val="auto"/>
        </w:rPr>
        <w:t>which provides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enhanced comparability of financial statements across entities engaging in acquisition transactions effected primarily by exchanging equity interests when the legal acquiree meets the definition of a business. The ASU is effective for fiscal years beginning after December 15, 2026, and interim periods within those annual reporting periods. Entities must adopt the changes prospectively to any acquisition transaction that occurs after the initial application date. The Company is currently evaluating the potential effect that this ASU will have on its financial statement disclosures.</w:t>
      </w:r>
    </w:p>
    <w:p>
      <w:pPr>
        <w:spacing w:after="0" w:line="9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Intangibles—Goodwill and Other—Internal-Use Software (Subtopic 350-40): Targeted Improvements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for Internal-Use Software, </w:t>
      </w:r>
      <w:r>
        <w:rPr>
          <w:rFonts w:ascii="Times New Roman" w:cs="Times New Roman" w:eastAsia="Times New Roman" w:hAnsi="Times New Roman"/>
          <w:sz w:val="16"/>
          <w:szCs w:val="16"/>
          <w:color w:val="auto"/>
        </w:rPr>
        <w:t>which provides enhanced language to remove all references to prescriptive and sequential software development stages (referred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ASU is effective for fiscal years beginning after December 15, 2027, and interim periods within those annual reporting periods. Entities must adopt the changes either 1) prospectively, 2) retrospectively to any or all prior periods presented in the financial statements, or 3) using a modified transition approach that is based on the status of the project and whether software costs were capitalized before the date of adoption after the initial application date. The Company is currently evaluating the potential effect that this ASU will have on its financial statements and disclosures.</w:t>
      </w:r>
    </w:p>
    <w:p>
      <w:pPr>
        <w:spacing w:after="0" w:line="8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2025-07, </w:t>
      </w:r>
      <w:r>
        <w:rPr>
          <w:rFonts w:ascii="Times New Roman" w:cs="Times New Roman" w:eastAsia="Times New Roman" w:hAnsi="Times New Roman"/>
          <w:sz w:val="16"/>
          <w:szCs w:val="16"/>
          <w:i w:val="1"/>
          <w:iCs w:val="1"/>
          <w:color w:val="auto"/>
        </w:rPr>
        <w:t>Derivatives and Hedging (Topic 815) and Revenue from Contracts with Customers (Topic 606),</w:t>
      </w:r>
      <w:r>
        <w:rPr>
          <w:rFonts w:ascii="Times New Roman" w:cs="Times New Roman" w:eastAsia="Times New Roman" w:hAnsi="Times New Roman"/>
          <w:sz w:val="16"/>
          <w:szCs w:val="16"/>
          <w:color w:val="auto"/>
        </w:rPr>
        <w:t xml:space="preserve"> which provides enhanced language concerning the definition of a derivative and how it should not apply to certain contracts. Therefore, the amendments in this update expand the scope exception for certain contracts not traded on an exchange to include contracts for which settlement is based on operations or activities specific to one of the parties to the contract. This improvement is expected to result in more contracts and embedded features being excluded from the scope of Topic 815. The ASU is effective for fiscal years beginning after December 15, 2026, and interim periods within those annual reporting periods. Entities must adopt the changes either 1) prospectively, 2) modified retrospectively through a cumulative-effect adjustment to the opening balance of retained earnings as of the beginning of the annual reporting period of adoption for contracts existing as of the beginning of the annual reporting period of adoption. The Company is currently evaluating the potential effect that this ASU will have on its financial statements and disclosures.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ind w:left="2"/>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389" w:lineRule="exact"/>
        <w:rPr>
          <w:sz w:val="20"/>
          <w:szCs w:val="20"/>
          <w:color w:val="auto"/>
        </w:rPr>
      </w:pPr>
    </w:p>
    <w:p>
      <w:pPr>
        <w:jc w:val="both"/>
        <w:ind w:left="2"/>
        <w:spacing w:after="0" w:line="316" w:lineRule="auto"/>
        <w:rPr>
          <w:sz w:val="20"/>
          <w:szCs w:val="20"/>
          <w:color w:val="auto"/>
        </w:rPr>
      </w:pPr>
      <w:r>
        <w:rPr>
          <w:rFonts w:ascii="Times New Roman" w:cs="Times New Roman" w:eastAsia="Times New Roman" w:hAnsi="Times New Roman"/>
          <w:sz w:val="16"/>
          <w:szCs w:val="16"/>
          <w:color w:val="auto"/>
        </w:rPr>
        <w:t xml:space="preserve">In November 2025, the FASB issued ASU 2025-09, </w:t>
      </w:r>
      <w:r>
        <w:rPr>
          <w:rFonts w:ascii="Times New Roman" w:cs="Times New Roman" w:eastAsia="Times New Roman" w:hAnsi="Times New Roman"/>
          <w:sz w:val="16"/>
          <w:szCs w:val="16"/>
          <w:i w:val="1"/>
          <w:iCs w:val="1"/>
          <w:color w:val="auto"/>
        </w:rPr>
        <w:t>Derivatives and Hedging (Topic 815) Hedge Accounting Improvements,</w:t>
      </w:r>
      <w:r>
        <w:rPr>
          <w:rFonts w:ascii="Times New Roman" w:cs="Times New Roman" w:eastAsia="Times New Roman" w:hAnsi="Times New Roman"/>
          <w:sz w:val="16"/>
          <w:szCs w:val="16"/>
          <w:color w:val="auto"/>
        </w:rPr>
        <w:t xml:space="preserve"> which provides clarification on certain aspects of the guidance on hedge accounting and to address several incremental hedge accounting issues arising from the global reference rate reform initiative such as risk assessment for cash flow hedges, forecasted interest payments, nonfinancial forecasted transactions and written options. The ASU is effective for fiscal years beginning after December 15, 2026, and interim periods within those annual reporting periods. Entities must adopt the changes on a prospective basis for all hedging relationships. An entity may elect to adopt the amendments in this Update for hedging relationships that exist as of the date of adoption. The Company is currently evaluating the potential effect that this ASU will have on its financial statements and disclosures.</w:t>
      </w:r>
    </w:p>
    <w:p>
      <w:pPr>
        <w:spacing w:after="0" w:line="84" w:lineRule="exact"/>
        <w:rPr>
          <w:sz w:val="20"/>
          <w:szCs w:val="20"/>
          <w:color w:val="auto"/>
        </w:rPr>
      </w:pPr>
    </w:p>
    <w:p>
      <w:pPr>
        <w:jc w:val="both"/>
        <w:ind w:left="2"/>
        <w:spacing w:after="0" w:line="316"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2025-11, </w:t>
      </w:r>
      <w:r>
        <w:rPr>
          <w:rFonts w:ascii="Times New Roman" w:cs="Times New Roman" w:eastAsia="Times New Roman" w:hAnsi="Times New Roman"/>
          <w:sz w:val="16"/>
          <w:szCs w:val="16"/>
          <w:i w:val="1"/>
          <w:iCs w:val="1"/>
          <w:color w:val="auto"/>
        </w:rPr>
        <w:t>Interim Reporting (Topic 270) Narrow-Scope Improvements,</w:t>
      </w:r>
      <w:r>
        <w:rPr>
          <w:rFonts w:ascii="Times New Roman" w:cs="Times New Roman" w:eastAsia="Times New Roman" w:hAnsi="Times New Roman"/>
          <w:sz w:val="16"/>
          <w:szCs w:val="16"/>
          <w:color w:val="auto"/>
        </w:rPr>
        <w:t xml:space="preserve"> which provides clarification on interim disclosure requirements and the applicability of Topic 270. This improvement is expected to result in a comprehensive list of interim disclosures that are required by GAAP. The objective of the amendments is to provide clarity about the current requirements, rather than evaluate whether to expand or reduce interim disclosure requirements. The ASU is effective for fiscal years beginning after December 15, 2027, and interim periods within those annual reporting periods. Entities must adopt the changes either 1) prospectively or, 2) retrospectively to any or all prior periods presented in the financial statements. The Company is currently evaluating the potential effect that this ASU will have on its financial statements and disclosures.</w:t>
      </w:r>
    </w:p>
    <w:p>
      <w:pPr>
        <w:spacing w:after="0" w:line="96" w:lineRule="exact"/>
        <w:rPr>
          <w:sz w:val="20"/>
          <w:szCs w:val="20"/>
          <w:color w:val="auto"/>
        </w:rPr>
      </w:pPr>
    </w:p>
    <w:p>
      <w:pPr>
        <w:jc w:val="both"/>
        <w:ind w:left="2"/>
        <w:spacing w:after="0" w:line="309"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 - Reporting Comprehensive Income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Disaggregation of Income Statement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Expenses, </w:t>
      </w:r>
      <w:r>
        <w:rPr>
          <w:rFonts w:ascii="Times New Roman" w:cs="Times New Roman" w:eastAsia="Times New Roman" w:hAnsi="Times New Roman"/>
          <w:sz w:val="16"/>
          <w:szCs w:val="16"/>
          <w:color w:val="auto"/>
        </w:rPr>
        <w:t>which requires public entities to disclose information about certain costs and expenses. The amendments in this ASU improve financial reporting by requiring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w:t>
      </w:r>
    </w:p>
    <w:p>
      <w:pPr>
        <w:spacing w:after="0" w:line="1" w:lineRule="exact"/>
        <w:rPr>
          <w:sz w:val="20"/>
          <w:szCs w:val="20"/>
          <w:color w:val="auto"/>
        </w:rPr>
      </w:pPr>
    </w:p>
    <w:p>
      <w:pPr>
        <w:ind w:left="2" w:hanging="2"/>
        <w:spacing w:after="0" w:line="343" w:lineRule="auto"/>
        <w:tabs>
          <w:tab w:leader="none" w:pos="1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w:t>
      </w:r>
    </w:p>
    <w:p>
      <w:pPr>
        <w:spacing w:after="0" w:line="77" w:lineRule="exact"/>
        <w:rPr>
          <w:sz w:val="20"/>
          <w:szCs w:val="20"/>
          <w:color w:val="auto"/>
        </w:rPr>
      </w:pPr>
    </w:p>
    <w:p>
      <w:pPr>
        <w:jc w:val="both"/>
        <w:ind w:left="2"/>
        <w:spacing w:after="0" w:line="343" w:lineRule="auto"/>
        <w:rPr>
          <w:sz w:val="20"/>
          <w:szCs w:val="20"/>
          <w:color w:val="auto"/>
        </w:rPr>
      </w:pPr>
      <w:r>
        <w:rPr>
          <w:rFonts w:ascii="Times New Roman" w:cs="Times New Roman" w:eastAsia="Times New Roman" w:hAnsi="Times New Roman"/>
          <w:sz w:val="16"/>
          <w:szCs w:val="16"/>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3. Inventories</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Inventories consist of the following as of March 31, 2026 and December 31, 2025 (in thousands):</w:t>
      </w:r>
    </w:p>
    <w:p>
      <w:pPr>
        <w:spacing w:after="0" w:line="255" w:lineRule="exact"/>
        <w:rPr>
          <w:sz w:val="20"/>
          <w:szCs w:val="20"/>
          <w:color w:val="auto"/>
        </w:rPr>
      </w:pPr>
    </w:p>
    <w:tbl>
      <w:tblPr>
        <w:tblLayout w:type="fixed"/>
        <w:tblInd w:w="2342" w:type="dxa"/>
        <w:tblCellMar>
          <w:top w:w="0" w:type="dxa"/>
          <w:left w:w="0" w:type="dxa"/>
          <w:bottom w:w="0" w:type="dxa"/>
          <w:right w:w="0" w:type="dxa"/>
        </w:tblCellMar>
      </w:tblPr>
      <w:tr>
        <w:trPr>
          <w:trHeight w:val="197"/>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1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manufacturing supplies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r>
      <w:tr>
        <w:trPr>
          <w:trHeight w:val="24"/>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As of March 31, 2026 and December 31, 2025, no write down of inventory was determined necessary.</w:t>
      </w:r>
    </w:p>
    <w:p>
      <w:pPr>
        <w:spacing w:after="0" w:line="2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4. Investment in Convertible Notes</w:t>
      </w:r>
    </w:p>
    <w:p>
      <w:pPr>
        <w:spacing w:after="0" w:line="189" w:lineRule="exact"/>
        <w:rPr>
          <w:sz w:val="20"/>
          <w:szCs w:val="20"/>
          <w:color w:val="auto"/>
        </w:rPr>
      </w:pPr>
    </w:p>
    <w:p>
      <w:pPr>
        <w:jc w:val="both"/>
        <w:ind w:left="2" w:firstLine="295"/>
        <w:spacing w:after="0" w:line="332" w:lineRule="auto"/>
        <w:rPr>
          <w:sz w:val="20"/>
          <w:szCs w:val="20"/>
          <w:color w:val="auto"/>
        </w:rPr>
      </w:pPr>
      <w:r>
        <w:rPr>
          <w:rFonts w:ascii="Times New Roman" w:cs="Times New Roman" w:eastAsia="Times New Roman" w:hAnsi="Times New Roman"/>
          <w:sz w:val="16"/>
          <w:szCs w:val="16"/>
          <w:color w:val="auto"/>
        </w:rPr>
        <w:t>On May 31, 2023, the Company and Gold Rush Amusements, Inc. (“Gold Rush”), another terminal operator in Illinois, entered into a settlement agreement which resolved any and all lawsuits and all outstanding obligations under the Company’s investment in Gold Rush’s convertible notes. The Company received the remaining $1.5 million due under the settlement agreement in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9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Property and Equipment</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Property and equipment consist of the following as of March 31, 2026, and December 31, 2025 (in thousands):</w:t>
      </w:r>
    </w:p>
    <w:p>
      <w:pPr>
        <w:spacing w:after="0" w:line="144" w:lineRule="exact"/>
        <w:rPr>
          <w:sz w:val="20"/>
          <w:szCs w:val="20"/>
          <w:color w:val="auto"/>
        </w:rPr>
      </w:pPr>
    </w:p>
    <w:tbl>
      <w:tblPr>
        <w:tblLayout w:type="fixed"/>
        <w:tblInd w:w="220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
        </w:trPr>
        <w:tc>
          <w:tcPr>
            <w:tcW w:w="4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Gaming terminals, software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472,444</w:t>
            </w: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Amusement, ATM and other equipment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28,294</w:t>
            </w:r>
          </w:p>
        </w:tc>
      </w:tr>
      <w:tr>
        <w:trPr>
          <w:trHeight w:val="24"/>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 and furniture</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26,153</w:t>
            </w:r>
          </w:p>
        </w:tc>
      </w:tr>
      <w:tr>
        <w:trPr>
          <w:trHeight w:val="24"/>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12,156</w:t>
            </w: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r>
      <w:tr>
        <w:trPr>
          <w:trHeight w:val="24"/>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Buildings and improvements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51,412</w:t>
            </w:r>
          </w:p>
        </w:tc>
      </w:tr>
      <w:tr>
        <w:trPr>
          <w:trHeight w:val="24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Land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w:t>
            </w:r>
          </w:p>
        </w:tc>
      </w:tr>
      <w:tr>
        <w:trPr>
          <w:trHeight w:val="24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644,059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633,564</w:t>
            </w:r>
          </w:p>
        </w:tc>
      </w:tr>
      <w:tr>
        <w:trPr>
          <w:trHeight w:val="24"/>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6"/>
        </w:trPr>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(283,260)</w:t>
            </w: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349,241</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350,304</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440" w:hanging="147"/>
        <w:spacing w:after="0"/>
        <w:tabs>
          <w:tab w:leader="none" w:pos="4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properties leased to third parties of $13.5 million and $10.0 million as of March 31, 2026, and December 31, 2025, respectively.</w:t>
      </w:r>
    </w:p>
    <w:p>
      <w:pPr>
        <w:spacing w:after="0" w:line="88"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Depreciation and amortization of property and equipment was $13.9 million for the three months ended March 31, 2026. In comparison, depreciation and amortization of property and equipment was $12.3 million for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Route and Customer Acquisition Costs</w:t>
      </w:r>
    </w:p>
    <w:p>
      <w:pPr>
        <w:spacing w:after="0" w:line="189" w:lineRule="exact"/>
        <w:rPr>
          <w:sz w:val="20"/>
          <w:szCs w:val="20"/>
          <w:color w:val="auto"/>
        </w:rPr>
      </w:pPr>
    </w:p>
    <w:p>
      <w:pPr>
        <w:jc w:val="both"/>
        <w:ind w:firstLine="295"/>
        <w:spacing w:after="0" w:line="311" w:lineRule="auto"/>
        <w:rPr>
          <w:sz w:val="20"/>
          <w:szCs w:val="20"/>
          <w:color w:val="auto"/>
        </w:rPr>
      </w:pPr>
      <w:r>
        <w:rPr>
          <w:rFonts w:ascii="Times New Roman" w:cs="Times New Roman" w:eastAsia="Times New Roman" w:hAnsi="Times New Roman"/>
          <w:sz w:val="16"/>
          <w:szCs w:val="16"/>
          <w:color w:val="auto"/>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$15.5 million and $15.1 million as of March 31, 2026 and December 31, 2025, respectively. Payments are due over varying terms of the individual agreements and are discounted at the Company’s incremental borrowing rate associated with its long-term debt at the time the contract is acquired. The net present value of payments due was $13.1 million and $12.7 million as of March 31, 2026 and December 31, 2025, respectively, of which approximately $3.0 million and $2.5 million was included in current liabilities in the accompanying condensed consolidated balance sheets as of March 31, 2026 and December 31, 2025, respectively. The route and customer acquisition cost asset was comprised of upfront payments made on the contracts of $31.9 million and $31.2 million as of March 31, 2026 and December 31, 2025, respectively. The Company has upfront payments of commissions paid to the third parties for the acquisition of the customer contracts that are subject to a clawback provision if the customer cancels the contract prior to completion. The payments subject to a clawback were $2.2 million and $5.0 million as of March 31, 2026 and December 31, 2025, respectively.</w:t>
      </w:r>
    </w:p>
    <w:p>
      <w:pPr>
        <w:spacing w:after="0" w:line="3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Route and customer acquisition costs consisted of the following as of March 31, 2026 and December 31, 2025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3900" w:type="dxa"/>
            <w:vAlign w:val="bottom"/>
            <w:gridSpan w:val="2"/>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8"/>
        </w:trPr>
        <w:tc>
          <w:tcPr>
            <w:tcW w:w="2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center"/>
              <w:ind w:left="358"/>
              <w:spacing w:after="0"/>
              <w:rPr>
                <w:sz w:val="20"/>
                <w:szCs w:val="20"/>
                <w:color w:val="auto"/>
              </w:rPr>
            </w:pPr>
            <w:r>
              <w:rPr>
                <w:rFonts w:ascii="Times New Roman" w:cs="Times New Roman" w:eastAsia="Times New Roman" w:hAnsi="Times New Roman"/>
                <w:sz w:val="16"/>
                <w:szCs w:val="16"/>
                <w:color w:val="auto"/>
                <w:w w:val="99"/>
              </w:rPr>
              <w:t>49,907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center"/>
              <w:ind w:left="418"/>
              <w:spacing w:after="0"/>
              <w:rPr>
                <w:sz w:val="20"/>
                <w:szCs w:val="20"/>
                <w:color w:val="auto"/>
              </w:rPr>
            </w:pPr>
            <w:r>
              <w:rPr>
                <w:rFonts w:ascii="Times New Roman" w:cs="Times New Roman" w:eastAsia="Times New Roman" w:hAnsi="Times New Roman"/>
                <w:sz w:val="16"/>
                <w:szCs w:val="16"/>
                <w:color w:val="auto"/>
                <w:w w:val="99"/>
              </w:rPr>
              <w:t>48,727</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amortization</w:t>
            </w:r>
          </w:p>
        </w:tc>
        <w:tc>
          <w:tcPr>
            <w:tcW w:w="160" w:type="dxa"/>
            <w:vAlign w:val="bottom"/>
          </w:tcPr>
          <w:p>
            <w:pPr>
              <w:spacing w:after="0"/>
              <w:rPr>
                <w:sz w:val="19"/>
                <w:szCs w:val="19"/>
                <w:color w:val="auto"/>
              </w:rPr>
            </w:pPr>
          </w:p>
        </w:tc>
        <w:tc>
          <w:tcPr>
            <w:tcW w:w="1040" w:type="dxa"/>
            <w:vAlign w:val="bottom"/>
          </w:tcPr>
          <w:p>
            <w:pPr>
              <w:jc w:val="center"/>
              <w:ind w:left="318"/>
              <w:spacing w:after="0"/>
              <w:rPr>
                <w:sz w:val="20"/>
                <w:szCs w:val="20"/>
                <w:color w:val="auto"/>
              </w:rPr>
            </w:pPr>
            <w:r>
              <w:rPr>
                <w:rFonts w:ascii="Times New Roman" w:cs="Times New Roman" w:eastAsia="Times New Roman" w:hAnsi="Times New Roman"/>
                <w:sz w:val="16"/>
                <w:szCs w:val="16"/>
                <w:color w:val="auto"/>
              </w:rPr>
              <w:t>(18,326)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378"/>
              <w:spacing w:after="0"/>
              <w:rPr>
                <w:sz w:val="20"/>
                <w:szCs w:val="20"/>
                <w:color w:val="auto"/>
              </w:rPr>
            </w:pPr>
            <w:r>
              <w:rPr>
                <w:rFonts w:ascii="Times New Roman" w:cs="Times New Roman" w:eastAsia="Times New Roman" w:hAnsi="Times New Roman"/>
                <w:sz w:val="16"/>
                <w:szCs w:val="16"/>
                <w:color w:val="auto"/>
              </w:rPr>
              <w:t>(17,580)</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Route and customer acquisition costs,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6"/>
                <w:szCs w:val="16"/>
                <w:color w:val="auto"/>
                <w:w w:val="99"/>
              </w:rPr>
              <w:t>31,581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6"/>
                <w:szCs w:val="16"/>
                <w:color w:val="auto"/>
                <w:w w:val="99"/>
              </w:rPr>
              <w:t>31,147</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820" w:type="dxa"/>
            <w:vAlign w:val="bottom"/>
            <w:vMerge w:val="continue"/>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82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firstLine="295"/>
        <w:spacing w:after="0" w:line="360" w:lineRule="auto"/>
        <w:rPr>
          <w:sz w:val="20"/>
          <w:szCs w:val="20"/>
          <w:color w:val="auto"/>
        </w:rPr>
      </w:pPr>
      <w:r>
        <w:rPr>
          <w:rFonts w:ascii="Times New Roman" w:cs="Times New Roman" w:eastAsia="Times New Roman" w:hAnsi="Times New Roman"/>
          <w:sz w:val="16"/>
          <w:szCs w:val="16"/>
          <w:color w:val="auto"/>
        </w:rPr>
        <w:t>Amortization expense of route and customer acquisition costs was $1.1 million for the three months ended March 31, 2026. In comparison, amortization expense of route and customer costs was $0.6 million for the three months ended March 31,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Location Contracts Acquired</w:t>
      </w:r>
    </w:p>
    <w:p>
      <w:pPr>
        <w:spacing w:after="0" w:line="189"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Location contract assets acquired in business acquisitions are recorded at fair value based on an income approach. Location contracts acquired consisted of the following as of March 31, 2026 and December 31, 2025 (in thousands):</w:t>
      </w:r>
    </w:p>
    <w:p>
      <w:pPr>
        <w:spacing w:after="0" w:line="48" w:lineRule="exact"/>
        <w:rPr>
          <w:sz w:val="20"/>
          <w:szCs w:val="20"/>
          <w:color w:val="auto"/>
        </w:rPr>
      </w:pPr>
    </w:p>
    <w:tbl>
      <w:tblPr>
        <w:tblLayout w:type="fixed"/>
        <w:tblInd w:w="282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
        </w:trPr>
        <w:tc>
          <w:tcPr>
            <w:tcW w:w="3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6"/>
                <w:szCs w:val="16"/>
                <w:color w:val="auto"/>
              </w:rPr>
              <w:t>335,272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center"/>
              <w:ind w:left="318"/>
              <w:spacing w:after="0"/>
              <w:rPr>
                <w:sz w:val="20"/>
                <w:szCs w:val="20"/>
                <w:color w:val="auto"/>
              </w:rPr>
            </w:pPr>
            <w:r>
              <w:rPr>
                <w:rFonts w:ascii="Times New Roman" w:cs="Times New Roman" w:eastAsia="Times New Roman" w:hAnsi="Times New Roman"/>
                <w:sz w:val="16"/>
                <w:szCs w:val="16"/>
                <w:color w:val="auto"/>
              </w:rPr>
              <w:t>335,029</w:t>
            </w:r>
          </w:p>
        </w:tc>
      </w:tr>
      <w:tr>
        <w:trPr>
          <w:trHeight w:val="222"/>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amortization</w:t>
            </w:r>
          </w:p>
        </w:tc>
        <w:tc>
          <w:tcPr>
            <w:tcW w:w="180" w:type="dxa"/>
            <w:vAlign w:val="bottom"/>
          </w:tcPr>
          <w:p>
            <w:pPr>
              <w:spacing w:after="0"/>
              <w:rPr>
                <w:sz w:val="19"/>
                <w:szCs w:val="19"/>
                <w:color w:val="auto"/>
              </w:rPr>
            </w:pPr>
          </w:p>
        </w:tc>
        <w:tc>
          <w:tcPr>
            <w:tcW w:w="1040" w:type="dxa"/>
            <w:vAlign w:val="bottom"/>
          </w:tcPr>
          <w:p>
            <w:pPr>
              <w:jc w:val="center"/>
              <w:ind w:left="238"/>
              <w:spacing w:after="0"/>
              <w:rPr>
                <w:sz w:val="20"/>
                <w:szCs w:val="20"/>
                <w:color w:val="auto"/>
              </w:rPr>
            </w:pPr>
            <w:r>
              <w:rPr>
                <w:rFonts w:ascii="Times New Roman" w:cs="Times New Roman" w:eastAsia="Times New Roman" w:hAnsi="Times New Roman"/>
                <w:sz w:val="16"/>
                <w:szCs w:val="16"/>
                <w:color w:val="auto"/>
              </w:rPr>
              <w:t>(153,756)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298"/>
              <w:spacing w:after="0"/>
              <w:rPr>
                <w:sz w:val="20"/>
                <w:szCs w:val="20"/>
                <w:color w:val="auto"/>
              </w:rPr>
            </w:pPr>
            <w:r>
              <w:rPr>
                <w:rFonts w:ascii="Times New Roman" w:cs="Times New Roman" w:eastAsia="Times New Roman" w:hAnsi="Times New Roman"/>
                <w:sz w:val="16"/>
                <w:szCs w:val="16"/>
                <w:color w:val="auto"/>
              </w:rPr>
              <w:t>(148,623)</w:t>
            </w:r>
          </w:p>
        </w:tc>
      </w:tr>
      <w:tr>
        <w:trPr>
          <w:trHeight w:val="24"/>
        </w:trPr>
        <w:tc>
          <w:tcPr>
            <w:tcW w:w="3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Location contracts acquired,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6"/>
                <w:szCs w:val="16"/>
                <w:color w:val="auto"/>
              </w:rPr>
              <w:t>181,516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318"/>
              <w:spacing w:after="0"/>
              <w:rPr>
                <w:sz w:val="20"/>
                <w:szCs w:val="20"/>
                <w:color w:val="auto"/>
              </w:rPr>
            </w:pPr>
            <w:r>
              <w:rPr>
                <w:rFonts w:ascii="Times New Roman" w:cs="Times New Roman" w:eastAsia="Times New Roman" w:hAnsi="Times New Roman"/>
                <w:sz w:val="16"/>
                <w:szCs w:val="16"/>
                <w:color w:val="auto"/>
              </w:rPr>
              <w:t>186,406</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Amortization expense of location contracts acquired was $5.1 million for both the three months ended March 31, 2026 and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Goodwill and Other Intangible Assets</w:t>
      </w:r>
    </w:p>
    <w:p>
      <w:pPr>
        <w:spacing w:after="0" w:line="189"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The Company had goodwill of $114.4 million as of March 31, 2026 and December 31, 2025, of which $34.2 million was deductible for tax purposes as of March 31, 2026. Goodwill is tested for impairment annually or when triggering events occur. There were no indicators of impairment of goodwill as of March 31,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intangible assets</w:t>
      </w:r>
    </w:p>
    <w:p>
      <w:pPr>
        <w:spacing w:after="0" w:line="201" w:lineRule="exact"/>
        <w:rPr>
          <w:sz w:val="20"/>
          <w:szCs w:val="20"/>
          <w:color w:val="auto"/>
        </w:rPr>
      </w:pPr>
    </w:p>
    <w:p>
      <w:pPr>
        <w:ind w:firstLine="295"/>
        <w:spacing w:after="0" w:line="360" w:lineRule="auto"/>
        <w:rPr>
          <w:sz w:val="20"/>
          <w:szCs w:val="20"/>
          <w:color w:val="auto"/>
        </w:rPr>
      </w:pPr>
      <w:r>
        <w:rPr>
          <w:rFonts w:ascii="Times New Roman" w:cs="Times New Roman" w:eastAsia="Times New Roman" w:hAnsi="Times New Roman"/>
          <w:sz w:val="16"/>
          <w:szCs w:val="16"/>
          <w:color w:val="auto"/>
        </w:rPr>
        <w:t>Other intangible assets, net consist of definite-lived trade names, customer relationships, software applications and indefinite-lived operating licenses. Other intangible assets are amortized over their estimated 7 to 20-year useful lives.</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Other intangible assets consist of the following as of March 31, 2026 and December 31, 2025 (in thousands):</w:t>
      </w:r>
    </w:p>
    <w:p>
      <w:pPr>
        <w:spacing w:after="0" w:line="224" w:lineRule="exact"/>
        <w:rPr>
          <w:sz w:val="20"/>
          <w:szCs w:val="20"/>
          <w:color w:val="auto"/>
        </w:rPr>
      </w:pPr>
    </w:p>
    <w:tbl>
      <w:tblPr>
        <w:tblLayout w:type="fixed"/>
        <w:tblInd w:w="164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 31, 2025</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center"/>
              <w:ind w:right="66"/>
              <w:spacing w:after="0"/>
              <w:rPr>
                <w:sz w:val="20"/>
                <w:szCs w:val="20"/>
                <w:color w:val="auto"/>
              </w:rPr>
            </w:pPr>
            <w:r>
              <w:rPr>
                <w:rFonts w:ascii="Times New Roman" w:cs="Times New Roman" w:eastAsia="Times New Roman" w:hAnsi="Times New Roman"/>
                <w:sz w:val="15"/>
                <w:szCs w:val="15"/>
                <w:color w:val="auto"/>
                <w:w w:val="97"/>
              </w:rPr>
              <w:t>Gross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7"/>
              </w:rPr>
              <w:t>Gross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7"/>
              </w:rPr>
              <w:t>Amortization</w:t>
            </w:r>
          </w:p>
        </w:tc>
        <w:tc>
          <w:tcPr>
            <w:tcW w:w="120" w:type="dxa"/>
            <w:vAlign w:val="bottom"/>
          </w:tcPr>
          <w:p>
            <w:pPr>
              <w:spacing w:after="0"/>
              <w:rPr>
                <w:sz w:val="14"/>
                <w:szCs w:val="14"/>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7"/>
              </w:rPr>
              <w:t>Carrying</w:t>
            </w:r>
          </w:p>
        </w:tc>
        <w:tc>
          <w:tcPr>
            <w:tcW w:w="12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Accumulated</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Carrying</w:t>
            </w:r>
          </w:p>
        </w:tc>
        <w:tc>
          <w:tcPr>
            <w:tcW w:w="100" w:type="dxa"/>
            <w:vAlign w:val="bottom"/>
          </w:tcPr>
          <w:p>
            <w:pPr>
              <w:spacing w:after="0"/>
              <w:rPr>
                <w:sz w:val="14"/>
                <w:szCs w:val="14"/>
                <w:color w:val="auto"/>
              </w:rPr>
            </w:pPr>
          </w:p>
        </w:tc>
        <w:tc>
          <w:tcPr>
            <w:tcW w:w="70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rPr>
              <w:t>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Accumulated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9"/>
              </w:rPr>
              <w:t>Net Carrying</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6"/>
              </w:rPr>
              <w:t>Period</w:t>
            </w:r>
          </w:p>
        </w:tc>
        <w:tc>
          <w:tcPr>
            <w:tcW w:w="120" w:type="dxa"/>
            <w:vAlign w:val="bottom"/>
          </w:tcPr>
          <w:p>
            <w:pPr>
              <w:spacing w:after="0"/>
              <w:rPr>
                <w:sz w:val="18"/>
                <w:szCs w:val="18"/>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7"/>
              </w:rPr>
              <w:t>Amount</w:t>
            </w:r>
          </w:p>
        </w:tc>
        <w:tc>
          <w:tcPr>
            <w:tcW w:w="12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Amortization</w:t>
            </w: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Amount</w:t>
            </w:r>
          </w:p>
        </w:tc>
        <w:tc>
          <w:tcPr>
            <w:tcW w:w="100" w:type="dxa"/>
            <w:vAlign w:val="bottom"/>
          </w:tcPr>
          <w:p>
            <w:pPr>
              <w:spacing w:after="0"/>
              <w:rPr>
                <w:sz w:val="18"/>
                <w:szCs w:val="18"/>
                <w:color w:val="auto"/>
              </w:rPr>
            </w:pPr>
          </w:p>
        </w:tc>
        <w:tc>
          <w:tcPr>
            <w:tcW w:w="70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Amortization</w:t>
            </w:r>
          </w:p>
        </w:tc>
        <w:tc>
          <w:tcPr>
            <w:tcW w:w="120" w:type="dxa"/>
            <w:vAlign w:val="bottom"/>
          </w:tcPr>
          <w:p>
            <w:pPr>
              <w:spacing w:after="0"/>
              <w:rPr>
                <w:sz w:val="18"/>
                <w:szCs w:val="18"/>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Amount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Customer</w:t>
            </w:r>
          </w:p>
        </w:tc>
        <w:tc>
          <w:tcPr>
            <w:tcW w:w="10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7"/>
              </w:rPr>
              <w:t>7 years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6,800</w:t>
            </w:r>
          </w:p>
        </w:tc>
        <w:tc>
          <w:tcPr>
            <w:tcW w:w="3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2,492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6,800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2,688</w:t>
            </w: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Relationships</w:t>
            </w:r>
          </w:p>
        </w:tc>
        <w:tc>
          <w:tcPr>
            <w:tcW w:w="10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9"/>
              </w:rPr>
              <w:t>Software Applications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7"/>
              </w:rPr>
              <w:t>8 years</w:t>
            </w:r>
          </w:p>
        </w:tc>
        <w:tc>
          <w:tcPr>
            <w:tcW w:w="12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4,062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7,800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4,306</w:t>
            </w:r>
          </w:p>
        </w:tc>
        <w:tc>
          <w:tcPr>
            <w:tcW w:w="0" w:type="dxa"/>
            <w:vAlign w:val="bottom"/>
          </w:tcPr>
          <w:p>
            <w:pPr>
              <w:spacing w:after="0"/>
              <w:rPr>
                <w:sz w:val="1"/>
                <w:szCs w:val="1"/>
                <w:color w:val="auto"/>
              </w:rPr>
            </w:pPr>
          </w:p>
        </w:tc>
      </w:tr>
      <w:tr>
        <w:trPr>
          <w:trHeight w:val="24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Names</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9"/>
              </w:rPr>
              <w:t>20 years</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11,700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9,694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11,700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9,841</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Licenses</w:t>
            </w:r>
          </w:p>
        </w:tc>
        <w:tc>
          <w:tcPr>
            <w:tcW w:w="10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Indefinite</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44,199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44,199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44,199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44,199</w:t>
            </w:r>
          </w:p>
        </w:tc>
        <w:tc>
          <w:tcPr>
            <w:tcW w:w="0" w:type="dxa"/>
            <w:vAlign w:val="bottom"/>
          </w:tcPr>
          <w:p>
            <w:pPr>
              <w:spacing w:after="0"/>
              <w:rPr>
                <w:sz w:val="1"/>
                <w:szCs w:val="1"/>
                <w:color w:val="auto"/>
              </w:rPr>
            </w:pPr>
          </w:p>
        </w:tc>
      </w:tr>
      <w:tr>
        <w:trPr>
          <w:trHeight w:val="221"/>
        </w:trPr>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70,499</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60,447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70,499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61,034</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Amortization expense of other intangible assets was $0.6 million for both the three months ended March 31, 2026, and 2025, respectively.</w:t>
      </w:r>
    </w:p>
    <w:p>
      <w:pPr>
        <w:spacing w:after="0" w:line="197"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In May 2025, a one-time payment of $9.5 million was required to open the casino at Fairmount. This payment, which represents a one-time gaming license fee to register the gaming positions in the casino, was recorded as an indefinite-lived operating license.</w:t>
      </w:r>
    </w:p>
    <w:p>
      <w:pPr>
        <w:spacing w:after="0" w:line="89"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Indefinite-lived intangibles are tested for impairment annually or when triggering events occur. There were no indicators of impairment of indefinite-lived intangibles as of March 31, 2026.</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debt as of March 31, 2026 and December 31, 2025, consisted of the following (in thousands):</w:t>
      </w:r>
    </w:p>
    <w:p>
      <w:pPr>
        <w:spacing w:after="0" w:line="152" w:lineRule="exact"/>
        <w:rPr>
          <w:sz w:val="20"/>
          <w:szCs w:val="20"/>
          <w:color w:val="auto"/>
        </w:rPr>
      </w:pPr>
    </w:p>
    <w:tbl>
      <w:tblPr>
        <w:tblLayout w:type="fixed"/>
        <w:tblInd w:w="1780" w:type="dxa"/>
        <w:tblCellMar>
          <w:top w:w="0" w:type="dxa"/>
          <w:left w:w="0" w:type="dxa"/>
          <w:bottom w:w="0" w:type="dxa"/>
          <w:right w:w="0" w:type="dxa"/>
        </w:tblCellMar>
      </w:tblPr>
      <w:tr>
        <w:trPr>
          <w:trHeight w:val="172"/>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5"/>
        </w:trPr>
        <w:tc>
          <w:tcPr>
            <w:tcW w:w="5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28"/>
        </w:trPr>
        <w:tc>
          <w:tcPr>
            <w:tcW w:w="5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6"/>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46"/>
        </w:trPr>
        <w:tc>
          <w:tcPr>
            <w:tcW w:w="5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Term Loan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r>
      <w:tr>
        <w:trPr>
          <w:trHeight w:val="214"/>
        </w:trPr>
        <w:tc>
          <w:tcPr>
            <w:tcW w:w="5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borrowings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585,000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612,000</w:t>
            </w:r>
          </w:p>
        </w:tc>
      </w:tr>
      <w:tr>
        <w:trPr>
          <w:trHeight w:val="24"/>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Remaining premium on interest rate caplets financed as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4"/>
        </w:trPr>
        <w:tc>
          <w:tcPr>
            <w:tcW w:w="5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585,000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612,083</w:t>
            </w:r>
          </w:p>
        </w:tc>
      </w:tr>
      <w:tr>
        <w:trPr>
          <w:trHeight w:val="24"/>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Debt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r>
      <w:tr>
        <w:trPr>
          <w:trHeight w:val="20"/>
        </w:trPr>
        <w:tc>
          <w:tcPr>
            <w:tcW w:w="5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2280"/>
        <w:spacing w:after="0"/>
        <w:rPr>
          <w:sz w:val="20"/>
          <w:szCs w:val="20"/>
          <w:color w:val="auto"/>
        </w:rPr>
      </w:pPr>
      <w:r>
        <w:rPr>
          <w:rFonts w:ascii="Times New Roman" w:cs="Times New Roman" w:eastAsia="Times New Roman" w:hAnsi="Times New Roman"/>
          <w:sz w:val="16"/>
          <w:szCs w:val="16"/>
          <w:color w:val="auto"/>
        </w:rPr>
        <w:t>Total debt,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1130935</wp:posOffset>
            </wp:positionH>
            <wp:positionV relativeFrom="paragraph">
              <wp:posOffset>39370</wp:posOffset>
            </wp:positionV>
            <wp:extent cx="4888230" cy="156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88230" cy="156210"/>
                    </a:xfrm>
                    <a:prstGeom prst="rect">
                      <a:avLst/>
                    </a:prstGeom>
                    <a:noFill/>
                  </pic:spPr>
                </pic:pic>
              </a:graphicData>
            </a:graphic>
          </wp:anchor>
        </w:drawing>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Less: Current maturities</w:t>
      </w:r>
    </w:p>
    <w:p>
      <w:pPr>
        <w:spacing w:after="0" w:line="62"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6"/>
          <w:szCs w:val="16"/>
          <w:color w:val="auto"/>
        </w:rPr>
        <w:t>Total debt, net of current maturities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4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580,561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607,420</w:t>
            </w:r>
          </w:p>
        </w:tc>
      </w:tr>
      <w:tr>
        <w:trPr>
          <w:trHeight w:val="246"/>
        </w:trPr>
        <w:tc>
          <w:tcPr>
            <w:tcW w:w="340" w:type="dxa"/>
            <w:vAlign w:val="bottom"/>
          </w:tcPr>
          <w:p>
            <w:pPr>
              <w:spacing w:after="0"/>
              <w:rPr>
                <w:sz w:val="21"/>
                <w:szCs w:val="21"/>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(37,583)</w:t>
            </w:r>
          </w:p>
        </w:tc>
      </w:tr>
      <w:tr>
        <w:trPr>
          <w:trHeight w:val="24"/>
        </w:trPr>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550,561</w:t>
            </w:r>
          </w:p>
        </w:tc>
        <w:tc>
          <w:tcPr>
            <w:tcW w:w="120" w:type="dxa"/>
            <w:vAlign w:val="bottom"/>
          </w:tcPr>
          <w:p>
            <w:pPr>
              <w:spacing w:after="0"/>
              <w:rPr>
                <w:sz w:val="18"/>
                <w:szCs w:val="18"/>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569,837</w:t>
            </w:r>
          </w:p>
        </w:tc>
      </w:tr>
      <w:tr>
        <w:trPr>
          <w:trHeight w:val="24"/>
        </w:trPr>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720"/>
            <w:col w:w="4340"/>
          </w:cols>
          <w:pgMar w:left="320" w:top="119" w:right="339" w:bottom="1440" w:gutter="0" w:footer="0" w:header="0"/>
          <w:type w:val="continuous"/>
        </w:sectPr>
      </w:pP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March 31, 2026, the weighted-average interest rate on the Company’s borrowings was approximately 5.5%.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Financing Activities</w:t>
      </w:r>
    </w:p>
    <w:p>
      <w:pPr>
        <w:spacing w:after="0" w:line="187" w:lineRule="exact"/>
        <w:rPr>
          <w:sz w:val="20"/>
          <w:szCs w:val="20"/>
          <w:color w:val="auto"/>
        </w:rPr>
      </w:pPr>
    </w:p>
    <w:p>
      <w:pPr>
        <w:jc w:val="both"/>
        <w:ind w:firstLine="295"/>
        <w:spacing w:after="0" w:line="317" w:lineRule="auto"/>
        <w:rPr>
          <w:sz w:val="20"/>
          <w:szCs w:val="20"/>
          <w:color w:val="auto"/>
        </w:rPr>
      </w:pPr>
      <w:r>
        <w:rPr>
          <w:rFonts w:ascii="Times New Roman" w:cs="Times New Roman" w:eastAsia="Times New Roman" w:hAnsi="Times New Roman"/>
          <w:sz w:val="16"/>
          <w:szCs w:val="16"/>
          <w:color w:val="auto"/>
        </w:rPr>
        <w:t>From time to time, the Company may take advantage of favorable financing terms offered by vendors for purchases of property and equipment. Financed property and equipment totaled $4.5 million and $4.8 million as of March 31, 2026 and December 31, 2025, respectively, of which $1.7 million is recorded in accounts payable and other accrued expenses for both periods with the remaining $2.8 million and $3.1 million recorded in other long-term liabilities on the condensed consolidated balance sheets for the years ended March 31, 2026, and December 31, 2025,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hedging instruments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manages its exposure to interest rate risk through the use of interest rate hedging instruments, which are derivative financial instruments.</w:t>
      </w:r>
    </w:p>
    <w:p>
      <w:pPr>
        <w:spacing w:after="0" w:line="197"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On January 12, 2022, the Company hedged the variability of the cash flows attributable to changes in the 1-month Secured Overnight Financing Rate (“SOFR”) interest rates on the first $300 million of the term loan under the Company’s prior credit agreement by entering into a 4-year series of 48 deferred premium caplets (“caplets”), which expired in January 2026.</w:t>
      </w:r>
    </w:p>
    <w:p>
      <w:pPr>
        <w:spacing w:after="0" w:line="91" w:lineRule="exact"/>
        <w:rPr>
          <w:sz w:val="20"/>
          <w:szCs w:val="20"/>
          <w:color w:val="auto"/>
        </w:rPr>
      </w:pPr>
    </w:p>
    <w:p>
      <w:pPr>
        <w:jc w:val="both"/>
        <w:ind w:firstLine="295"/>
        <w:spacing w:after="0" w:line="232" w:lineRule="exact"/>
        <w:rPr>
          <w:sz w:val="20"/>
          <w:szCs w:val="20"/>
          <w:color w:val="auto"/>
        </w:rPr>
      </w:pPr>
      <w:r>
        <w:rPr>
          <w:rFonts w:ascii="Times New Roman" w:cs="Times New Roman" w:eastAsia="Times New Roman" w:hAnsi="Times New Roman"/>
          <w:sz w:val="16"/>
          <w:szCs w:val="16"/>
          <w:color w:val="auto"/>
        </w:rPr>
        <w:t>On January 30, 2026, following the expiration of the caplets and to continue to hedge the variability of the cash flows attributable to the changes in the 1-month Term SOFR interest rate, the Company entered into an interest rate collar. The collar, which is designated as a cash flow hedge, establishes a cap interest rate of 4.00% and a floor interest rate of 2.9215%. The interest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rate collar is structured so its notional amount and timing exactly match the term loan’s outstanding balance and scheduled principal payments. The interest rate collar matures in September 2029.</w:t>
      </w:r>
    </w:p>
    <w:p>
      <w:pPr>
        <w:spacing w:after="0" w:line="168" w:lineRule="exact"/>
        <w:rPr>
          <w:sz w:val="20"/>
          <w:szCs w:val="20"/>
          <w:color w:val="auto"/>
        </w:rPr>
      </w:pPr>
    </w:p>
    <w:p>
      <w:pPr>
        <w:jc w:val="both"/>
        <w:ind w:firstLine="295"/>
        <w:spacing w:after="0" w:line="315" w:lineRule="auto"/>
        <w:rPr>
          <w:sz w:val="20"/>
          <w:szCs w:val="20"/>
          <w:color w:val="auto"/>
        </w:rPr>
      </w:pPr>
      <w:r>
        <w:rPr>
          <w:rFonts w:ascii="Times New Roman" w:cs="Times New Roman" w:eastAsia="Times New Roman" w:hAnsi="Times New Roman"/>
          <w:sz w:val="16"/>
          <w:szCs w:val="16"/>
          <w:color w:val="auto"/>
        </w:rPr>
        <w:t>The Company recognized an unrealized loss, net of taxes, on the change in fair value of the interest rate hedging instruments of less than $0.1 million for the three months ended March 31, 2026. In comparison, the Company recognized an unrealized loss, net of taxes, of $1.1 million for the three months ended March 31, 2025. For more information on how the Company determines the fair value of the interest rate hedging instruments, see Note 12. The Company also recognized interest income on the caplets of $0.4 million for the three months ended March 31, 2026. In comparison, the Company recognized interest income on the caplets of $1.8 million for the three months ended March 31, 2025. These amounts are reflected in interest expense, net in the condensed consolidated statements of operations and other comprehensive income. As of March 31, 2026 there has been no realized gain or loss on the interest rate collar.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Business Acquisitions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2025 Business Acquisitions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Dynasty Games</w:t>
      </w:r>
    </w:p>
    <w:p>
      <w:pPr>
        <w:spacing w:after="0" w:line="199" w:lineRule="exact"/>
        <w:rPr>
          <w:sz w:val="20"/>
          <w:szCs w:val="20"/>
          <w:color w:val="auto"/>
        </w:rPr>
      </w:pPr>
    </w:p>
    <w:p>
      <w:pPr>
        <w:jc w:val="both"/>
        <w:ind w:firstLine="295"/>
        <w:spacing w:after="0" w:line="316" w:lineRule="auto"/>
        <w:rPr>
          <w:sz w:val="20"/>
          <w:szCs w:val="20"/>
          <w:color w:val="auto"/>
        </w:rPr>
      </w:pPr>
      <w:r>
        <w:rPr>
          <w:rFonts w:ascii="Times New Roman" w:cs="Times New Roman" w:eastAsia="Times New Roman" w:hAnsi="Times New Roman"/>
          <w:sz w:val="16"/>
          <w:szCs w:val="16"/>
          <w:color w:val="auto"/>
        </w:rPr>
        <w:t>On December 1, 2025, the Company acquired Dynasty Games (“Dynasty”), a Nevada based operator and owner of multiple licensed video poker establishments, for a total purchase price of $4.3 million, which included i) $4.0 million paid in cash at closing and ii) $0.3 million deposited in escrow that is tied to contingent liability with an estimated fair value of $0.3 million. In April 2026, the Company paid $0.1 million of the contingent liability using the funds deposited in escrow. The acquisition was accounted for as an asset acquisition in accordance with Topic 805. The purchase price was allocated to the following assets: i) gaming equipment totaling $0.3 million, ii) vehicles totaling less than $0.1 million, iii) inventory totaling less than $0.1 million, iv) furniture &amp; fixtures totaling less than $0.1 million, v) location contracts totaling $3.8 million, and vi) contingent liability totaling $0.3 million. The results of operations for Dynasty are included in the condensed consolidated financial statements of the Company from the date of acquisition and were not material.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Consideration Payable</w:t>
      </w:r>
    </w:p>
    <w:p>
      <w:pPr>
        <w:spacing w:after="0" w:line="199"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March 31, 2026 and December 31, 2025. The contingent consideration accrued is measured at fair value on a recurring basis. The Company presents on its condensed consolidated statement of cash flows, payments for consideration payable within 90 days in investing activities, payments after 90 days and up to the acquisition date fair value in financing activities, and payments in excess of the acquisition date fair value in operating activities.</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Current and long-term portions of consideration payable consist of the following as of March 31, 2026 and December 31, 2025 (in thousands):</w:t>
      </w:r>
    </w:p>
    <w:p>
      <w:pPr>
        <w:spacing w:after="0" w:line="144" w:lineRule="exact"/>
        <w:rPr>
          <w:sz w:val="20"/>
          <w:szCs w:val="20"/>
          <w:color w:val="auto"/>
        </w:rPr>
      </w:pPr>
    </w:p>
    <w:tbl>
      <w:tblPr>
        <w:tblLayout w:type="fixed"/>
        <w:tblInd w:w="190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96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Long-Term</w:t>
            </w:r>
          </w:p>
        </w:tc>
      </w:tr>
      <w:tr>
        <w:trPr>
          <w:trHeight w:val="226"/>
        </w:trPr>
        <w:tc>
          <w:tcPr>
            <w:tcW w:w="2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Share Gaming</w:t>
            </w: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9,096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w:t>
            </w:r>
          </w:p>
        </w:tc>
      </w:tr>
      <w:tr>
        <w:trPr>
          <w:trHeight w:val="24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Skyhigh</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w:t>
            </w:r>
          </w:p>
        </w:tc>
      </w:tr>
      <w:tr>
        <w:trPr>
          <w:trHeight w:val="24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IVSM</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IGE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4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Island</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Dynasty</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Randy’s</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Toucan Gaming</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4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Pelican</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16,956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15,790</w:t>
            </w: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acquisitions mentioned in the table above occurred prior to 2025 with the exception of Dynasty.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Contingent Earnout Share Liability</w:t>
      </w:r>
    </w:p>
    <w:p>
      <w:pPr>
        <w:spacing w:after="0" w:line="189" w:lineRule="exact"/>
        <w:rPr>
          <w:sz w:val="20"/>
          <w:szCs w:val="20"/>
          <w:color w:val="auto"/>
        </w:rPr>
      </w:pPr>
    </w:p>
    <w:p>
      <w:pPr>
        <w:jc w:val="both"/>
        <w:ind w:firstLine="369"/>
        <w:spacing w:after="0" w:line="324" w:lineRule="auto"/>
        <w:rPr>
          <w:sz w:val="20"/>
          <w:szCs w:val="20"/>
          <w:color w:val="auto"/>
        </w:rPr>
      </w:pPr>
      <w:r>
        <w:rPr>
          <w:rFonts w:ascii="Times New Roman" w:cs="Times New Roman" w:eastAsia="Times New Roman" w:hAnsi="Times New Roman"/>
          <w:sz w:val="16"/>
          <w:szCs w:val="16"/>
          <w:color w:val="222222"/>
        </w:rPr>
        <w:t>P</w:t>
      </w:r>
      <w:r>
        <w:rPr>
          <w:rFonts w:ascii="Times New Roman" w:cs="Times New Roman" w:eastAsia="Times New Roman" w:hAnsi="Times New Roman"/>
          <w:sz w:val="16"/>
          <w:szCs w:val="16"/>
          <w:color w:val="000000"/>
        </w:rPr>
        <w:t>ursuant to the terms of the Company’s Amended and Restated Certificate of Incorporation, the Company authorized and has available for issuance 10,000,000</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shares of Class A-2 common stock. The holders of the Class A-2 common stock do not have voting rights and are not entitled to receive or participate in any dividends or distributions when and if declared from time to time.</w:t>
      </w:r>
    </w:p>
    <w:p>
      <w:pPr>
        <w:spacing w:after="0" w:line="116" w:lineRule="exact"/>
        <w:rPr>
          <w:sz w:val="20"/>
          <w:szCs w:val="20"/>
          <w:color w:val="auto"/>
        </w:rPr>
      </w:pPr>
    </w:p>
    <w:p>
      <w:pPr>
        <w:jc w:val="both"/>
        <w:ind w:firstLine="369"/>
        <w:spacing w:after="0" w:line="314" w:lineRule="auto"/>
        <w:rPr>
          <w:sz w:val="20"/>
          <w:szCs w:val="20"/>
          <w:color w:val="auto"/>
        </w:rPr>
      </w:pPr>
      <w:r>
        <w:rPr>
          <w:rFonts w:ascii="Times New Roman" w:cs="Times New Roman" w:eastAsia="Times New Roman" w:hAnsi="Times New Roman"/>
          <w:sz w:val="16"/>
          <w:szCs w:val="16"/>
          <w:color w:val="auto"/>
        </w:rPr>
        <w:t>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w:t>
      </w:r>
    </w:p>
    <w:p>
      <w:pPr>
        <w:spacing w:after="0" w:line="124" w:lineRule="exact"/>
        <w:rPr>
          <w:sz w:val="20"/>
          <w:szCs w:val="20"/>
          <w:color w:val="auto"/>
        </w:rPr>
      </w:pPr>
    </w:p>
    <w:p>
      <w:pPr>
        <w:jc w:val="both"/>
        <w:ind w:firstLine="369"/>
        <w:spacing w:after="0" w:line="343" w:lineRule="auto"/>
        <w:rPr>
          <w:sz w:val="20"/>
          <w:szCs w:val="20"/>
          <w:color w:val="auto"/>
        </w:rPr>
      </w:pPr>
      <w:r>
        <w:rPr>
          <w:rFonts w:ascii="Times New Roman" w:cs="Times New Roman" w:eastAsia="Times New Roman" w:hAnsi="Times New Roman"/>
          <w:sz w:val="16"/>
          <w:szCs w:val="16"/>
          <w:color w:val="auto"/>
        </w:rPr>
        <w:t>In 2020, the market condition for the settlement of Tranche I was satisfied. As a result, 1,666,636 shares of the 1,666,666 shares of Tranche I Class A-2 common stock were converted into Class A-1 common stock.</w:t>
      </w: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market conditions for the remaining two Tranches are as follows:</w:t>
      </w:r>
    </w:p>
    <w:p>
      <w:pPr>
        <w:spacing w:after="0" w:line="197" w:lineRule="exact"/>
        <w:rPr>
          <w:sz w:val="20"/>
          <w:szCs w:val="20"/>
          <w:color w:val="auto"/>
        </w:rPr>
      </w:pPr>
    </w:p>
    <w:p>
      <w:pPr>
        <w:ind w:left="580" w:hanging="287"/>
        <w:spacing w:after="0" w:line="343" w:lineRule="auto"/>
        <w:tabs>
          <w:tab w:leader="none" w:pos="5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spacing w:after="0" w:line="88" w:lineRule="exact"/>
        <w:rPr>
          <w:rFonts w:ascii="Times New Roman" w:cs="Times New Roman" w:eastAsia="Times New Roman" w:hAnsi="Times New Roman"/>
          <w:sz w:val="16"/>
          <w:szCs w:val="16"/>
          <w:color w:val="auto"/>
        </w:rPr>
      </w:pPr>
    </w:p>
    <w:p>
      <w:pPr>
        <w:ind w:left="580" w:hanging="287"/>
        <w:spacing w:after="0" w:line="360" w:lineRule="auto"/>
        <w:tabs>
          <w:tab w:leader="none" w:pos="5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spacing w:after="0" w:line="75" w:lineRule="exact"/>
        <w:rPr>
          <w:sz w:val="20"/>
          <w:szCs w:val="20"/>
          <w:color w:val="auto"/>
        </w:rPr>
      </w:pPr>
    </w:p>
    <w:p>
      <w:pPr>
        <w:jc w:val="both"/>
        <w:ind w:firstLine="369"/>
        <w:spacing w:after="0" w:line="324" w:lineRule="auto"/>
        <w:rPr>
          <w:sz w:val="20"/>
          <w:szCs w:val="20"/>
          <w:color w:val="auto"/>
        </w:rPr>
      </w:pPr>
      <w:r>
        <w:rPr>
          <w:rFonts w:ascii="Times New Roman" w:cs="Times New Roman" w:eastAsia="Times New Roman" w:hAnsi="Times New Roman"/>
          <w:sz w:val="16"/>
          <w:szCs w:val="16"/>
          <w:color w:val="auto"/>
        </w:rPr>
        <w:t>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Fair Value Measurements</w:t>
      </w:r>
    </w:p>
    <w:p>
      <w:pPr>
        <w:spacing w:after="0" w:line="175" w:lineRule="exact"/>
        <w:rPr>
          <w:sz w:val="20"/>
          <w:szCs w:val="20"/>
          <w:color w:val="auto"/>
        </w:rPr>
      </w:pPr>
    </w:p>
    <w:p>
      <w:pPr>
        <w:jc w:val="both"/>
        <w:ind w:firstLine="295"/>
        <w:spacing w:after="0" w:line="346" w:lineRule="auto"/>
        <w:rPr>
          <w:sz w:val="20"/>
          <w:szCs w:val="20"/>
          <w:color w:val="auto"/>
        </w:rPr>
      </w:pPr>
      <w:r>
        <w:rPr>
          <w:rFonts w:ascii="Times New Roman" w:cs="Times New Roman" w:eastAsia="Times New Roman" w:hAnsi="Times New Roman"/>
          <w:sz w:val="16"/>
          <w:szCs w:val="16"/>
          <w:color w:val="auto"/>
        </w:rPr>
        <w:t xml:space="preserve">ASC Topic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xml:space="preserve"> establishes a framework for measuring fair value and the corresponding disclosure requirements around fair value measurements. This topic applies to all financial instruments that are being measured and reported on a fair value basis.</w:t>
      </w:r>
    </w:p>
    <w:p>
      <w:pPr>
        <w:spacing w:after="0" w:line="74" w:lineRule="exact"/>
        <w:rPr>
          <w:sz w:val="20"/>
          <w:szCs w:val="20"/>
          <w:color w:val="auto"/>
        </w:rPr>
      </w:pPr>
    </w:p>
    <w:p>
      <w:pPr>
        <w:jc w:val="both"/>
        <w:ind w:firstLine="295"/>
        <w:spacing w:after="0" w:line="313"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03" w:lineRule="exact"/>
        <w:rPr>
          <w:sz w:val="20"/>
          <w:szCs w:val="20"/>
          <w:color w:val="auto"/>
        </w:rPr>
      </w:pPr>
    </w:p>
    <w:p>
      <w:pPr>
        <w:jc w:val="both"/>
        <w:ind w:left="300"/>
        <w:spacing w:after="0" w:line="324" w:lineRule="auto"/>
        <w:rPr>
          <w:sz w:val="20"/>
          <w:szCs w:val="20"/>
          <w:color w:val="auto"/>
        </w:rPr>
      </w:pPr>
      <w:r>
        <w:rPr>
          <w:rFonts w:ascii="Times New Roman" w:cs="Times New Roman" w:eastAsia="Times New Roman" w:hAnsi="Times New Roman"/>
          <w:sz w:val="16"/>
          <w:szCs w:val="16"/>
          <w:u w:val="single" w:color="auto"/>
          <w:color w:val="auto"/>
        </w:rPr>
        <w:t>Level 1</w:t>
      </w:r>
      <w:r>
        <w:rPr>
          <w:rFonts w:ascii="Times New Roman" w:cs="Times New Roman" w:eastAsia="Times New Roman" w:hAnsi="Times New Roman"/>
          <w:sz w:val="16"/>
          <w:szCs w:val="16"/>
          <w:color w:val="auto"/>
          <w:highlight w:val="white"/>
        </w:rPr>
        <w:t>: Valuations for assets and liabilities traded in active exchange markets, such as the NYSE. Level 1 also includes U.S. Treasury and federal agency securities</w:t>
      </w:r>
      <w:r>
        <w:rPr>
          <w:rFonts w:ascii="Times New Roman" w:cs="Times New Roman" w:eastAsia="Times New Roman" w:hAnsi="Times New Roman"/>
          <w:sz w:val="16"/>
          <w:szCs w:val="16"/>
          <w:color w:val="auto"/>
        </w:rPr>
        <w:t xml:space="preserve"> and federal agency mortgage-backed securities, which are traded by dealers or brokers in active markets. Valuations are obtained from readily available pricing sources for market transactions involving identical assets or liabilities.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391" w:lineRule="exact"/>
        <w:rPr>
          <w:sz w:val="20"/>
          <w:szCs w:val="20"/>
          <w:color w:val="auto"/>
        </w:rPr>
      </w:pPr>
    </w:p>
    <w:p>
      <w:pPr>
        <w:jc w:val="both"/>
        <w:ind w:left="300"/>
        <w:spacing w:after="0" w:line="343" w:lineRule="auto"/>
        <w:rPr>
          <w:sz w:val="20"/>
          <w:szCs w:val="20"/>
          <w:color w:val="auto"/>
        </w:rPr>
      </w:pPr>
      <w:r>
        <w:rPr>
          <w:rFonts w:ascii="Times New Roman" w:cs="Times New Roman" w:eastAsia="Times New Roman" w:hAnsi="Times New Roman"/>
          <w:sz w:val="16"/>
          <w:szCs w:val="16"/>
          <w:u w:val="single" w:color="auto"/>
          <w:color w:val="auto"/>
        </w:rPr>
        <w:t>Level 2</w:t>
      </w:r>
      <w:r>
        <w:rPr>
          <w:rFonts w:ascii="Times New Roman" w:cs="Times New Roman" w:eastAsia="Times New Roman" w:hAnsi="Times New Roman"/>
          <w:sz w:val="16"/>
          <w:szCs w:val="16"/>
          <w:color w:val="auto"/>
          <w:highlight w:val="white"/>
        </w:rPr>
        <w:t>: Valuations for assets and liabilities traded in less active dealer or broker markets. Valuations are obtained from third-party pricing services for identical or</w:t>
      </w:r>
      <w:r>
        <w:rPr>
          <w:rFonts w:ascii="Times New Roman" w:cs="Times New Roman" w:eastAsia="Times New Roman" w:hAnsi="Times New Roman"/>
          <w:sz w:val="16"/>
          <w:szCs w:val="16"/>
          <w:color w:val="auto"/>
        </w:rPr>
        <w:t xml:space="preserve"> similar assets or liabilities in active markets.</w:t>
      </w:r>
    </w:p>
    <w:p>
      <w:pPr>
        <w:spacing w:after="0" w:line="77" w:lineRule="exact"/>
        <w:rPr>
          <w:sz w:val="20"/>
          <w:szCs w:val="20"/>
          <w:color w:val="auto"/>
        </w:rPr>
      </w:pPr>
    </w:p>
    <w:p>
      <w:pPr>
        <w:jc w:val="both"/>
        <w:ind w:left="300"/>
        <w:spacing w:after="0" w:line="324" w:lineRule="auto"/>
        <w:rPr>
          <w:sz w:val="20"/>
          <w:szCs w:val="20"/>
          <w:color w:val="auto"/>
        </w:rPr>
      </w:pPr>
      <w:r>
        <w:rPr>
          <w:rFonts w:ascii="Times New Roman" w:cs="Times New Roman" w:eastAsia="Times New Roman" w:hAnsi="Times New Roman"/>
          <w:sz w:val="16"/>
          <w:szCs w:val="16"/>
          <w:u w:val="single" w:color="auto"/>
          <w:color w:val="auto"/>
        </w:rPr>
        <w:t>Level 3</w:t>
      </w:r>
      <w:r>
        <w:rPr>
          <w:rFonts w:ascii="Times New Roman" w:cs="Times New Roman" w:eastAsia="Times New Roman" w:hAnsi="Times New Roman"/>
          <w:sz w:val="16"/>
          <w:szCs w:val="16"/>
          <w:color w:val="auto"/>
          <w:highlight w:val="white"/>
        </w:rPr>
        <w:t>: Valuations for assets and liabilities that are derived from other valuation methodologies, including option pricing models, discounted cash flow models and</w:t>
      </w:r>
      <w:r>
        <w:rPr>
          <w:rFonts w:ascii="Times New Roman" w:cs="Times New Roman" w:eastAsia="Times New Roman" w:hAnsi="Times New Roman"/>
          <w:sz w:val="16"/>
          <w:szCs w:val="16"/>
          <w:color w:val="auto"/>
        </w:rPr>
        <w:t xml:space="preserve"> similar techniques, and not based on market exchange, dealer, or broker traded transactions. Level 3 valuations incorporate certain assumptions and projections in determining the fair value assigned to such assets or liabilities.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Assets measured at fair value</w:t>
      </w:r>
    </w:p>
    <w:p>
      <w:pPr>
        <w:spacing w:after="0" w:line="1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The following tables summarize the Company’s assets that are measured at fair value on a recurring basis (in thousands):</w:t>
      </w:r>
    </w:p>
    <w:p>
      <w:pPr>
        <w:spacing w:after="0" w:line="22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Fair Value Measurement at Reporting Date Using</w:t>
            </w:r>
          </w:p>
        </w:tc>
        <w:tc>
          <w:tcPr>
            <w:tcW w:w="0" w:type="dxa"/>
            <w:vAlign w:val="bottom"/>
          </w:tcPr>
          <w:p>
            <w:pPr>
              <w:spacing w:after="0"/>
              <w:rPr>
                <w:sz w:val="1"/>
                <w:szCs w:val="1"/>
                <w:color w:val="auto"/>
              </w:rPr>
            </w:pPr>
          </w:p>
        </w:tc>
      </w:tr>
      <w:tr>
        <w:trPr>
          <w:trHeight w:val="34"/>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Inputs (Level 3)</w:t>
            </w:r>
          </w:p>
        </w:tc>
        <w:tc>
          <w:tcPr>
            <w:tcW w:w="0" w:type="dxa"/>
            <w:vAlign w:val="bottom"/>
          </w:tcPr>
          <w:p>
            <w:pPr>
              <w:spacing w:after="0"/>
              <w:rPr>
                <w:sz w:val="1"/>
                <w:szCs w:val="1"/>
                <w:color w:val="auto"/>
              </w:rPr>
            </w:pPr>
          </w:p>
        </w:tc>
      </w:tr>
      <w:tr>
        <w:trPr>
          <w:trHeight w:val="34"/>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26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hedging instruments</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21"/>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Fair Value Measurement at Reporting Date Using</w:t>
            </w:r>
          </w:p>
        </w:tc>
        <w:tc>
          <w:tcPr>
            <w:tcW w:w="0" w:type="dxa"/>
            <w:vAlign w:val="bottom"/>
          </w:tcPr>
          <w:p>
            <w:pPr>
              <w:spacing w:after="0"/>
              <w:rPr>
                <w:sz w:val="1"/>
                <w:szCs w:val="1"/>
                <w:color w:val="auto"/>
              </w:rPr>
            </w:pPr>
          </w:p>
        </w:tc>
      </w:tr>
      <w:tr>
        <w:trPr>
          <w:trHeight w:val="34"/>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Inputs (Level 3)</w:t>
            </w:r>
          </w:p>
        </w:tc>
        <w:tc>
          <w:tcPr>
            <w:tcW w:w="0" w:type="dxa"/>
            <w:vAlign w:val="bottom"/>
          </w:tcPr>
          <w:p>
            <w:pPr>
              <w:spacing w:after="0"/>
              <w:rPr>
                <w:sz w:val="1"/>
                <w:szCs w:val="1"/>
                <w:color w:val="auto"/>
              </w:rPr>
            </w:pPr>
          </w:p>
        </w:tc>
      </w:tr>
      <w:tr>
        <w:trPr>
          <w:trHeight w:val="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rate hedging instruments</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hedging instruments</w:t>
      </w:r>
    </w:p>
    <w:p>
      <w:pPr>
        <w:spacing w:after="0" w:line="113"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Company determines the fair value of the interest rate hedging instruments using quotes that are based on models whose inputs are observable SOFR forward interest rate curves. The valuation of the interest rate hedging instruments is considered to be a Level 2 fair value measurement as the significant inputs are observable. Unrealized changes in the fair value of the interest rate hedging instruments are classified within other comprehensive income on the accompanying condensed consolidated statements of operations and comprehensive income. Realized gains on the interest rate hedging instruments are recorded to interest expense, net on the accompanying condensed consolidated statements of operations and comprehensive income and included within cash payments for interest, net on the condensed consolidated statements of cash flow.</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Liabilities measured at fair value</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The following tables summarize the Company’s liabilities that are measured at fair value on a recurring basis (in thousands):</w:t>
      </w:r>
    </w:p>
    <w:p>
      <w:pPr>
        <w:spacing w:after="0" w:line="15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gridSpan w:val="7"/>
          </w:tcPr>
          <w:p>
            <w:pPr>
              <w:ind w:left="500"/>
              <w:spacing w:after="0"/>
              <w:rPr>
                <w:sz w:val="20"/>
                <w:szCs w:val="20"/>
                <w:color w:val="auto"/>
              </w:rPr>
            </w:pPr>
            <w:r>
              <w:rPr>
                <w:rFonts w:ascii="Times New Roman" w:cs="Times New Roman" w:eastAsia="Times New Roman" w:hAnsi="Times New Roman"/>
                <w:sz w:val="13"/>
                <w:szCs w:val="13"/>
                <w:b w:val="1"/>
                <w:bCs w:val="1"/>
                <w:color w:val="auto"/>
              </w:rPr>
              <w:t>Fair Value Measurement at Reporting Date Using</w:t>
            </w:r>
          </w:p>
        </w:tc>
        <w:tc>
          <w:tcPr>
            <w:tcW w:w="0" w:type="dxa"/>
            <w:vAlign w:val="bottom"/>
          </w:tcPr>
          <w:p>
            <w:pPr>
              <w:spacing w:after="0"/>
              <w:rPr>
                <w:sz w:val="1"/>
                <w:szCs w:val="1"/>
                <w:color w:val="auto"/>
              </w:rPr>
            </w:pPr>
          </w:p>
        </w:tc>
      </w:tr>
      <w:tr>
        <w:trPr>
          <w:trHeight w:val="34"/>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Pr>
          <w:p>
            <w:pPr>
              <w:spacing w:after="0"/>
              <w:rPr>
                <w:sz w:val="13"/>
                <w:szCs w:val="13"/>
                <w:color w:val="auto"/>
              </w:rPr>
            </w:pPr>
          </w:p>
        </w:tc>
        <w:tc>
          <w:tcPr>
            <w:tcW w:w="10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0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8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40" w:type="dxa"/>
            <w:vAlign w:val="bottom"/>
          </w:tcPr>
          <w:p>
            <w:pPr>
              <w:spacing w:after="0"/>
              <w:rPr>
                <w:sz w:val="13"/>
                <w:szCs w:val="13"/>
                <w:color w:val="auto"/>
              </w:rPr>
            </w:pPr>
          </w:p>
        </w:tc>
        <w:tc>
          <w:tcPr>
            <w:tcW w:w="10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5"/>
                <w:szCs w:val="15"/>
                <w:color w:val="auto"/>
              </w:rPr>
            </w:pPr>
          </w:p>
        </w:tc>
        <w:tc>
          <w:tcPr>
            <w:tcW w:w="10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Inputs (Level 3)</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17,306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17,306</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earnout shares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32,201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49,507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rPr>
              <w:t>32,201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17,306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gridSpan w:val="7"/>
          </w:tcPr>
          <w:p>
            <w:pPr>
              <w:ind w:left="500"/>
              <w:spacing w:after="0"/>
              <w:rPr>
                <w:sz w:val="20"/>
                <w:szCs w:val="20"/>
                <w:color w:val="auto"/>
              </w:rPr>
            </w:pPr>
            <w:r>
              <w:rPr>
                <w:rFonts w:ascii="Times New Roman" w:cs="Times New Roman" w:eastAsia="Times New Roman" w:hAnsi="Times New Roman"/>
                <w:sz w:val="13"/>
                <w:szCs w:val="13"/>
                <w:b w:val="1"/>
                <w:bCs w:val="1"/>
                <w:color w:val="auto"/>
              </w:rPr>
              <w:t>Fair Value Measurement at Reporting Date Using</w:t>
            </w:r>
          </w:p>
        </w:tc>
      </w:tr>
      <w:tr>
        <w:trPr>
          <w:trHeight w:val="34"/>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5"/>
        </w:trPr>
        <w:tc>
          <w:tcPr>
            <w:tcW w:w="3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3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Active Markets for</w:t>
            </w:r>
          </w:p>
        </w:tc>
        <w:tc>
          <w:tcPr>
            <w:tcW w:w="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Pr>
          <w:p>
            <w:pPr>
              <w:spacing w:after="0"/>
              <w:rPr>
                <w:sz w:val="13"/>
                <w:szCs w:val="13"/>
                <w:color w:val="auto"/>
              </w:rPr>
            </w:pPr>
          </w:p>
        </w:tc>
        <w:tc>
          <w:tcPr>
            <w:tcW w:w="10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Significant</w:t>
            </w:r>
          </w:p>
        </w:tc>
      </w:tr>
      <w:tr>
        <w:trPr>
          <w:trHeight w:val="148"/>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Identical Assets</w:t>
            </w:r>
          </w:p>
        </w:tc>
        <w:tc>
          <w:tcPr>
            <w:tcW w:w="80" w:type="dxa"/>
            <w:vAlign w:val="bottom"/>
          </w:tcPr>
          <w:p>
            <w:pPr>
              <w:spacing w:after="0"/>
              <w:rPr>
                <w:sz w:val="12"/>
                <w:szCs w:val="12"/>
                <w:color w:val="auto"/>
              </w:rPr>
            </w:pPr>
          </w:p>
        </w:tc>
        <w:tc>
          <w:tcPr>
            <w:tcW w:w="12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140" w:type="dxa"/>
            <w:vAlign w:val="bottom"/>
          </w:tcPr>
          <w:p>
            <w:pPr>
              <w:spacing w:after="0"/>
              <w:rPr>
                <w:sz w:val="12"/>
                <w:szCs w:val="12"/>
                <w:color w:val="auto"/>
              </w:rPr>
            </w:pPr>
          </w:p>
        </w:tc>
        <w:tc>
          <w:tcPr>
            <w:tcW w:w="1080" w:type="dxa"/>
            <w:vAlign w:val="bottom"/>
          </w:tcPr>
          <w:p>
            <w:pPr>
              <w:jc w:val="center"/>
              <w:ind w:right="66"/>
              <w:spacing w:after="0" w:line="147" w:lineRule="exact"/>
              <w:rPr>
                <w:sz w:val="20"/>
                <w:szCs w:val="20"/>
                <w:color w:val="auto"/>
              </w:rPr>
            </w:pPr>
            <w:r>
              <w:rPr>
                <w:rFonts w:ascii="Times New Roman" w:cs="Times New Roman" w:eastAsia="Times New Roman" w:hAnsi="Times New Roman"/>
                <w:sz w:val="13"/>
                <w:szCs w:val="13"/>
                <w:b w:val="1"/>
                <w:bCs w:val="1"/>
                <w:color w:val="auto"/>
              </w:rPr>
              <w:t>Unobservable</w:t>
            </w:r>
          </w:p>
        </w:tc>
      </w:tr>
      <w:tr>
        <w:trPr>
          <w:trHeight w:val="185"/>
        </w:trPr>
        <w:tc>
          <w:tcPr>
            <w:tcW w:w="320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6"/>
                <w:szCs w:val="16"/>
                <w:color w:val="auto"/>
              </w:rPr>
            </w:pPr>
          </w:p>
        </w:tc>
        <w:tc>
          <w:tcPr>
            <w:tcW w:w="10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Inputs (Level 3)</w:t>
            </w: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3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22"/>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16,253</w:t>
            </w:r>
          </w:p>
        </w:tc>
      </w:tr>
      <w:tr>
        <w:trPr>
          <w:trHeight w:val="24"/>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6"/>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33,676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rPr>
              <w:t>33,676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16,253</w:t>
            </w:r>
          </w:p>
        </w:tc>
      </w:tr>
      <w:tr>
        <w:trPr>
          <w:trHeight w:val="20"/>
        </w:trPr>
        <w:tc>
          <w:tcPr>
            <w:tcW w:w="3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99" w:lineRule="exact"/>
        <w:rPr>
          <w:sz w:val="20"/>
          <w:szCs w:val="20"/>
          <w:color w:val="auto"/>
        </w:rPr>
      </w:pPr>
    </w:p>
    <w:p>
      <w:pPr>
        <w:jc w:val="both"/>
        <w:ind w:firstLine="295"/>
        <w:spacing w:after="0" w:line="315" w:lineRule="auto"/>
        <w:rPr>
          <w:sz w:val="20"/>
          <w:szCs w:val="20"/>
          <w:color w:val="auto"/>
        </w:rPr>
      </w:pPr>
      <w:r>
        <w:rPr>
          <w:rFonts w:ascii="Times New Roman" w:cs="Times New Roman" w:eastAsia="Times New Roman" w:hAnsi="Times New Roman"/>
          <w:sz w:val="16"/>
          <w:szCs w:val="16"/>
          <w:color w:val="auto"/>
        </w:rPr>
        <w:t>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condensed consolidated statements of operations and comprehensive income.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earnout shares</w:t>
      </w:r>
    </w:p>
    <w:p>
      <w:pPr>
        <w:spacing w:after="0" w:line="199"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The valuation of the Company's contingent consideration is considered to be a Level 2 fair value measurement. Changes in the fair value of contingent earnout shares are included within loss on change in fair value of contingent earnout shares on the accompanying condensed consolidated statements of operations and comprehensive income.</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There were no transfers in or out of Level 3 for the periods presented.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Stockholders’ Equity</w:t>
      </w:r>
    </w:p>
    <w:p>
      <w:pPr>
        <w:spacing w:after="0" w:line="189" w:lineRule="exact"/>
        <w:rPr>
          <w:sz w:val="20"/>
          <w:szCs w:val="20"/>
          <w:color w:val="auto"/>
        </w:rPr>
      </w:pPr>
    </w:p>
    <w:p>
      <w:pPr>
        <w:jc w:val="both"/>
        <w:ind w:firstLine="295"/>
        <w:spacing w:after="0" w:line="291" w:lineRule="auto"/>
        <w:rPr>
          <w:sz w:val="20"/>
          <w:szCs w:val="20"/>
          <w:color w:val="auto"/>
        </w:rPr>
      </w:pPr>
      <w:r>
        <w:rPr>
          <w:rFonts w:ascii="Times New Roman" w:cs="Times New Roman" w:eastAsia="Times New Roman" w:hAnsi="Times New Roman"/>
          <w:sz w:val="16"/>
          <w:szCs w:val="16"/>
          <w:color w:val="222222"/>
        </w:rPr>
        <w:t>P</w:t>
      </w:r>
      <w:r>
        <w:rPr>
          <w:rFonts w:ascii="Times New Roman" w:cs="Times New Roman" w:eastAsia="Times New Roman" w:hAnsi="Times New Roman"/>
          <w:sz w:val="16"/>
          <w:szCs w:val="16"/>
          <w:color w:val="000000"/>
        </w:rPr>
        <w:t>ursuant to the terms of the Company’s Amended and Restated Certificate of Incorporation, the Company authorized and has available for issuance the following</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shares: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 A-1 Common Stock</w:t>
      </w:r>
    </w:p>
    <w:p>
      <w:pPr>
        <w:spacing w:after="0" w:line="199"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Treasury Stock</w:t>
      </w:r>
    </w:p>
    <w:p>
      <w:pPr>
        <w:spacing w:after="0" w:line="212" w:lineRule="exact"/>
        <w:rPr>
          <w:sz w:val="20"/>
          <w:szCs w:val="20"/>
          <w:color w:val="auto"/>
        </w:rPr>
      </w:pPr>
    </w:p>
    <w:p>
      <w:pPr>
        <w:jc w:val="both"/>
        <w:ind w:firstLine="295"/>
        <w:spacing w:after="0" w:line="315" w:lineRule="auto"/>
        <w:rPr>
          <w:sz w:val="20"/>
          <w:szCs w:val="20"/>
          <w:color w:val="auto"/>
        </w:rPr>
      </w:pPr>
      <w:r>
        <w:rPr>
          <w:rFonts w:ascii="Times New Roman" w:cs="Times New Roman" w:eastAsia="Times New Roman" w:hAnsi="Times New Roman"/>
          <w:sz w:val="16"/>
          <w:szCs w:val="16"/>
          <w:color w:val="auto"/>
        </w:rPr>
        <w:t>On November 22, 2021, the Company’s Board of Directors (“Board”)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6"/>
          <w:szCs w:val="16"/>
          <w:color w:val="auto"/>
        </w:rPr>
        <w:t>requirements. The share repurchase program does not obligate the Company to acquire any particular amount of shares, and the share repurchase program may be suspended or discontinued at any time at the Company’s discretion. As of March 31, 2026, the Company had acquired a total of 18.7 million shares under the share repurchase program at a total purchase price of $195.6 million, of which 1.1 million shares at a total purchase price of $12.1 million were acquired during the three months ended March 31, 2026.</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Segment Reporting</w:t>
      </w:r>
    </w:p>
    <w:p>
      <w:pPr>
        <w:spacing w:after="0" w:line="189"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 understand the Company’s underlying drivers of profitability, trends in its business, and to facilitate company-to-company and period-to-period comparisons. Segment asset information is provided to the CODM to support the CODM’s assessment of performance but is not used to allocate resources.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defines Adjusted EBITDA as net income plus:</w:t>
      </w:r>
    </w:p>
    <w:p>
      <w:pPr>
        <w:spacing w:after="0" w:line="87" w:lineRule="exact"/>
        <w:rPr>
          <w:sz w:val="20"/>
          <w:szCs w:val="20"/>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intangible assets and route and customer acquisition costs</w:t>
      </w:r>
    </w:p>
    <w:p>
      <w:pPr>
        <w:spacing w:after="0" w:line="11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from unconsolidated affiliates</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change in fair value of contingent earnout shares</w:t>
      </w:r>
    </w:p>
    <w:p>
      <w:pPr>
        <w:spacing w:after="0" w:line="98" w:lineRule="exact"/>
        <w:rPr>
          <w:rFonts w:ascii="Times New Roman" w:cs="Times New Roman" w:eastAsia="Times New Roman" w:hAnsi="Times New Roman"/>
          <w:sz w:val="16"/>
          <w:szCs w:val="16"/>
          <w:color w:val="auto"/>
        </w:rPr>
      </w:pPr>
    </w:p>
    <w:p>
      <w:pPr>
        <w:jc w:val="both"/>
        <w:ind w:left="580" w:hanging="287"/>
        <w:spacing w:after="0" w:line="324" w:lineRule="auto"/>
        <w:tabs>
          <w:tab w:leader="none" w:pos="5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net which consists of i) non-cash expenses including the remeasurement of contingent consideration liabilities, ii) non-recurring lobbying and legal expenses related to distributed gaming expansion in current or prospective markets, iii) other non-recurring expenses and beginning in 2026 iv) gain or loss on sale of fixed assets, which were previously presented in general and administrative expenses. Prior periods have not been recast to reflect this change.</w:t>
      </w:r>
    </w:p>
    <w:p>
      <w:pPr>
        <w:spacing w:after="0" w:line="1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of property and equipment</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markets, which reflects the results, on an Adjusted EBITDA basis, for non-core jurisdictions where the Company’s operations are developing</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expense</w:t>
      </w:r>
    </w:p>
    <w:p>
      <w:pPr>
        <w:spacing w:after="0" w:line="197" w:lineRule="exact"/>
        <w:rPr>
          <w:sz w:val="20"/>
          <w:szCs w:val="20"/>
          <w:color w:val="auto"/>
        </w:rPr>
      </w:pPr>
    </w:p>
    <w:p>
      <w:pPr>
        <w:jc w:val="both"/>
        <w:ind w:firstLine="295"/>
        <w:spacing w:after="0" w:line="332" w:lineRule="auto"/>
        <w:rPr>
          <w:sz w:val="20"/>
          <w:szCs w:val="20"/>
          <w:color w:val="auto"/>
        </w:rPr>
      </w:pPr>
      <w:r>
        <w:rPr>
          <w:rFonts w:ascii="Times New Roman" w:cs="Times New Roman" w:eastAsia="Times New Roman" w:hAnsi="Times New Roman"/>
          <w:sz w:val="16"/>
          <w:szCs w:val="16"/>
          <w:color w:val="auto"/>
        </w:rPr>
        <w:t>The Company’s distributed gaming reportable segment consists of the installation, maintenance, and operation of gaming terminals, redemption devices that disburse winnings and contain ATM functionality and other amusement devices in authorized non-casino locations such as restaurants, bars, convenience stores, liquor stores, truck stops and grocery stores. The Company’s operations and services are consistent in the Company’s markets.</w:t>
      </w:r>
    </w:p>
    <w:p>
      <w:pPr>
        <w:spacing w:after="0" w:line="97" w:lineRule="exact"/>
        <w:rPr>
          <w:sz w:val="20"/>
          <w:szCs w:val="20"/>
          <w:color w:val="auto"/>
        </w:rPr>
      </w:pPr>
    </w:p>
    <w:p>
      <w:pPr>
        <w:jc w:val="both"/>
        <w:ind w:firstLine="295"/>
        <w:spacing w:after="0" w:line="333" w:lineRule="auto"/>
        <w:rPr>
          <w:sz w:val="20"/>
          <w:szCs w:val="20"/>
          <w:color w:val="auto"/>
        </w:rPr>
      </w:pPr>
      <w:r>
        <w:rPr>
          <w:rFonts w:ascii="Times New Roman" w:cs="Times New Roman" w:eastAsia="Times New Roman" w:hAnsi="Times New Roman"/>
          <w:sz w:val="16"/>
          <w:szCs w:val="16"/>
          <w:color w:val="auto"/>
        </w:rPr>
        <w:t>The Company has determined that with the acquisition of Fairmount in December 2024, it has two operating segments: distributed gaming and casino and racing as of March 31, 2026. However, the casino and racing operating segment does not meet the criteria of a reportable segment from a quantitative standpoint as of March 31, 2026. The Company will continue to evaluate from a quantitative and qualitative standpoint whether the casino and racing operating segment meets the criteria of a reportable segment.</w:t>
      </w:r>
    </w:p>
    <w:p>
      <w:pPr>
        <w:spacing w:after="0" w:line="32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Significant segment expenses, including disaggregated significant expenses that are presented within general and administrative expenses, are presented in the Company’s condensed consolidated statement of operations and comprehensive income and are included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The following table presents financial information with respect to the Company’s single reportable segment, distributed gaming, for the three months ended March 31, 2026 and 2025. Additionally, the Company has included an "all other" operating segment which is its casino and racing operations that is neither individually reportable nor able to be aggregated or combined with another operating segment.</w:t>
      </w:r>
    </w:p>
    <w:p>
      <w:pPr>
        <w:spacing w:after="0" w:line="1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b w:val="1"/>
          <w:bCs w:val="1"/>
          <w:color w:val="auto"/>
        </w:rPr>
        <w:t>Three Months Ended</w:t>
      </w:r>
    </w:p>
    <w:tbl>
      <w:tblPr>
        <w:tblLayout w:type="fixed"/>
        <w:tblInd w:w="2560" w:type="dxa"/>
        <w:tblCellMar>
          <w:top w:w="0" w:type="dxa"/>
          <w:left w:w="0" w:type="dxa"/>
          <w:bottom w:w="0" w:type="dxa"/>
          <w:right w:w="0" w:type="dxa"/>
        </w:tblCellMar>
      </w:tblPr>
      <w:tr>
        <w:trPr>
          <w:trHeight w:val="208"/>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214"/>
        </w:trPr>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2"/>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Distributed gaming</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Total net revenues </w:t>
            </w:r>
            <w:r>
              <w:rPr>
                <w:rFonts w:ascii="Times New Roman" w:cs="Times New Roman" w:eastAsia="Times New Roman" w:hAnsi="Times New Roman"/>
                <w:sz w:val="21"/>
                <w:szCs w:val="21"/>
                <w:b w:val="1"/>
                <w:bCs w:val="1"/>
                <w:color w:val="auto"/>
                <w:vertAlign w:val="superscript"/>
              </w:rPr>
              <w:t>(1)</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318,062</w:t>
            </w:r>
          </w:p>
        </w:tc>
      </w:tr>
      <w:tr>
        <w:trPr>
          <w:trHeight w:val="246"/>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219,680</w:t>
            </w:r>
          </w:p>
        </w:tc>
      </w:tr>
      <w:tr>
        <w:trPr>
          <w:trHeight w:val="246"/>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Compensation related costs - operations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20,956</w:t>
            </w:r>
          </w:p>
        </w:tc>
      </w:tr>
      <w:tr>
        <w:trPr>
          <w:trHeight w:val="24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Compensation related costs - general and administrative </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w:t>
            </w:r>
          </w:p>
        </w:tc>
      </w:tr>
      <w:tr>
        <w:trPr>
          <w:trHeight w:val="246"/>
        </w:trPr>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 xml:space="preserve">All other segment items </w:t>
            </w:r>
            <w:r>
              <w:rPr>
                <w:rFonts w:ascii="Times New Roman" w:cs="Times New Roman" w:eastAsia="Times New Roman" w:hAnsi="Times New Roman"/>
                <w:sz w:val="21"/>
                <w:szCs w:val="21"/>
                <w:color w:val="auto"/>
                <w:vertAlign w:val="superscript"/>
              </w:rPr>
              <w:t>(4) (6)</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15,632</w:t>
            </w:r>
          </w:p>
        </w:tc>
      </w:tr>
      <w:tr>
        <w:trPr>
          <w:trHeight w:val="22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for distributed gaming</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Adjusted EBITDA for “all other” operating segment </w:t>
            </w:r>
            <w:r>
              <w:rPr>
                <w:rFonts w:ascii="Times New Roman" w:cs="Times New Roman" w:eastAsia="Times New Roman" w:hAnsi="Times New Roman"/>
                <w:sz w:val="21"/>
                <w:szCs w:val="21"/>
                <w:b w:val="1"/>
                <w:bCs w:val="1"/>
                <w:color w:val="auto"/>
                <w:vertAlign w:val="superscript"/>
              </w:rPr>
              <w:t>(5)</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34"/>
        </w:trPr>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6"/>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Adjustments for:</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46"/>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13,862</w:t>
            </w:r>
          </w:p>
        </w:tc>
        <w:tc>
          <w:tcPr>
            <w:tcW w:w="120" w:type="dxa"/>
            <w:vAlign w:val="bottom"/>
          </w:tcPr>
          <w:p>
            <w:pPr>
              <w:spacing w:after="0"/>
              <w:rPr>
                <w:sz w:val="21"/>
                <w:szCs w:val="21"/>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w:t>
            </w:r>
          </w:p>
        </w:tc>
      </w:tr>
      <w:tr>
        <w:trPr>
          <w:trHeight w:val="20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 and route and customer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8"/>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costs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246"/>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8,685</w:t>
            </w:r>
          </w:p>
        </w:tc>
      </w:tr>
      <w:tr>
        <w:trPr>
          <w:trHeight w:val="226"/>
        </w:trPr>
        <w:tc>
          <w:tcPr>
            <w:tcW w:w="4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Emerging markets</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22"/>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from unconsolidated affiliates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6"/>
        </w:trPr>
        <w:tc>
          <w:tcPr>
            <w:tcW w:w="4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r>
      <w:tr>
        <w:trPr>
          <w:trHeight w:val="222"/>
        </w:trPr>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change in fair value of contingent earnout shares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4"/>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Other expenses, net </w:t>
            </w:r>
            <w:r>
              <w:rPr>
                <w:rFonts w:ascii="Times New Roman" w:cs="Times New Roman" w:eastAsia="Times New Roman" w:hAnsi="Times New Roman"/>
                <w:sz w:val="21"/>
                <w:szCs w:val="21"/>
                <w:color w:val="auto"/>
                <w:vertAlign w:val="superscript"/>
              </w:rPr>
              <w:t>(6)</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r>
      <w:tr>
        <w:trPr>
          <w:trHeight w:val="22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19,606</w:t>
            </w:r>
          </w:p>
        </w:tc>
      </w:tr>
      <w:tr>
        <w:trPr>
          <w:trHeight w:val="22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r>
      <w:tr>
        <w:trPr>
          <w:trHeight w:val="201"/>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14,613</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720" w:hanging="353"/>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net revenues is further disaggregated by revenue stream as included on the condensed consolidated statements of operations and comprehensive income.</w:t>
      </w:r>
    </w:p>
    <w:p>
      <w:pPr>
        <w:spacing w:after="0" w:line="47" w:lineRule="exact"/>
        <w:rPr>
          <w:rFonts w:ascii="Times New Roman" w:cs="Times New Roman" w:eastAsia="Times New Roman" w:hAnsi="Times New Roman"/>
          <w:sz w:val="13"/>
          <w:szCs w:val="13"/>
          <w:color w:val="auto"/>
        </w:rPr>
      </w:pPr>
    </w:p>
    <w:p>
      <w:pPr>
        <w:ind w:left="720" w:hanging="353"/>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significant expense categories and amounts align with the segment-level information that is regularly provided to the CODM.</w:t>
      </w:r>
    </w:p>
    <w:p>
      <w:pPr>
        <w:spacing w:after="0" w:line="34" w:lineRule="exact"/>
        <w:rPr>
          <w:rFonts w:ascii="Times New Roman" w:cs="Times New Roman" w:eastAsia="Times New Roman" w:hAnsi="Times New Roman"/>
          <w:sz w:val="13"/>
          <w:szCs w:val="13"/>
          <w:color w:val="auto"/>
        </w:rPr>
      </w:pPr>
    </w:p>
    <w:p>
      <w:pPr>
        <w:ind w:left="720" w:hanging="353"/>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related costs represent payroll and other related costs that are included in general and administrative on the condensed consolidated statements of operations and comprehensive income.</w:t>
      </w:r>
    </w:p>
    <w:p>
      <w:pPr>
        <w:spacing w:after="0" w:line="34" w:lineRule="exact"/>
        <w:rPr>
          <w:rFonts w:ascii="Times New Roman" w:cs="Times New Roman" w:eastAsia="Times New Roman" w:hAnsi="Times New Roman"/>
          <w:sz w:val="13"/>
          <w:szCs w:val="13"/>
          <w:color w:val="auto"/>
        </w:rPr>
      </w:pPr>
    </w:p>
    <w:p>
      <w:pPr>
        <w:ind w:left="720" w:hanging="353"/>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segment items include other operating and general and administrative expenses (such as general and administrative expenses related to parts, advertising, information technology, etc.) which</w:t>
      </w:r>
    </w:p>
    <w:p>
      <w:pPr>
        <w:spacing w:after="0" w:line="47" w:lineRule="exact"/>
        <w:rPr>
          <w:rFonts w:ascii="Times New Roman" w:cs="Times New Roman" w:eastAsia="Times New Roman" w:hAnsi="Times New Roman"/>
          <w:sz w:val="13"/>
          <w:szCs w:val="13"/>
          <w:color w:val="auto"/>
        </w:rPr>
      </w:pPr>
    </w:p>
    <w:p>
      <w:pPr>
        <w:ind w:left="740"/>
        <w:spacing w:after="0" w:line="29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included in general and administrative on the condensed consolidated statements of operations and comprehensive income and cost of manufacturing goods sold, as well as, adjustments for stock-based compensation expense and emerging markets.</w:t>
      </w:r>
    </w:p>
    <w:p>
      <w:pPr>
        <w:ind w:left="720" w:hanging="353"/>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corporate expenses were allocated to the distributed gaming reportable segment as of March 31, 2026. The "all other" operating segment had total net revenues of $10.8 million; cost of revenues of</w:t>
      </w:r>
    </w:p>
    <w:p>
      <w:pPr>
        <w:spacing w:after="0" w:line="47" w:lineRule="exact"/>
        <w:rPr>
          <w:rFonts w:ascii="Times New Roman" w:cs="Times New Roman" w:eastAsia="Times New Roman" w:hAnsi="Times New Roman"/>
          <w:sz w:val="13"/>
          <w:szCs w:val="13"/>
          <w:color w:val="auto"/>
        </w:rPr>
      </w:pPr>
    </w:p>
    <w:p>
      <w:pPr>
        <w:ind w:left="740"/>
        <w:spacing w:after="0" w:line="29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 million; compensation related costs of $3.2 million in operations and $0.8 million in general and administrative; and all other segment items of $2.0 million for the three months ended March 31, 2026.</w:t>
      </w:r>
    </w:p>
    <w:p>
      <w:pPr>
        <w:ind w:left="740" w:hanging="373"/>
        <w:spacing w:after="0" w:line="350" w:lineRule="auto"/>
        <w:tabs>
          <w:tab w:leader="none" w:pos="73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on sale of fixed assets was $0.7 million for the three months ended March 31, 2026 and is included in Other expenses, net. Loss on sale of fixed assets was $0.1 million for the three months ended March 31, 2025 and is presented in All other segment items, which is not an adjustment for EBITDA.</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As of March 31, 2026, the assets associated with the distributed gaming segment are $1.0 billion and the assets for the "all other" operating segment were $60.5 million. See the condensed consolidated financial statements for other financial information (such as cash used for capital expenditures, etc.) regarding the Company’s reportable segment.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Stock-based Compensation</w:t>
      </w:r>
    </w:p>
    <w:p>
      <w:pPr>
        <w:spacing w:after="0" w:line="18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The Company grants various types of stock-based compensation awards. The Company measures its stock-based compensation expense based on the grant date fair value of the award and recognizes the expense over the requisite service period for the respective award.</w:t>
      </w:r>
    </w:p>
    <w:p>
      <w:pPr>
        <w:spacing w:after="0" w:line="8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Under the Accel Entertainment, Inc. Long Term Incentive Plan, the Company issued 164,794 restricted stock units (“RSUs”) to members of the Board during the first quarter of 2026, which will vest at the end of 2026. The estimated grant date fair value of these RSUs totaled $1.8 million.</w:t>
      </w:r>
    </w:p>
    <w:p>
      <w:pPr>
        <w:spacing w:after="0" w:line="89" w:lineRule="exact"/>
        <w:rPr>
          <w:sz w:val="20"/>
          <w:szCs w:val="20"/>
          <w:color w:val="auto"/>
        </w:rPr>
      </w:pPr>
    </w:p>
    <w:p>
      <w:pPr>
        <w:jc w:val="both"/>
        <w:ind w:firstLine="295"/>
        <w:spacing w:after="0" w:line="332" w:lineRule="auto"/>
        <w:rPr>
          <w:sz w:val="20"/>
          <w:szCs w:val="20"/>
          <w:color w:val="auto"/>
        </w:rPr>
      </w:pPr>
      <w:r>
        <w:rPr>
          <w:rFonts w:ascii="Times New Roman" w:cs="Times New Roman" w:eastAsia="Times New Roman" w:hAnsi="Times New Roman"/>
          <w:sz w:val="16"/>
          <w:szCs w:val="16"/>
          <w:color w:val="auto"/>
        </w:rPr>
        <w:t>Stock-based compensation expense, which pertains to the Company’s RSUs and performance-based restricted stock units, was $2.5 million for the three months ended March 31, 2026. In comparison, stock-based compensation expense was $2.1 million for the three months ended March 31, 2025. Stock-based compensation expense is included within general and administrative expenses in the condensed consolidated statements of operations and other comprehensive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recognized income tax expense of $5.4 million and $5.0 million for the three months ended March 31, 2026, and 2025, respectively.</w:t>
      </w:r>
    </w:p>
    <w:p>
      <w:pPr>
        <w:spacing w:after="0" w:line="197"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26.8% and 25.5% for the three months ended March 31, 2026 and 2025, respectively. The Company’s effective income tax rate can vary from period to period depending on, among other factors, the amount of permanent tax adjustments and discrete items. The change in the fair value of the contingent earnout shares is considered a permanent, non-taxable item for income tax purposes and was the primary driver for the fluctuations in the tax rate year over year.</w:t>
      </w:r>
    </w:p>
    <w:p>
      <w:pPr>
        <w:spacing w:after="0" w:line="109"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impact the Company are those that relate to the timing of certain tax deductions including depreciation expense, interest expense and research and development expenditures. Because these tax law changes impact the timing of these deductions, they will not reduce the Company’s overall effective tax rate. However, these tax law changes have resulted in a favorable reduction to our current tax expense for the three months ended March 31, 2026, which was offset by an increase to deferred tax expense.</w:t>
      </w:r>
    </w:p>
    <w:p>
      <w:pPr>
        <w:spacing w:after="0" w:line="109" w:lineRule="exact"/>
        <w:rPr>
          <w:sz w:val="20"/>
          <w:szCs w:val="20"/>
          <w:color w:val="auto"/>
        </w:rPr>
      </w:pPr>
    </w:p>
    <w:p>
      <w:pPr>
        <w:jc w:val="both"/>
        <w:ind w:firstLine="295"/>
        <w:spacing w:after="0" w:line="352" w:lineRule="auto"/>
        <w:rPr>
          <w:sz w:val="20"/>
          <w:szCs w:val="20"/>
          <w:color w:val="auto"/>
        </w:rPr>
      </w:pPr>
      <w:r>
        <w:rPr>
          <w:rFonts w:ascii="Times New Roman" w:cs="Times New Roman" w:eastAsia="Times New Roman" w:hAnsi="Times New Roman"/>
          <w:sz w:val="16"/>
          <w:szCs w:val="16"/>
          <w:color w:val="auto"/>
        </w:rPr>
        <w:t>On May 1, 2026, the Company purchased $18.2 million of 2025 production tax credits for a total cost of $16.9 million. The Company will use the purchased tax credits on its 2025 federal tax return. Any excess credits that are not used on the 2025 federal tax return will be carried back to tax years 2022-2024 and will be fully utilized.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Commitments and Contingencies</w:t>
      </w:r>
    </w:p>
    <w:p>
      <w:pPr>
        <w:spacing w:after="0" w:line="189" w:lineRule="exact"/>
        <w:rPr>
          <w:sz w:val="20"/>
          <w:szCs w:val="20"/>
          <w:color w:val="auto"/>
        </w:rPr>
      </w:pPr>
    </w:p>
    <w:p>
      <w:pPr>
        <w:jc w:val="both"/>
        <w:ind w:firstLine="295"/>
        <w:spacing w:after="0" w:line="317" w:lineRule="auto"/>
        <w:rPr>
          <w:sz w:val="20"/>
          <w:szCs w:val="20"/>
          <w:color w:val="auto"/>
        </w:rPr>
      </w:pPr>
      <w:r>
        <w:rPr>
          <w:rFonts w:ascii="Times New Roman" w:cs="Times New Roman" w:eastAsia="Times New Roman" w:hAnsi="Times New Roman"/>
          <w:sz w:val="16"/>
          <w:szCs w:val="16"/>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The Company has been involved in a series of related litigated matters stemming from claims that it wrongly contracted with various different licensed establishments (the “Defendant Establishments”) in 2012 in violation of the contractual rights held by J&amp;J Ventures Gaming, LLC (“J&amp;J”), as further described below.</w:t>
      </w:r>
    </w:p>
    <w:p>
      <w:pPr>
        <w:spacing w:after="0" w:line="89" w:lineRule="exact"/>
        <w:rPr>
          <w:sz w:val="20"/>
          <w:szCs w:val="20"/>
          <w:color w:val="auto"/>
        </w:rPr>
      </w:pPr>
    </w:p>
    <w:p>
      <w:pPr>
        <w:jc w:val="both"/>
        <w:ind w:firstLine="295"/>
        <w:spacing w:after="0" w:line="313" w:lineRule="auto"/>
        <w:rPr>
          <w:sz w:val="20"/>
          <w:szCs w:val="20"/>
          <w:color w:val="auto"/>
        </w:rPr>
      </w:pPr>
      <w:r>
        <w:rPr>
          <w:rFonts w:ascii="Times New Roman" w:cs="Times New Roman" w:eastAsia="Times New Roman" w:hAnsi="Times New Roman"/>
          <w:sz w:val="16"/>
          <w:szCs w:val="16"/>
          <w:color w:val="auto"/>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 As a result of subsequent litigation, the Supreme Court of Illinois determined that the IGB has exclusive jurisdiction to decide the validity and enforceability of gaming terminal use agreements, including the J&amp;J Assigned Agreements.</w:t>
      </w:r>
    </w:p>
    <w:p>
      <w:pPr>
        <w:spacing w:after="0" w:line="115"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Between May 2017 and September 2017, both the Company and J&amp;J filed petitions with the IGB seeking adjudication of the rights of the parties and the validity of the J&amp;J Assigned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petition for leave to appeal was denied by the Illinois Supreme Court. The second case is awaiting a ruling at the trial court level. The Company does not have a present estimate regarding the potential damages, if any, that could potentially be awarded in this litigation and, accordingly, has established no reserves relating to such matters.</w:t>
      </w:r>
    </w:p>
    <w:p>
      <w:pPr>
        <w:spacing w:after="0" w:line="343"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Both suits were dismissed with prejudice as a result of the previously mentioned settlement between the Company and Gold Rush on the convertible notes in May 2023. For more information, see Note 4.</w:t>
      </w:r>
    </w:p>
    <w:p>
      <w:pPr>
        <w:spacing w:after="0" w:line="109" w:lineRule="exact"/>
        <w:rPr>
          <w:sz w:val="20"/>
          <w:szCs w:val="20"/>
          <w:color w:val="auto"/>
        </w:rPr>
      </w:pPr>
    </w:p>
    <w:p>
      <w:pPr>
        <w:jc w:val="both"/>
        <w:ind w:firstLine="295"/>
        <w:spacing w:after="0" w:line="315" w:lineRule="auto"/>
        <w:rPr>
          <w:sz w:val="20"/>
          <w:szCs w:val="20"/>
          <w:color w:val="auto"/>
        </w:rPr>
      </w:pPr>
      <w:r>
        <w:rPr>
          <w:rFonts w:ascii="Times New Roman" w:cs="Times New Roman" w:eastAsia="Times New Roman" w:hAnsi="Times New Roman"/>
          <w:sz w:val="16"/>
          <w:szCs w:val="16"/>
          <w:color w:val="auto"/>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granted summary judgment in favor of the Company. The only remaining claim is Midwest’s claim against the IGB for the administrative review of the IGB’s decision. A ruling on that is expected sometime in the second quarter of 2026.</w:t>
      </w:r>
    </w:p>
    <w:p>
      <w:pPr>
        <w:spacing w:after="0" w:line="113"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in the Circuit Court of Cook County. Rather than litigate the alleged violation, the Company pleaded no contest and has made the appropriate payments to the municipality during 2023, 2024 and 2025. In November 2025, a Circuit Court ruling, favorable to the Company, indefinitely stayed future administrative hearings and fines pending an appeal by the Illinois municipality. The Company does not anticipate making future voluntary payments during the appeal process.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Accel Entertainment, Inc. and Subsidiaries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On March 21, 2025, the Circuit Court of Cook County ruled favorably for the Company. The municipality has appealed this ruling.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Earnings Per Share</w:t>
      </w:r>
    </w:p>
    <w:p>
      <w:pPr>
        <w:spacing w:after="0" w:line="18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The components of basic and diluted earnings per share (“EPS”) were as follows for the three months ended March 31, 2026 and 2025 (in thousands, except per share amounts):</w:t>
      </w:r>
    </w:p>
    <w:p>
      <w:pPr>
        <w:spacing w:after="0" w:line="48"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13506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50645" cy="7620"/>
                    </a:xfrm>
                    <a:prstGeom prst="rect">
                      <a:avLst/>
                    </a:prstGeom>
                    <a:noFill/>
                  </pic:spPr>
                </pic:pic>
              </a:graphicData>
            </a:graphic>
          </wp:anchor>
        </w:drawing>
      </w:r>
    </w:p>
    <w:p>
      <w:pPr>
        <w:spacing w:after="0" w:line="33" w:lineRule="exact"/>
        <w:rPr>
          <w:sz w:val="20"/>
          <w:szCs w:val="20"/>
          <w:color w:val="auto"/>
        </w:rPr>
      </w:pPr>
    </w:p>
    <w:tbl>
      <w:tblPr>
        <w:tblLayout w:type="fixed"/>
        <w:tblInd w:w="234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Accel Entertainment, Inc.</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1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w:t>
            </w:r>
          </w:p>
        </w:tc>
      </w:tr>
      <w:tr>
        <w:trPr>
          <w:trHeight w:val="24"/>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6"/>
        </w:trPr>
        <w:tc>
          <w:tcPr>
            <w:tcW w:w="4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Basic weighted average outstanding shares of common stock</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86,003</w:t>
            </w:r>
          </w:p>
        </w:tc>
      </w:tr>
      <w:tr>
        <w:trPr>
          <w:trHeight w:val="24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effect of stock-based awards for common stock</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r>
      <w:tr>
        <w:trPr>
          <w:trHeight w:val="201"/>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outstanding shares of common stock</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84,094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87,223</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6"/>
        </w:trPr>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47"/>
        </w:trPr>
        <w:tc>
          <w:tcPr>
            <w:tcW w:w="4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21"/>
                <w:szCs w:val="21"/>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bl>
    <w:p>
      <w:pPr>
        <w:spacing w:after="0" w:line="241"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Anti-dilutive stock-based awards, contingent earnout shares and warrants excluded from the calculations of diluted EPS were 4.3 million and 4.4 million shares as of March 31, 2026 and 2025, respectively.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77" w:lineRule="exact"/>
        <w:rPr>
          <w:sz w:val="20"/>
          <w:szCs w:val="20"/>
          <w:color w:val="auto"/>
        </w:rPr>
      </w:pPr>
    </w:p>
    <w:p>
      <w:pPr>
        <w:jc w:val="both"/>
        <w:ind w:firstLine="295"/>
        <w:spacing w:after="0" w:line="310" w:lineRule="auto"/>
        <w:rPr>
          <w:sz w:val="20"/>
          <w:szCs w:val="20"/>
          <w:color w:val="auto"/>
        </w:rPr>
      </w:pPr>
      <w:r>
        <w:rPr>
          <w:rFonts w:ascii="Times New Roman" w:cs="Times New Roman" w:eastAsia="Times New Roman" w:hAnsi="Times New Roman"/>
          <w:sz w:val="16"/>
          <w:szCs w:val="16"/>
          <w:color w:val="auto"/>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within the meaning of the Private Securities Litigation Reform Act of 1995. Forward-looking statements may be identified by the use of words such as “believe,” “expect,” “plans,” “intend,” “may,” “strategy,” “prospects,” “estimate,” “will,” “should,” “could,” “project,” “target,” “anticipate,” and other similar words and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2025. Any forward-looking statements made by us speak only as of the date on which they are made. We are under no obligation to, and expressly disclaims any obligation to, update or alter its forward-looking statements, whether as a result of new information, subsequent events or otherwise, except as required by law. This discussion and analysis should also be read in conjunction with “Management’s Discussion and Analysis of Financial Condition and Results of Operations”, set forth in our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77" w:lineRule="exact"/>
        <w:rPr>
          <w:sz w:val="20"/>
          <w:szCs w:val="20"/>
          <w:color w:val="auto"/>
        </w:rPr>
      </w:pPr>
    </w:p>
    <w:p>
      <w:pPr>
        <w:jc w:val="both"/>
        <w:ind w:firstLine="295"/>
        <w:spacing w:after="0" w:line="316" w:lineRule="auto"/>
        <w:rPr>
          <w:sz w:val="20"/>
          <w:szCs w:val="20"/>
          <w:color w:val="auto"/>
        </w:rPr>
      </w:pPr>
      <w:r>
        <w:rPr>
          <w:rFonts w:ascii="Times New Roman" w:cs="Times New Roman" w:eastAsia="Times New Roman" w:hAnsi="Times New Roman"/>
          <w:sz w:val="16"/>
          <w:szCs w:val="16"/>
          <w:color w:val="auto"/>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an additional revenue stream. 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w:t>
      </w:r>
    </w:p>
    <w:p>
      <w:pPr>
        <w:spacing w:after="0" w:line="87" w:lineRule="exact"/>
        <w:rPr>
          <w:sz w:val="20"/>
          <w:szCs w:val="20"/>
          <w:color w:val="auto"/>
        </w:rPr>
      </w:pPr>
    </w:p>
    <w:p>
      <w:pPr>
        <w:jc w:val="both"/>
        <w:ind w:firstLine="295"/>
        <w:spacing w:after="0" w:line="360" w:lineRule="auto"/>
        <w:rPr>
          <w:sz w:val="20"/>
          <w:szCs w:val="20"/>
          <w:color w:val="auto"/>
        </w:rPr>
      </w:pPr>
      <w:r>
        <w:rPr>
          <w:rFonts w:ascii="Times New Roman" w:cs="Times New Roman" w:eastAsia="Times New Roman" w:hAnsi="Times New Roman"/>
          <w:sz w:val="16"/>
          <w:szCs w:val="16"/>
          <w:color w:val="auto"/>
        </w:rPr>
        <w:t>We also design and manufacture gaming terminals and related equipment. We are continuously evaluating additional opportunities that are complementary to our core business, such as our acquisition of Fairmount Park - Casino &amp; Racing (“Fairmount”) in Collinsville, Illinois.</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currently operate in the following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127635</wp:posOffset>
            </wp:positionV>
            <wp:extent cx="7144385" cy="351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351155"/>
                    </a:xfrm>
                    <a:prstGeom prst="rect">
                      <a:avLst/>
                    </a:prstGeom>
                    <a:noFill/>
                  </pic:spPr>
                </pic:pic>
              </a:graphicData>
            </a:graphic>
          </wp:anchor>
        </w:drawing>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Operations</w:t>
            </w:r>
          </w:p>
        </w:tc>
        <w:tc>
          <w:tcPr>
            <w:tcW w:w="2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21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Started or Year of</w:t>
            </w:r>
          </w:p>
        </w:tc>
        <w:tc>
          <w:tcPr>
            <w:tcW w:w="27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Branding</w:t>
            </w:r>
          </w:p>
        </w:tc>
        <w:tc>
          <w:tcPr>
            <w:tcW w:w="2440" w:type="dxa"/>
            <w:vAlign w:val="bottom"/>
            <w:vMerge w:val="restart"/>
          </w:tcPr>
          <w:p>
            <w:pPr>
              <w:ind w:left="166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0" w:type="dxa"/>
            <w:vAlign w:val="bottom"/>
          </w:tcPr>
          <w:p>
            <w:pPr>
              <w:spacing w:after="0"/>
              <w:rPr>
                <w:sz w:val="1"/>
                <w:szCs w:val="1"/>
                <w:color w:val="auto"/>
              </w:rPr>
            </w:pPr>
          </w:p>
        </w:tc>
      </w:tr>
      <w:tr>
        <w:trPr>
          <w:trHeight w:val="218"/>
        </w:trPr>
        <w:tc>
          <w:tcPr>
            <w:tcW w:w="780" w:type="dxa"/>
            <w:vAlign w:val="bottom"/>
            <w:vMerge w:val="continue"/>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272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-5080</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80"/>
        <w:spacing w:after="0"/>
        <w:tabs>
          <w:tab w:leader="none" w:pos="2220" w:val="left"/>
          <w:tab w:leader="none" w:pos="3360" w:val="left"/>
        </w:tabs>
        <w:rPr>
          <w:sz w:val="20"/>
          <w:szCs w:val="20"/>
          <w:color w:val="auto"/>
        </w:rPr>
      </w:pPr>
      <w:r>
        <w:rPr>
          <w:rFonts w:ascii="Times New Roman" w:cs="Times New Roman" w:eastAsia="Times New Roman" w:hAnsi="Times New Roman"/>
          <w:sz w:val="16"/>
          <w:szCs w:val="16"/>
          <w:color w:val="auto"/>
        </w:rPr>
        <w:t>Illinois</w:t>
      </w:r>
      <w:r>
        <w:rPr>
          <w:sz w:val="20"/>
          <w:szCs w:val="20"/>
          <w:color w:val="auto"/>
        </w:rPr>
        <w:tab/>
      </w:r>
      <w:r>
        <w:rPr>
          <w:rFonts w:ascii="Times New Roman" w:cs="Times New Roman" w:eastAsia="Times New Roman" w:hAnsi="Times New Roman"/>
          <w:sz w:val="16"/>
          <w:szCs w:val="16"/>
          <w:color w:val="auto"/>
        </w:rPr>
        <w:t>2012</w:t>
      </w:r>
      <w:r>
        <w:rPr>
          <w:sz w:val="20"/>
          <w:szCs w:val="20"/>
          <w:color w:val="auto"/>
        </w:rPr>
        <w:tab/>
      </w:r>
      <w:r>
        <w:rPr>
          <w:rFonts w:ascii="Times New Roman" w:cs="Times New Roman" w:eastAsia="Times New Roman" w:hAnsi="Times New Roman"/>
          <w:sz w:val="16"/>
          <w:szCs w:val="16"/>
          <w:color w:val="auto"/>
        </w:rPr>
        <w:t>Accel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361950</wp:posOffset>
            </wp:positionV>
            <wp:extent cx="31546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54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Illinois</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Fairmount Park - Casino</w:t>
            </w:r>
          </w:p>
        </w:tc>
      </w:tr>
      <w:tr>
        <w:trPr>
          <w:trHeight w:val="214"/>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Racing</w:t>
            </w:r>
          </w:p>
        </w:tc>
      </w:tr>
      <w:tr>
        <w:trPr>
          <w:trHeight w:val="81"/>
        </w:trPr>
        <w:tc>
          <w:tcPr>
            <w:tcW w:w="1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44" w:hanging="144"/>
        <w:spacing w:after="0"/>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Establishments with a liquor license (Up to 6 gaming terminals)</w:t>
      </w:r>
    </w:p>
    <w:p>
      <w:pPr>
        <w:spacing w:after="0" w:line="6" w:lineRule="exact"/>
        <w:rPr>
          <w:rFonts w:ascii="Times New Roman" w:cs="Times New Roman" w:eastAsia="Times New Roman" w:hAnsi="Times New Roman"/>
          <w:sz w:val="16"/>
          <w:szCs w:val="16"/>
          <w:color w:val="auto"/>
        </w:rPr>
      </w:pPr>
    </w:p>
    <w:p>
      <w:pPr>
        <w:ind w:left="304"/>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Bars/restaurants/retail</w:t>
      </w:r>
    </w:p>
    <w:p>
      <w:pPr>
        <w:ind w:left="304"/>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Gaming cafes</w:t>
      </w:r>
    </w:p>
    <w:p>
      <w:pPr>
        <w:ind w:left="304"/>
        <w:spacing w:after="0" w:line="22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Fraternal organizations</w:t>
      </w:r>
    </w:p>
    <w:p>
      <w:pPr>
        <w:ind w:left="304"/>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Veterans’ organizations</w:t>
      </w:r>
    </w:p>
    <w:p>
      <w:pPr>
        <w:ind w:left="144" w:hanging="144"/>
        <w:spacing w:after="0" w:line="208" w:lineRule="auto"/>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Truck stops (Up to 6 gaming terminals)</w:t>
      </w:r>
    </w:p>
    <w:p>
      <w:pPr>
        <w:ind w:left="144" w:hanging="144"/>
        <w:spacing w:after="0"/>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Large truck stops (Up to 10 gaming terminals)</w:t>
      </w:r>
    </w:p>
    <w:p>
      <w:pPr>
        <w:spacing w:after="0" w:line="56" w:lineRule="exact"/>
        <w:rPr>
          <w:rFonts w:ascii="Times New Roman" w:cs="Times New Roman" w:eastAsia="Times New Roman" w:hAnsi="Times New Roman"/>
          <w:sz w:val="16"/>
          <w:szCs w:val="16"/>
          <w:color w:val="auto"/>
        </w:rPr>
      </w:pPr>
    </w:p>
    <w:p>
      <w:pPr>
        <w:ind w:left="144" w:hanging="144"/>
        <w:spacing w:after="0"/>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Operates a thoroughbred horse race track with 57 race days anticipated in 2026</w:t>
      </w:r>
    </w:p>
    <w:p>
      <w:pPr>
        <w:spacing w:after="0" w:line="6" w:lineRule="exact"/>
        <w:rPr>
          <w:rFonts w:ascii="Times New Roman" w:cs="Times New Roman" w:eastAsia="Times New Roman" w:hAnsi="Times New Roman"/>
          <w:sz w:val="16"/>
          <w:szCs w:val="16"/>
          <w:color w:val="auto"/>
        </w:rPr>
      </w:pPr>
    </w:p>
    <w:p>
      <w:pPr>
        <w:ind w:left="144" w:hanging="144"/>
        <w:spacing w:after="0" w:line="208" w:lineRule="auto"/>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Operates a casino with ~260 gaming positions and 7 table games</w:t>
      </w:r>
    </w:p>
    <w:p>
      <w:pPr>
        <w:ind w:left="144" w:hanging="144"/>
        <w:spacing w:after="0" w:line="208" w:lineRule="auto"/>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share agreement with FanDuel to operate a sportsbook</w:t>
      </w:r>
    </w:p>
    <w:p>
      <w:pPr>
        <w:ind w:left="144" w:hanging="144"/>
        <w:spacing w:after="0"/>
        <w:tabs>
          <w:tab w:leader="none" w:pos="1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Offers attractive food and beverage offerings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6985</wp:posOffset>
            </wp:positionV>
            <wp:extent cx="39350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-468630</wp:posOffset>
            </wp:positionV>
            <wp:extent cx="39350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35095" cy="76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040" w:space="176"/>
            <w:col w:w="6024"/>
          </w:cols>
          <w:pgMar w:left="320" w:top="123"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463550</wp:posOffset>
            </wp:positionV>
            <wp:extent cx="7144385" cy="351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Operations</w:t>
            </w:r>
          </w:p>
        </w:tc>
        <w:tc>
          <w:tcPr>
            <w:tcW w:w="2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Started or Year of</w:t>
            </w:r>
          </w:p>
        </w:tc>
        <w:tc>
          <w:tcPr>
            <w:tcW w:w="27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Branding</w:t>
            </w:r>
          </w:p>
        </w:tc>
        <w:tc>
          <w:tcPr>
            <w:tcW w:w="2440" w:type="dxa"/>
            <w:vAlign w:val="bottom"/>
            <w:vMerge w:val="restart"/>
          </w:tcPr>
          <w:p>
            <w:pPr>
              <w:ind w:left="166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0" w:type="dxa"/>
            <w:vAlign w:val="bottom"/>
          </w:tcPr>
          <w:p>
            <w:pPr>
              <w:spacing w:after="0"/>
              <w:rPr>
                <w:sz w:val="1"/>
                <w:szCs w:val="1"/>
                <w:color w:val="auto"/>
              </w:rPr>
            </w:pPr>
          </w:p>
        </w:tc>
      </w:tr>
      <w:tr>
        <w:trPr>
          <w:trHeight w:val="222"/>
        </w:trPr>
        <w:tc>
          <w:tcPr>
            <w:tcW w:w="780" w:type="dxa"/>
            <w:vAlign w:val="bottom"/>
            <w:vMerge w:val="continue"/>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2720" w:type="dxa"/>
            <w:vAlign w:val="bottom"/>
            <w:vMerge w:val="continue"/>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0</wp:posOffset>
            </wp:positionV>
            <wp:extent cx="71443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Montana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Century Gaming</w:t>
            </w:r>
          </w:p>
        </w:tc>
      </w:tr>
      <w:tr>
        <w:trPr>
          <w:trHeight w:val="85"/>
        </w:trPr>
        <w:tc>
          <w:tcPr>
            <w:tcW w:w="1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r>
        <w:trPr>
          <w:trHeight w:val="485"/>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Montana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Grand Vision Gaming</w:t>
            </w:r>
          </w:p>
        </w:tc>
      </w:tr>
      <w:tr>
        <w:trPr>
          <w:trHeight w:val="245"/>
        </w:trPr>
        <w:tc>
          <w:tcPr>
            <w:tcW w:w="1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r>
      <w:tr>
        <w:trPr>
          <w:trHeight w:val="263"/>
        </w:trPr>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Yellowstone Casino and</w:t>
            </w:r>
          </w:p>
        </w:tc>
      </w:tr>
      <w:tr>
        <w:trPr>
          <w:trHeight w:val="172"/>
        </w:trPr>
        <w:tc>
          <w:tcPr>
            <w:tcW w:w="14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Montana</w:t>
            </w:r>
          </w:p>
        </w:tc>
        <w:tc>
          <w:tcPr>
            <w:tcW w:w="1720" w:type="dxa"/>
            <w:vAlign w:val="bottom"/>
          </w:tcPr>
          <w:p>
            <w:pPr>
              <w:jc w:val="right"/>
              <w:ind w:right="598"/>
              <w:spacing w:after="0" w:line="172"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4"/>
                <w:szCs w:val="14"/>
                <w:color w:val="auto"/>
              </w:rPr>
            </w:pPr>
          </w:p>
        </w:tc>
        <w:tc>
          <w:tcPr>
            <w:tcW w:w="168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other local retail/parlor</w:t>
            </w:r>
          </w:p>
        </w:tc>
      </w:tr>
      <w:tr>
        <w:trPr>
          <w:trHeight w:val="214"/>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locations</w:t>
            </w:r>
          </w:p>
        </w:tc>
      </w:tr>
      <w:tr>
        <w:trPr>
          <w:trHeight w:val="81"/>
        </w:trPr>
        <w:tc>
          <w:tcPr>
            <w:tcW w:w="1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r>
        <w:trPr>
          <w:trHeight w:val="731"/>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Nevada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Century Gaming</w:t>
            </w:r>
          </w:p>
        </w:tc>
      </w:tr>
      <w:tr>
        <w:trPr>
          <w:trHeight w:val="491"/>
        </w:trPr>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399"/>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Nebraska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 Entertainment</w:t>
            </w:r>
          </w:p>
        </w:tc>
      </w:tr>
      <w:tr>
        <w:trPr>
          <w:trHeight w:val="171"/>
        </w:trPr>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r>
      <w:tr>
        <w:trPr>
          <w:trHeight w:val="510"/>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Georgia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Bulldog Gaming</w:t>
            </w:r>
          </w:p>
        </w:tc>
      </w:tr>
      <w:tr>
        <w:trPr>
          <w:trHeight w:val="282"/>
        </w:trPr>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571"/>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Louisiana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Toucan Gaming</w:t>
            </w:r>
          </w:p>
        </w:tc>
      </w:tr>
      <w:tr>
        <w:trPr>
          <w:trHeight w:val="331"/>
        </w:trPr>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485"/>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Iowa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 Entertainment</w:t>
            </w:r>
          </w:p>
        </w:tc>
      </w:tr>
      <w:tr>
        <w:trPr>
          <w:trHeight w:val="245"/>
        </w:trPr>
        <w:tc>
          <w:tcPr>
            <w:tcW w:w="1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r>
      <w:tr>
        <w:trPr>
          <w:trHeight w:val="325"/>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7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 Entertainment</w:t>
            </w:r>
          </w:p>
        </w:tc>
      </w:tr>
      <w:tr>
        <w:trPr>
          <w:trHeight w:val="85"/>
        </w:trPr>
        <w:tc>
          <w:tcPr>
            <w:tcW w:w="1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ind w:left="144" w:right="20" w:hanging="144"/>
        <w:spacing w:after="0" w:line="247" w:lineRule="auto"/>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locations licensed to sell alcoholic beverages for on-premises consumption only, including locations restricted to offering a maximum of 20 gaming terminals</w:t>
      </w:r>
    </w:p>
    <w:p>
      <w:pPr>
        <w:spacing w:after="0" w:line="51" w:lineRule="exact"/>
        <w:rPr>
          <w:rFonts w:ascii="Times New Roman" w:cs="Times New Roman" w:eastAsia="Times New Roman" w:hAnsi="Times New Roman"/>
          <w:sz w:val="16"/>
          <w:szCs w:val="16"/>
          <w:color w:val="auto"/>
        </w:rPr>
      </w:pPr>
    </w:p>
    <w:p>
      <w:pPr>
        <w:ind w:left="144" w:right="20" w:hanging="144"/>
        <w:spacing w:after="0" w:line="220" w:lineRule="auto"/>
        <w:tabs>
          <w:tab w:leader="none" w:pos="1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Designs and manufactures gaming terminals and software that are sold to Montana, South Dakota, and West Virginia</w:t>
      </w:r>
    </w:p>
    <w:p>
      <w:pPr>
        <w:ind w:left="144" w:right="100" w:hanging="144"/>
        <w:spacing w:after="0"/>
        <w:tabs>
          <w:tab w:leader="none" w:pos="1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Develops proprietary gaming terminals and related software as well as other ancillary equipment for our distributed gaming routes in Montana, Nevada, Nebraska and Georgia</w:t>
      </w:r>
    </w:p>
    <w:p>
      <w:pPr>
        <w:spacing w:after="0" w:line="44" w:lineRule="exact"/>
        <w:rPr>
          <w:rFonts w:ascii="Times New Roman" w:cs="Times New Roman" w:eastAsia="Times New Roman" w:hAnsi="Times New Roman"/>
          <w:sz w:val="16"/>
          <w:szCs w:val="16"/>
          <w:i w:val="1"/>
          <w:iCs w:val="1"/>
          <w:color w:val="auto"/>
        </w:rPr>
      </w:pPr>
    </w:p>
    <w:p>
      <w:pPr>
        <w:ind w:left="144" w:right="180" w:hanging="144"/>
        <w:spacing w:after="0" w:line="220" w:lineRule="auto"/>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gaming locations licensed to sell alcoholic beverages and offering a maximum of 20 gaming terminals</w:t>
      </w:r>
    </w:p>
    <w:p>
      <w:pPr>
        <w:ind w:left="144" w:hanging="144"/>
        <w:spacing w:after="0" w:line="224" w:lineRule="auto"/>
        <w:tabs>
          <w:tab w:leader="none" w:pos="14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locations have attractive food offerings</w:t>
      </w:r>
    </w:p>
    <w:p>
      <w:pPr>
        <w:ind w:left="144" w:hanging="144"/>
        <w:spacing w:after="0"/>
        <w:tabs>
          <w:tab w:leader="none" w:pos="14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Currently, we have five parlor locations</w:t>
      </w:r>
    </w:p>
    <w:p>
      <w:pPr>
        <w:spacing w:after="0" w:line="56" w:lineRule="exact"/>
        <w:rPr>
          <w:rFonts w:ascii="Times New Roman" w:cs="Times New Roman" w:eastAsia="Times New Roman" w:hAnsi="Times New Roman"/>
          <w:sz w:val="16"/>
          <w:szCs w:val="16"/>
          <w:color w:val="auto"/>
        </w:rPr>
      </w:pPr>
    </w:p>
    <w:p>
      <w:pPr>
        <w:ind w:left="144" w:right="40" w:hanging="144"/>
        <w:spacing w:after="0" w:line="220" w:lineRule="auto"/>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Non-casino locations where gaming is incidental to the primary business being conducted at the location, including:</w:t>
      </w:r>
    </w:p>
    <w:p>
      <w:pPr>
        <w:ind w:left="304"/>
        <w:spacing w:after="0" w:line="22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Grocery/drug/convenience stores</w:t>
      </w:r>
    </w:p>
    <w:p>
      <w:pPr>
        <w:ind w:left="304"/>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Bars/restaurants/taverns</w:t>
      </w:r>
    </w:p>
    <w:p>
      <w:pPr>
        <w:ind w:left="304"/>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Liquor stores</w:t>
      </w:r>
    </w:p>
    <w:p>
      <w:pPr>
        <w:ind w:left="144" w:right="400" w:hanging="144"/>
        <w:spacing w:after="0"/>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Games are generally limited to 15 or fewer gaming terminals with no other forms of gaming activity permitted</w:t>
      </w:r>
    </w:p>
    <w:p>
      <w:pPr>
        <w:spacing w:after="0" w:line="38" w:lineRule="exact"/>
        <w:rPr>
          <w:rFonts w:ascii="Times New Roman" w:cs="Times New Roman" w:eastAsia="Times New Roman" w:hAnsi="Times New Roman"/>
          <w:sz w:val="16"/>
          <w:szCs w:val="16"/>
          <w:color w:val="auto"/>
        </w:rPr>
      </w:pPr>
    </w:p>
    <w:p>
      <w:pPr>
        <w:ind w:left="144" w:hanging="144"/>
        <w:spacing w:after="0"/>
        <w:tabs>
          <w:tab w:leader="none" w:pos="144"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Operate cash devices in retail locations throughout the state</w:t>
      </w:r>
    </w:p>
    <w:p>
      <w:pPr>
        <w:ind w:left="144" w:right="140" w:hanging="144"/>
        <w:spacing w:after="0" w:line="232" w:lineRule="auto"/>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establishments include any business location that is open to the public for the sale of goods other than gaming terminals and that possesses a valid sales tax permit</w:t>
      </w:r>
    </w:p>
    <w:p>
      <w:pPr>
        <w:spacing w:after="0" w:line="56" w:lineRule="exact"/>
        <w:rPr>
          <w:rFonts w:ascii="Times New Roman" w:cs="Times New Roman" w:eastAsia="Times New Roman" w:hAnsi="Times New Roman"/>
          <w:sz w:val="16"/>
          <w:szCs w:val="16"/>
          <w:color w:val="auto"/>
        </w:rPr>
      </w:pPr>
    </w:p>
    <w:p>
      <w:pPr>
        <w:ind w:left="144" w:right="40" w:hanging="144"/>
        <w:spacing w:after="0" w:line="232" w:lineRule="auto"/>
        <w:tabs>
          <w:tab w:leader="none" w:pos="1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Operates skill-based coin-operated amusement machines with winnings paid by gift cards through redemption terminals or Bulldog Wallet for noncash merchandise, prizes, toys, gift cards, or novelties</w:t>
      </w:r>
    </w:p>
    <w:p>
      <w:pPr>
        <w:spacing w:after="0" w:line="271" w:lineRule="exact"/>
        <w:rPr>
          <w:rFonts w:ascii="Times New Roman" w:cs="Times New Roman" w:eastAsia="Times New Roman" w:hAnsi="Times New Roman"/>
          <w:sz w:val="16"/>
          <w:szCs w:val="16"/>
          <w:i w:val="1"/>
          <w:iCs w:val="1"/>
          <w:color w:val="auto"/>
        </w:rPr>
      </w:pPr>
    </w:p>
    <w:p>
      <w:pPr>
        <w:ind w:left="144" w:hanging="144"/>
        <w:spacing w:after="0"/>
        <w:tabs>
          <w:tab w:leader="none" w:pos="14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Truck stop gaming parlors (up to 60 gaming terminals)</w:t>
      </w:r>
    </w:p>
    <w:p>
      <w:pPr>
        <w:ind w:left="144" w:hanging="144"/>
        <w:spacing w:after="0" w:line="208" w:lineRule="auto"/>
        <w:tabs>
          <w:tab w:leader="none" w:pos="14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Establishments with a liquor license (up to 4 gaming terminals)</w:t>
      </w:r>
    </w:p>
    <w:p>
      <w:pPr>
        <w:ind w:left="304"/>
        <w:spacing w:after="0" w:line="22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Bars/restaurants/retail</w:t>
      </w:r>
    </w:p>
    <w:p>
      <w:pPr>
        <w:ind w:left="304"/>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Fraternal organizations</w:t>
      </w:r>
    </w:p>
    <w:p>
      <w:pPr>
        <w:ind w:left="30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Veterans’ organizations</w:t>
      </w:r>
    </w:p>
    <w:p>
      <w:pPr>
        <w:spacing w:after="0" w:line="68" w:lineRule="exact"/>
        <w:rPr>
          <w:rFonts w:ascii="Times New Roman" w:cs="Times New Roman" w:eastAsia="Times New Roman" w:hAnsi="Times New Roman"/>
          <w:sz w:val="16"/>
          <w:szCs w:val="16"/>
          <w:color w:val="auto"/>
        </w:rPr>
      </w:pPr>
    </w:p>
    <w:p>
      <w:pPr>
        <w:ind w:left="144" w:hanging="144"/>
        <w:spacing w:after="0" w:line="220" w:lineRule="auto"/>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Operate amusement concessions, including games of chance and games of skill, which we define as gaming terminals</w:t>
      </w:r>
    </w:p>
    <w:p>
      <w:pPr>
        <w:ind w:left="144" w:hanging="144"/>
        <w:spacing w:after="0"/>
        <w:tabs>
          <w:tab w:leader="none" w:pos="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Bars, taverns, and restaurants with a certain class of liquor license are permitted to operate up to four electrical or mechanical games of chance</w:t>
      </w:r>
    </w:p>
    <w:p>
      <w:pPr>
        <w:spacing w:after="0" w:line="38" w:lineRule="exact"/>
        <w:rPr>
          <w:rFonts w:ascii="Times New Roman" w:cs="Times New Roman" w:eastAsia="Times New Roman" w:hAnsi="Times New Roman"/>
          <w:sz w:val="16"/>
          <w:szCs w:val="16"/>
          <w:color w:val="auto"/>
        </w:rPr>
      </w:pPr>
    </w:p>
    <w:p>
      <w:pPr>
        <w:ind w:left="144" w:hanging="144"/>
        <w:spacing w:after="0"/>
        <w:tabs>
          <w:tab w:leader="none" w:pos="14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Licensed to operate at qualified truck stops</w:t>
      </w:r>
    </w:p>
    <w:p>
      <w:pPr>
        <w:ind w:left="144" w:hanging="144"/>
        <w:spacing w:after="0"/>
        <w:tabs>
          <w:tab w:leader="none" w:pos="14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Actively exploring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39350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-257810</wp:posOffset>
            </wp:positionV>
            <wp:extent cx="39350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-734060</wp:posOffset>
            </wp:positionV>
            <wp:extent cx="39350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-1319530</wp:posOffset>
            </wp:positionV>
            <wp:extent cx="39350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-1835150</wp:posOffset>
            </wp:positionV>
            <wp:extent cx="39350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-2209800</wp:posOffset>
            </wp:positionV>
            <wp:extent cx="39350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-2998470</wp:posOffset>
            </wp:positionV>
            <wp:extent cx="39350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-3474720</wp:posOffset>
            </wp:positionV>
            <wp:extent cx="39350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350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-3950970</wp:posOffset>
            </wp:positionV>
            <wp:extent cx="39350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35095" cy="762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040" w:space="176"/>
            <w:col w:w="6064"/>
          </w:cols>
          <w:pgMar w:left="320" w:top="123" w:right="299" w:bottom="1440" w:gutter="0" w:footer="0" w:header="0"/>
          <w:type w:val="continuous"/>
        </w:sect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are subject to the various gaming regulations in the states in which we operate, as well as various other federal, state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Distributed Gaming Competitive Landscape</w:t>
      </w:r>
    </w:p>
    <w:p>
      <w:pPr>
        <w:spacing w:after="0" w:line="187"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We compete in the distributed gaming landscape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4385" cy="140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112"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i w:val="1"/>
          <w:iCs w:val="1"/>
          <w:color w:val="auto"/>
        </w:rPr>
        <w:t>Statutory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35452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spacing w:after="0" w:line="21" w:lineRule="exact"/>
        <w:rPr>
          <w:sz w:val="20"/>
          <w:szCs w:val="20"/>
          <w:color w:val="auto"/>
        </w:rPr>
      </w:pPr>
    </w:p>
    <w:p>
      <w:pPr>
        <w:ind w:left="20" w:right="40"/>
        <w:spacing w:after="0" w:line="247" w:lineRule="auto"/>
        <w:rPr>
          <w:sz w:val="20"/>
          <w:szCs w:val="20"/>
          <w:color w:val="auto"/>
        </w:rPr>
      </w:pPr>
      <w:r>
        <w:rPr>
          <w:rFonts w:ascii="Times New Roman" w:cs="Times New Roman" w:eastAsia="Times New Roman" w:hAnsi="Times New Roman"/>
          <w:sz w:val="16"/>
          <w:szCs w:val="16"/>
          <w:color w:val="auto"/>
        </w:rPr>
        <w:t>Net terminal income splits are statutorily predetermined; minimum and maximum wagers are mandated by the applicable governing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5452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ind w:left="20"/>
        <w:spacing w:after="0" w:line="247" w:lineRule="auto"/>
        <w:rPr>
          <w:sz w:val="20"/>
          <w:szCs w:val="20"/>
          <w:color w:val="auto"/>
        </w:rPr>
      </w:pPr>
      <w:r>
        <w:rPr>
          <w:rFonts w:ascii="Times New Roman" w:cs="Times New Roman" w:eastAsia="Times New Roman" w:hAnsi="Times New Roman"/>
          <w:sz w:val="16"/>
          <w:szCs w:val="16"/>
          <w:color w:val="auto"/>
        </w:rPr>
        <w:t>Pricing is not considered a factor as revenue splits with our locations are mandated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5452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spacing w:after="0" w:line="118" w:lineRule="exact"/>
        <w:rPr>
          <w:sz w:val="20"/>
          <w:szCs w:val="20"/>
          <w:color w:val="auto"/>
        </w:rPr>
      </w:pPr>
    </w:p>
    <w:p>
      <w:pPr>
        <w:ind w:left="20" w:right="140"/>
        <w:spacing w:after="0" w:line="263" w:lineRule="auto"/>
        <w:rPr>
          <w:sz w:val="20"/>
          <w:szCs w:val="20"/>
          <w:color w:val="auto"/>
        </w:rPr>
      </w:pPr>
      <w:r>
        <w:rPr>
          <w:rFonts w:ascii="Times New Roman" w:cs="Times New Roman" w:eastAsia="Times New Roman" w:hAnsi="Times New Roman"/>
          <w:sz w:val="16"/>
          <w:szCs w:val="16"/>
          <w:color w:val="auto"/>
        </w:rPr>
        <w:t>Location and customer experience are key differentiating factors for selecting us over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54520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Our markets with statutory splits are: Illinois, Georgia, Pennsylvania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i w:val="1"/>
          <w:iCs w:val="1"/>
          <w:color w:val="auto"/>
        </w:rPr>
        <w:t>Negotiated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35452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terminal income splits are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354520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Pricing is a driver in contract negotiations as all revenue splits are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35452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spacing w:after="0" w:line="22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6"/>
          <w:szCs w:val="16"/>
          <w:color w:val="auto"/>
        </w:rPr>
        <w:t>Our focus on player appeal, customer service and reputation are also key factors impacting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354520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5205" cy="7620"/>
                    </a:xfrm>
                    <a:prstGeom prst="rect">
                      <a:avLst/>
                    </a:prstGeom>
                    <a:noFill/>
                  </pic:spPr>
                </pic:pic>
              </a:graphicData>
            </a:graphic>
          </wp:anchor>
        </w:drawing>
      </w:r>
    </w:p>
    <w:p>
      <w:pPr>
        <w:ind w:right="660"/>
        <w:spacing w:after="0" w:line="247" w:lineRule="auto"/>
        <w:rPr>
          <w:sz w:val="20"/>
          <w:szCs w:val="20"/>
          <w:color w:val="auto"/>
        </w:rPr>
      </w:pPr>
      <w:r>
        <w:rPr>
          <w:rFonts w:ascii="Times New Roman" w:cs="Times New Roman" w:eastAsia="Times New Roman" w:hAnsi="Times New Roman"/>
          <w:sz w:val="16"/>
          <w:szCs w:val="16"/>
          <w:color w:val="auto"/>
        </w:rPr>
        <w:t>Our markets with negotiated splits are: Montana, Nevada, Nebraska, Iowa,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4445</wp:posOffset>
            </wp:positionV>
            <wp:extent cx="71443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240"/>
            <w:col w:w="5560"/>
          </w:cols>
          <w:pgMar w:left="320" w:top="123" w:right="339" w:bottom="1440" w:gutter="0" w:footer="0" w:header="0"/>
          <w:type w:val="continuous"/>
        </w:sectPr>
      </w:pPr>
    </w:p>
    <w:p>
      <w:pPr>
        <w:spacing w:after="0" w:line="36"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We also enter into space lease agreements, primarily in the Nevada market, where the location earns a fixed monthly rental fee in exchange for the right for us to operate at the location. For these agreements, we are the sole holder of the applicable gaming license that allows us to operate in that location. Under these agreements, we recognize all of the gaming revenue and record the fixed monthly rental fees as cost of revenue.</w:t>
      </w:r>
    </w:p>
    <w:p>
      <w:pPr>
        <w:spacing w:after="0" w:line="1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Macroeconomic Factors</w:t>
      </w:r>
    </w:p>
    <w:p>
      <w:pPr>
        <w:spacing w:after="0" w:line="189" w:lineRule="exact"/>
        <w:rPr>
          <w:sz w:val="20"/>
          <w:szCs w:val="20"/>
          <w:color w:val="auto"/>
        </w:rPr>
      </w:pPr>
    </w:p>
    <w:p>
      <w:pPr>
        <w:jc w:val="both"/>
        <w:ind w:firstLine="295"/>
        <w:spacing w:after="0" w:line="315" w:lineRule="auto"/>
        <w:rPr>
          <w:sz w:val="20"/>
          <w:szCs w:val="20"/>
          <w:color w:val="auto"/>
        </w:rPr>
      </w:pPr>
      <w:r>
        <w:rPr>
          <w:rFonts w:ascii="Times New Roman" w:cs="Times New Roman" w:eastAsia="Times New Roman" w:hAnsi="Times New Roman"/>
          <w:sz w:val="16"/>
          <w:szCs w:val="16"/>
          <w:color w:val="auto"/>
        </w:rPr>
        <w:t>Ongoing interest rate uncertainty, persistent inflation, economic impacts from the conflict in Iran, and increased and/or reciprocal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Economic conditions that adversely impact players’ ability and desire to spend disposable income at our location partners may adversely affect our results of operations and cash flows. For the first three months of 2026, we have not observed any material impacts to our business or outlook from the macroeconomic factors noted above.</w:t>
      </w:r>
    </w:p>
    <w:p>
      <w:pPr>
        <w:spacing w:after="0" w:line="113"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We intend to continue to monitor macroeconomic conditions closely and may determine to take certain financial or operational actions in response to such conditions to the extent our business begins to be adversely impacted.</w:t>
      </w:r>
    </w:p>
    <w:p>
      <w:pPr>
        <w:spacing w:after="0" w:line="89"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impact us are those that relate to the timing of certain tax deductions including depreciation expense, interest expense and research and development expenditures. Because these tax law changes impact the timing of these deductions, they will not reduce our overall effective tax rate. However, these tax law changes have resulted in a favorable reduction to our tax expense for the three months ended March 31, 2026, which was offset by an increase to deferred tax expense.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75" w:lineRule="exact"/>
        <w:rPr>
          <w:sz w:val="20"/>
          <w:szCs w:val="20"/>
          <w:color w:val="auto"/>
        </w:rPr>
      </w:pPr>
    </w:p>
    <w:p>
      <w:pPr>
        <w:jc w:val="both"/>
        <w:ind w:left="300"/>
        <w:spacing w:after="0" w:line="346" w:lineRule="auto"/>
        <w:rPr>
          <w:sz w:val="20"/>
          <w:szCs w:val="20"/>
          <w:color w:val="auto"/>
        </w:rPr>
      </w:pPr>
      <w:r>
        <w:rPr>
          <w:rFonts w:ascii="Times New Roman" w:cs="Times New Roman" w:eastAsia="Times New Roman" w:hAnsi="Times New Roman"/>
          <w:sz w:val="16"/>
          <w:szCs w:val="16"/>
          <w:i w:val="1"/>
          <w:iCs w:val="1"/>
          <w:color w:val="auto"/>
        </w:rPr>
        <w:t xml:space="preserve">Net gaming. </w:t>
      </w:r>
      <w:r>
        <w:rPr>
          <w:rFonts w:ascii="Times New Roman" w:cs="Times New Roman" w:eastAsia="Times New Roman" w:hAnsi="Times New Roman"/>
          <w:sz w:val="16"/>
          <w:szCs w:val="16"/>
          <w:color w:val="auto"/>
        </w:rPr>
        <w:t>Net gaming revenue represents net cash received from gaming activities, which is the difference between gaming wins and losses. Net gaming revenue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includes the amounts earned by our location partners and is recognized at the time of gaming play.</w:t>
      </w:r>
    </w:p>
    <w:p>
      <w:pPr>
        <w:spacing w:after="0" w:line="72" w:lineRule="exact"/>
        <w:rPr>
          <w:sz w:val="20"/>
          <w:szCs w:val="20"/>
          <w:color w:val="auto"/>
        </w:rPr>
      </w:pPr>
    </w:p>
    <w:p>
      <w:pPr>
        <w:jc w:val="both"/>
        <w:ind w:left="300"/>
        <w:spacing w:after="0" w:line="346" w:lineRule="auto"/>
        <w:rPr>
          <w:sz w:val="20"/>
          <w:szCs w:val="20"/>
          <w:color w:val="auto"/>
        </w:rPr>
      </w:pPr>
      <w:r>
        <w:rPr>
          <w:rFonts w:ascii="Times New Roman" w:cs="Times New Roman" w:eastAsia="Times New Roman" w:hAnsi="Times New Roman"/>
          <w:sz w:val="16"/>
          <w:szCs w:val="16"/>
          <w:i w:val="1"/>
          <w:iCs w:val="1"/>
          <w:color w:val="auto"/>
        </w:rPr>
        <w:t xml:space="preserve">Amusement. </w:t>
      </w:r>
      <w:r>
        <w:rPr>
          <w:rFonts w:ascii="Times New Roman" w:cs="Times New Roman" w:eastAsia="Times New Roman" w:hAnsi="Times New Roman"/>
          <w:sz w:val="16"/>
          <w:szCs w:val="16"/>
          <w:color w:val="auto"/>
        </w:rPr>
        <w:t>Amusement revenue represents amounts collected from amusement devices operated at various location partners and is recognized at the point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amusement device is used.</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 xml:space="preserve">Manufacturing. </w:t>
      </w:r>
      <w:r>
        <w:rPr>
          <w:rFonts w:ascii="Times New Roman" w:cs="Times New Roman" w:eastAsia="Times New Roman" w:hAnsi="Times New Roman"/>
          <w:sz w:val="16"/>
          <w:szCs w:val="16"/>
          <w:color w:val="auto"/>
        </w:rPr>
        <w:t>Manufacturing revenue represents sales of gaming terminals and software as well as other ancillary equipment.</w:t>
      </w:r>
    </w:p>
    <w:p>
      <w:pPr>
        <w:spacing w:after="0" w:line="185" w:lineRule="exact"/>
        <w:rPr>
          <w:sz w:val="20"/>
          <w:szCs w:val="20"/>
          <w:color w:val="auto"/>
        </w:rPr>
      </w:pPr>
    </w:p>
    <w:p>
      <w:pPr>
        <w:jc w:val="both"/>
        <w:ind w:left="300"/>
        <w:spacing w:after="0" w:line="346" w:lineRule="auto"/>
        <w:rPr>
          <w:sz w:val="20"/>
          <w:szCs w:val="20"/>
          <w:color w:val="auto"/>
        </w:rPr>
      </w:pPr>
      <w:r>
        <w:rPr>
          <w:rFonts w:ascii="Times New Roman" w:cs="Times New Roman" w:eastAsia="Times New Roman" w:hAnsi="Times New Roman"/>
          <w:sz w:val="16"/>
          <w:szCs w:val="16"/>
          <w:i w:val="1"/>
          <w:iCs w:val="1"/>
          <w:color w:val="auto"/>
        </w:rPr>
        <w:t xml:space="preserve">ATM fees and other. </w:t>
      </w:r>
      <w:r>
        <w:rPr>
          <w:rFonts w:ascii="Times New Roman" w:cs="Times New Roman" w:eastAsia="Times New Roman" w:hAnsi="Times New Roman"/>
          <w:sz w:val="16"/>
          <w:szCs w:val="16"/>
          <w:color w:val="auto"/>
        </w:rPr>
        <w:t>ATM fees and other consist of fees charged for the withdrawal of funds from our redemption devices and stand-alone ATMs and is recognized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time of the ATM transaction. Revenues from our racing operations are also included.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75" w:lineRule="exact"/>
        <w:rPr>
          <w:sz w:val="20"/>
          <w:szCs w:val="20"/>
          <w:color w:val="auto"/>
        </w:rPr>
      </w:pPr>
    </w:p>
    <w:p>
      <w:pPr>
        <w:jc w:val="both"/>
        <w:ind w:left="300"/>
        <w:spacing w:after="0" w:line="325"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Cost of revenue consists of i) taxes on net gaming revenue that is payable to the appropriate jurisdiction, ii) licenses, permits and other fees required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operation of our business, iii) location revenue share, which is governed by local governing bodies and location contracts, iv) ATM and amusement commissions payable to locations, v) ATM and amusement fees and vi) expenses from our casino and racing operations.</w:t>
      </w:r>
    </w:p>
    <w:p>
      <w:pPr>
        <w:spacing w:after="0" w:line="89" w:lineRule="exact"/>
        <w:rPr>
          <w:sz w:val="20"/>
          <w:szCs w:val="20"/>
          <w:color w:val="auto"/>
        </w:rPr>
      </w:pPr>
    </w:p>
    <w:p>
      <w:pPr>
        <w:jc w:val="both"/>
        <w:ind w:left="300"/>
        <w:spacing w:after="0" w:line="346" w:lineRule="auto"/>
        <w:rPr>
          <w:sz w:val="20"/>
          <w:szCs w:val="20"/>
          <w:color w:val="auto"/>
        </w:rPr>
      </w:pPr>
      <w:r>
        <w:rPr>
          <w:rFonts w:ascii="Times New Roman" w:cs="Times New Roman" w:eastAsia="Times New Roman" w:hAnsi="Times New Roman"/>
          <w:sz w:val="16"/>
          <w:szCs w:val="16"/>
          <w:i w:val="1"/>
          <w:iCs w:val="1"/>
          <w:color w:val="auto"/>
        </w:rPr>
        <w:t xml:space="preserve">Cost of manufacturing goods sold. </w:t>
      </w:r>
      <w:r>
        <w:rPr>
          <w:rFonts w:ascii="Times New Roman" w:cs="Times New Roman" w:eastAsia="Times New Roman" w:hAnsi="Times New Roman"/>
          <w:sz w:val="16"/>
          <w:szCs w:val="16"/>
          <w:color w:val="auto"/>
        </w:rPr>
        <w:t>Cost of manufacturing goods sold consists of costs associated with the sale of gaming terminals and software as well as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ancillary equipment.</w:t>
      </w:r>
    </w:p>
    <w:p>
      <w:pPr>
        <w:spacing w:after="0" w:line="72" w:lineRule="exact"/>
        <w:rPr>
          <w:sz w:val="20"/>
          <w:szCs w:val="20"/>
          <w:color w:val="auto"/>
        </w:rPr>
      </w:pPr>
    </w:p>
    <w:p>
      <w:pPr>
        <w:jc w:val="both"/>
        <w:ind w:left="300"/>
        <w:spacing w:after="0" w:line="319"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General and administrative expenses consist of operating expense and general and administrative expense. Operating expense includes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compensation-related costs for service technicians, route technicians, route security, preventative maintenance personnel and marketing. Operating expense also includes vehicle fuel and maintenance, and non-capitalizable parts expenses. Operating expenses are generally proportionate to the number of locations and gaming terminals. General and administrative expense includes compensation-related costs for account managers and other corporate personnel. In addition, general and administrative expense also includes information technology, insurance, rent and professional fees.</w:t>
      </w:r>
    </w:p>
    <w:p>
      <w:pPr>
        <w:spacing w:after="0" w:line="81" w:lineRule="exact"/>
        <w:rPr>
          <w:sz w:val="20"/>
          <w:szCs w:val="20"/>
          <w:color w:val="auto"/>
        </w:rPr>
      </w:pPr>
    </w:p>
    <w:p>
      <w:pPr>
        <w:jc w:val="both"/>
        <w:ind w:left="300"/>
        <w:spacing w:after="0" w:line="362"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of property and equipment. </w:t>
      </w:r>
      <w:r>
        <w:rPr>
          <w:rFonts w:ascii="Times New Roman" w:cs="Times New Roman" w:eastAsia="Times New Roman" w:hAnsi="Times New Roman"/>
          <w:sz w:val="16"/>
          <w:szCs w:val="16"/>
          <w:color w:val="auto"/>
        </w:rPr>
        <w:t>Depreciation is computed using the straight-line method over the estimated useful lives of the individual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Leasehold improvements are amortized over the shorter of the useful life or the lease.</w:t>
      </w:r>
    </w:p>
    <w:p>
      <w:pPr>
        <w:spacing w:after="0" w:line="48" w:lineRule="exact"/>
        <w:rPr>
          <w:sz w:val="20"/>
          <w:szCs w:val="20"/>
          <w:color w:val="auto"/>
        </w:rPr>
      </w:pPr>
    </w:p>
    <w:p>
      <w:pPr>
        <w:jc w:val="both"/>
        <w:ind w:left="300"/>
        <w:spacing w:after="0" w:line="319" w:lineRule="auto"/>
        <w:rPr>
          <w:sz w:val="20"/>
          <w:szCs w:val="20"/>
          <w:color w:val="auto"/>
        </w:rPr>
      </w:pPr>
      <w:r>
        <w:rPr>
          <w:rFonts w:ascii="Times New Roman" w:cs="Times New Roman" w:eastAsia="Times New Roman" w:hAnsi="Times New Roman"/>
          <w:sz w:val="16"/>
          <w:szCs w:val="16"/>
          <w:i w:val="1"/>
          <w:iCs w:val="1"/>
          <w:color w:val="auto"/>
        </w:rPr>
        <w:t xml:space="preserve">Amortization of intangible assets and route and customer acquisition costs. </w:t>
      </w:r>
      <w:r>
        <w:rPr>
          <w:rFonts w:ascii="Times New Roman" w:cs="Times New Roman" w:eastAsia="Times New Roman" w:hAnsi="Times New Roman"/>
          <w:sz w:val="16"/>
          <w:szCs w:val="16"/>
          <w:color w:val="auto"/>
        </w:rPr>
        <w:t>Route and customer acquisition costs consist of fees paid at the inception of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our long-term debt. Route and customer acquisition costs are amortized on a straight-line basis over 18 years, which is the expected estimated life of the contract, including expected renewals.</w:t>
      </w:r>
    </w:p>
    <w:p>
      <w:pPr>
        <w:spacing w:after="0" w:line="95" w:lineRule="exact"/>
        <w:rPr>
          <w:sz w:val="20"/>
          <w:szCs w:val="20"/>
          <w:color w:val="auto"/>
        </w:rPr>
      </w:pPr>
    </w:p>
    <w:p>
      <w:pPr>
        <w:jc w:val="both"/>
        <w:ind w:left="300"/>
        <w:spacing w:after="0" w:line="343" w:lineRule="auto"/>
        <w:rPr>
          <w:sz w:val="20"/>
          <w:szCs w:val="20"/>
          <w:color w:val="auto"/>
        </w:rPr>
      </w:pPr>
      <w:r>
        <w:rPr>
          <w:rFonts w:ascii="Times New Roman" w:cs="Times New Roman" w:eastAsia="Times New Roman" w:hAnsi="Times New Roman"/>
          <w:sz w:val="16"/>
          <w:szCs w:val="16"/>
          <w:color w:val="auto"/>
        </w:rPr>
        <w:t>Location contracts acquired in a business combination are recorded at fair value and then amortized as an intangible asset on a straight-line basis over the expected useful life of 15 years.</w:t>
      </w:r>
    </w:p>
    <w:p>
      <w:pPr>
        <w:spacing w:after="0" w:line="77" w:lineRule="exact"/>
        <w:rPr>
          <w:sz w:val="20"/>
          <w:szCs w:val="20"/>
          <w:color w:val="auto"/>
        </w:rPr>
      </w:pPr>
    </w:p>
    <w:p>
      <w:pPr>
        <w:jc w:val="both"/>
        <w:ind w:left="300"/>
        <w:spacing w:after="0" w:line="343" w:lineRule="auto"/>
        <w:rPr>
          <w:sz w:val="20"/>
          <w:szCs w:val="20"/>
          <w:color w:val="auto"/>
        </w:rPr>
      </w:pPr>
      <w:r>
        <w:rPr>
          <w:rFonts w:ascii="Times New Roman" w:cs="Times New Roman" w:eastAsia="Times New Roman" w:hAnsi="Times New Roman"/>
          <w:sz w:val="16"/>
          <w:szCs w:val="16"/>
          <w:color w:val="auto"/>
        </w:rPr>
        <w:t>Other intangible assets acquired in a business acquisition are recorded at fair value and then amortized as an intangible asset on a straight-line basis over their estimated 7 to 20-year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177" w:lineRule="exact"/>
        <w:rPr>
          <w:sz w:val="20"/>
          <w:szCs w:val="20"/>
          <w:color w:val="auto"/>
        </w:rPr>
      </w:pPr>
    </w:p>
    <w:p>
      <w:pPr>
        <w:jc w:val="both"/>
        <w:ind w:left="300"/>
        <w:spacing w:after="0" w:line="317" w:lineRule="auto"/>
        <w:rPr>
          <w:sz w:val="20"/>
          <w:szCs w:val="20"/>
          <w:color w:val="auto"/>
        </w:rPr>
      </w:pPr>
      <w:r>
        <w:rPr>
          <w:rFonts w:ascii="Times New Roman" w:cs="Times New Roman" w:eastAsia="Times New Roman" w:hAnsi="Times New Roman"/>
          <w:sz w:val="16"/>
          <w:szCs w:val="16"/>
          <w:color w:val="auto"/>
        </w:rPr>
        <w:t>Interest expense, net consists of interest on our credit facility, amortization of financing fees, accretion of interest on route and customer acquisition costs payable, and interest (income) expense on the interest rate caplets. Interest on the current credit facility is payable monthly on unpaid balances at the variable per annum Secured Overnight Financing Rate (“SOFR”) rate plus an applicable margin, as defined under the terms of the credit facility, ranging from 1.75% to 2.50% depending on the first lien net leverage ratio.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177" w:lineRule="exact"/>
        <w:rPr>
          <w:sz w:val="20"/>
          <w:szCs w:val="20"/>
          <w:color w:val="auto"/>
        </w:rPr>
      </w:pPr>
    </w:p>
    <w:p>
      <w:pPr>
        <w:jc w:val="both"/>
        <w:ind w:left="300"/>
        <w:spacing w:after="0" w:line="343" w:lineRule="auto"/>
        <w:rPr>
          <w:sz w:val="20"/>
          <w:szCs w:val="20"/>
          <w:color w:val="auto"/>
        </w:rPr>
      </w:pPr>
      <w:r>
        <w:rPr>
          <w:rFonts w:ascii="Times New Roman" w:cs="Times New Roman" w:eastAsia="Times New Roman" w:hAnsi="Times New Roman"/>
          <w:sz w:val="16"/>
          <w:szCs w:val="16"/>
          <w:color w:val="auto"/>
        </w:rPr>
        <w:t>Income tax expense consists mainly of taxes payable to federal, state and local authorities. Deferred income taxes are recognized for the tax consequences of temporary differences between the financial statement carrying amounts and the tax basis of the assets and liabilities.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on a consolidated basis for the three months ended March 31, 2026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8"/>
        </w:trPr>
        <w:tc>
          <w:tcPr>
            <w:tcW w:w="140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w:t>
            </w:r>
          </w:p>
        </w:tc>
        <w:tc>
          <w:tcPr>
            <w:tcW w:w="180" w:type="dxa"/>
            <w:vAlign w:val="bottom"/>
          </w:tcPr>
          <w:p>
            <w:pPr>
              <w:spacing w:after="0"/>
              <w:rPr>
                <w:sz w:val="18"/>
                <w:szCs w:val="18"/>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Increase / (Decrease)</w:t>
            </w:r>
          </w:p>
        </w:tc>
      </w:tr>
      <w:tr>
        <w:trPr>
          <w:trHeight w:val="24"/>
        </w:trPr>
        <w:tc>
          <w:tcPr>
            <w:tcW w:w="14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14"/>
        </w:trPr>
        <w:tc>
          <w:tcPr>
            <w:tcW w:w="1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4"/>
        </w:trPr>
        <w:tc>
          <w:tcPr>
            <w:tcW w:w="14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06"/>
        </w:trPr>
        <w:tc>
          <w:tcPr>
            <w:tcW w:w="1400" w:type="dxa"/>
            <w:vAlign w:val="bottom"/>
          </w:tcPr>
          <w:p>
            <w:pPr>
              <w:spacing w:after="0"/>
              <w:rPr>
                <w:sz w:val="17"/>
                <w:szCs w:val="17"/>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46"/>
        </w:trPr>
        <w:tc>
          <w:tcPr>
            <w:tcW w:w="1400" w:type="dxa"/>
            <w:vAlign w:val="bottom"/>
          </w:tcPr>
          <w:p>
            <w:pPr>
              <w:spacing w:after="0"/>
              <w:rPr>
                <w:sz w:val="21"/>
                <w:szCs w:val="21"/>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gaming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331,425</w:t>
            </w:r>
          </w:p>
        </w:tc>
        <w:tc>
          <w:tcPr>
            <w:tcW w:w="120" w:type="dxa"/>
            <w:vAlign w:val="bottom"/>
          </w:tcPr>
          <w:p>
            <w:pPr>
              <w:spacing w:after="0"/>
              <w:rPr>
                <w:sz w:val="21"/>
                <w:szCs w:val="21"/>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380" w:type="dxa"/>
            <w:vAlign w:val="bottom"/>
          </w:tcPr>
          <w:p>
            <w:pPr>
              <w:spacing w:after="0"/>
              <w:rPr>
                <w:sz w:val="21"/>
                <w:szCs w:val="21"/>
                <w:color w:val="auto"/>
              </w:rPr>
            </w:pPr>
          </w:p>
        </w:tc>
      </w:tr>
      <w:tr>
        <w:trPr>
          <w:trHeight w:val="246"/>
        </w:trPr>
        <w:tc>
          <w:tcPr>
            <w:tcW w:w="1400" w:type="dxa"/>
            <w:vAlign w:val="bottom"/>
          </w:tcPr>
          <w:p>
            <w:pPr>
              <w:spacing w:after="0"/>
              <w:rPr>
                <w:sz w:val="21"/>
                <w:szCs w:val="21"/>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Amusement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5,825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80" w:type="dxa"/>
            <w:vAlign w:val="bottom"/>
          </w:tcPr>
          <w:p>
            <w:pPr>
              <w:spacing w:after="0"/>
              <w:rPr>
                <w:sz w:val="21"/>
                <w:szCs w:val="21"/>
                <w:color w:val="auto"/>
              </w:rPr>
            </w:pPr>
          </w:p>
        </w:tc>
      </w:tr>
      <w:tr>
        <w:trPr>
          <w:trHeight w:val="246"/>
        </w:trPr>
        <w:tc>
          <w:tcPr>
            <w:tcW w:w="1400" w:type="dxa"/>
            <w:vAlign w:val="bottom"/>
          </w:tcPr>
          <w:p>
            <w:pPr>
              <w:spacing w:after="0"/>
              <w:rPr>
                <w:sz w:val="21"/>
                <w:szCs w:val="21"/>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380" w:type="dxa"/>
            <w:vAlign w:val="bottom"/>
          </w:tcPr>
          <w:p>
            <w:pPr>
              <w:spacing w:after="0"/>
              <w:rPr>
                <w:sz w:val="21"/>
                <w:szCs w:val="21"/>
                <w:color w:val="auto"/>
              </w:rPr>
            </w:pPr>
          </w:p>
        </w:tc>
      </w:tr>
      <w:tr>
        <w:trPr>
          <w:trHeight w:val="246"/>
        </w:trPr>
        <w:tc>
          <w:tcPr>
            <w:tcW w:w="1400" w:type="dxa"/>
            <w:vAlign w:val="bottom"/>
          </w:tcPr>
          <w:p>
            <w:pPr>
              <w:spacing w:after="0"/>
              <w:rPr>
                <w:sz w:val="21"/>
                <w:szCs w:val="21"/>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ATM fees and other</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13,068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380" w:type="dxa"/>
            <w:vAlign w:val="bottom"/>
          </w:tcPr>
          <w:p>
            <w:pPr>
              <w:spacing w:after="0"/>
              <w:rPr>
                <w:sz w:val="21"/>
                <w:szCs w:val="21"/>
                <w:color w:val="auto"/>
              </w:rPr>
            </w:pPr>
          </w:p>
        </w:tc>
      </w:tr>
      <w:tr>
        <w:trPr>
          <w:trHeight w:val="238"/>
        </w:trPr>
        <w:tc>
          <w:tcPr>
            <w:tcW w:w="1400" w:type="dxa"/>
            <w:vAlign w:val="bottom"/>
          </w:tcPr>
          <w:p>
            <w:pPr>
              <w:spacing w:after="0"/>
              <w:rPr>
                <w:sz w:val="20"/>
                <w:szCs w:val="20"/>
                <w:color w:val="auto"/>
              </w:rPr>
            </w:pPr>
          </w:p>
        </w:tc>
        <w:tc>
          <w:tcPr>
            <w:tcW w:w="38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351,558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323,912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380" w:type="dxa"/>
            <w:vAlign w:val="bottom"/>
          </w:tcPr>
          <w:p>
            <w:pPr>
              <w:spacing w:after="0"/>
              <w:rPr>
                <w:sz w:val="20"/>
                <w:szCs w:val="20"/>
                <w:color w:val="auto"/>
              </w:rPr>
            </w:pPr>
          </w:p>
        </w:tc>
      </w:tr>
      <w:tr>
        <w:trPr>
          <w:trHeight w:val="206"/>
        </w:trPr>
        <w:tc>
          <w:tcPr>
            <w:tcW w:w="1400" w:type="dxa"/>
            <w:vAlign w:val="bottom"/>
          </w:tcPr>
          <w:p>
            <w:pPr>
              <w:spacing w:after="0"/>
              <w:rPr>
                <w:sz w:val="17"/>
                <w:szCs w:val="17"/>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05"/>
        </w:trPr>
        <w:tc>
          <w:tcPr>
            <w:tcW w:w="1400" w:type="dxa"/>
            <w:vAlign w:val="bottom"/>
          </w:tcPr>
          <w:p>
            <w:pPr>
              <w:spacing w:after="0"/>
              <w:rPr>
                <w:sz w:val="17"/>
                <w:szCs w:val="17"/>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 (exclusive of depreciation and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1400" w:type="dxa"/>
            <w:vAlign w:val="bottom"/>
          </w:tcPr>
          <w:p>
            <w:pPr>
              <w:spacing w:after="0"/>
              <w:rPr>
                <w:sz w:val="20"/>
                <w:szCs w:val="20"/>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expense shown below)</w:t>
            </w:r>
          </w:p>
        </w:tc>
        <w:tc>
          <w:tcPr>
            <w:tcW w:w="18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241,616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380" w:type="dxa"/>
            <w:vAlign w:val="bottom"/>
          </w:tcPr>
          <w:p>
            <w:pPr>
              <w:spacing w:after="0"/>
              <w:rPr>
                <w:sz w:val="20"/>
                <w:szCs w:val="20"/>
                <w:color w:val="auto"/>
              </w:rPr>
            </w:pPr>
          </w:p>
        </w:tc>
      </w:tr>
      <w:tr>
        <w:trPr>
          <w:trHeight w:val="205"/>
        </w:trPr>
        <w:tc>
          <w:tcPr>
            <w:tcW w:w="1400" w:type="dxa"/>
            <w:vAlign w:val="bottom"/>
          </w:tcPr>
          <w:p>
            <w:pPr>
              <w:spacing w:after="0"/>
              <w:rPr>
                <w:sz w:val="17"/>
                <w:szCs w:val="17"/>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manufacturing goods sold (exclusive of</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1400" w:type="dxa"/>
            <w:vAlign w:val="bottom"/>
          </w:tcPr>
          <w:p>
            <w:pPr>
              <w:spacing w:after="0"/>
              <w:rPr>
                <w:sz w:val="20"/>
                <w:szCs w:val="20"/>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 shown below)</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380" w:type="dxa"/>
            <w:vAlign w:val="bottom"/>
          </w:tcPr>
          <w:p>
            <w:pPr>
              <w:spacing w:after="0"/>
              <w:rPr>
                <w:sz w:val="20"/>
                <w:szCs w:val="20"/>
                <w:color w:val="auto"/>
              </w:rPr>
            </w:pPr>
          </w:p>
        </w:tc>
      </w:tr>
      <w:tr>
        <w:trPr>
          <w:trHeight w:val="246"/>
        </w:trPr>
        <w:tc>
          <w:tcPr>
            <w:tcW w:w="1400" w:type="dxa"/>
            <w:vAlign w:val="bottom"/>
          </w:tcPr>
          <w:p>
            <w:pPr>
              <w:spacing w:after="0"/>
              <w:rPr>
                <w:sz w:val="21"/>
                <w:szCs w:val="21"/>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380" w:type="dxa"/>
            <w:vAlign w:val="bottom"/>
          </w:tcPr>
          <w:p>
            <w:pPr>
              <w:spacing w:after="0"/>
              <w:rPr>
                <w:sz w:val="21"/>
                <w:szCs w:val="21"/>
                <w:color w:val="auto"/>
              </w:rPr>
            </w:pPr>
          </w:p>
        </w:tc>
      </w:tr>
      <w:tr>
        <w:trPr>
          <w:trHeight w:val="205"/>
        </w:trPr>
        <w:tc>
          <w:tcPr>
            <w:tcW w:w="1400" w:type="dxa"/>
            <w:vAlign w:val="bottom"/>
          </w:tcPr>
          <w:p>
            <w:pPr>
              <w:spacing w:after="0"/>
              <w:rPr>
                <w:sz w:val="17"/>
                <w:szCs w:val="17"/>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of property and</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1400" w:type="dxa"/>
            <w:vAlign w:val="bottom"/>
          </w:tcPr>
          <w:p>
            <w:pPr>
              <w:spacing w:after="0"/>
              <w:rPr>
                <w:sz w:val="20"/>
                <w:szCs w:val="20"/>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equipment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380" w:type="dxa"/>
            <w:vAlign w:val="bottom"/>
          </w:tcPr>
          <w:p>
            <w:pPr>
              <w:spacing w:after="0"/>
              <w:rPr>
                <w:sz w:val="20"/>
                <w:szCs w:val="20"/>
                <w:color w:val="auto"/>
              </w:rPr>
            </w:pPr>
          </w:p>
        </w:tc>
      </w:tr>
      <w:tr>
        <w:trPr>
          <w:trHeight w:val="205"/>
        </w:trPr>
        <w:tc>
          <w:tcPr>
            <w:tcW w:w="1400" w:type="dxa"/>
            <w:vAlign w:val="bottom"/>
          </w:tcPr>
          <w:p>
            <w:pPr>
              <w:spacing w:after="0"/>
              <w:rPr>
                <w:sz w:val="17"/>
                <w:szCs w:val="17"/>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 and route and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8"/>
        </w:trPr>
        <w:tc>
          <w:tcPr>
            <w:tcW w:w="1400" w:type="dxa"/>
            <w:vAlign w:val="bottom"/>
          </w:tcPr>
          <w:p>
            <w:pPr>
              <w:spacing w:after="0"/>
              <w:rPr>
                <w:sz w:val="20"/>
                <w:szCs w:val="20"/>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acquisition costs</w:t>
            </w:r>
          </w:p>
        </w:tc>
        <w:tc>
          <w:tcPr>
            <w:tcW w:w="18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6,790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380" w:type="dxa"/>
            <w:vAlign w:val="bottom"/>
          </w:tcPr>
          <w:p>
            <w:pPr>
              <w:spacing w:after="0"/>
              <w:rPr>
                <w:sz w:val="20"/>
                <w:szCs w:val="20"/>
                <w:color w:val="auto"/>
              </w:rPr>
            </w:pPr>
          </w:p>
        </w:tc>
      </w:tr>
      <w:tr>
        <w:trPr>
          <w:trHeight w:val="246"/>
        </w:trPr>
        <w:tc>
          <w:tcPr>
            <w:tcW w:w="1400" w:type="dxa"/>
            <w:vAlign w:val="bottom"/>
          </w:tcPr>
          <w:p>
            <w:pPr>
              <w:spacing w:after="0"/>
              <w:rPr>
                <w:sz w:val="21"/>
                <w:szCs w:val="21"/>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expenses, net</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1380" w:type="dxa"/>
            <w:vAlign w:val="bottom"/>
          </w:tcPr>
          <w:p>
            <w:pPr>
              <w:spacing w:after="0"/>
              <w:rPr>
                <w:sz w:val="21"/>
                <w:szCs w:val="21"/>
                <w:color w:val="auto"/>
              </w:rPr>
            </w:pPr>
          </w:p>
        </w:tc>
      </w:tr>
      <w:tr>
        <w:trPr>
          <w:trHeight w:val="238"/>
        </w:trPr>
        <w:tc>
          <w:tcPr>
            <w:tcW w:w="1400" w:type="dxa"/>
            <w:vAlign w:val="bottom"/>
          </w:tcPr>
          <w:p>
            <w:pPr>
              <w:spacing w:after="0"/>
              <w:rPr>
                <w:sz w:val="20"/>
                <w:szCs w:val="20"/>
                <w:color w:val="auto"/>
              </w:rPr>
            </w:pPr>
          </w:p>
        </w:tc>
        <w:tc>
          <w:tcPr>
            <w:tcW w:w="38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324,478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297,960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380" w:type="dxa"/>
            <w:vAlign w:val="bottom"/>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3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27,080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380" w:type="dxa"/>
            <w:vAlign w:val="bottom"/>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8,501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80" w:type="dxa"/>
            <w:vAlign w:val="bottom"/>
          </w:tcPr>
          <w:p>
            <w:pPr>
              <w:spacing w:after="0"/>
              <w:rPr>
                <w:sz w:val="20"/>
                <w:szCs w:val="20"/>
                <w:color w:val="auto"/>
              </w:rPr>
            </w:pPr>
          </w:p>
        </w:tc>
      </w:tr>
      <w:tr>
        <w:trPr>
          <w:trHeight w:val="246"/>
        </w:trPr>
        <w:tc>
          <w:tcPr>
            <w:tcW w:w="1400" w:type="dxa"/>
            <w:vAlign w:val="bottom"/>
          </w:tcPr>
          <w:p>
            <w:pPr>
              <w:spacing w:after="0"/>
              <w:rPr>
                <w:sz w:val="21"/>
                <w:szCs w:val="21"/>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unconsolidated affiliates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380" w:type="dxa"/>
            <w:vAlign w:val="bottom"/>
          </w:tcPr>
          <w:p>
            <w:pPr>
              <w:spacing w:after="0"/>
              <w:rPr>
                <w:sz w:val="21"/>
                <w:szCs w:val="21"/>
                <w:color w:val="auto"/>
              </w:rPr>
            </w:pPr>
          </w:p>
        </w:tc>
      </w:tr>
      <w:tr>
        <w:trPr>
          <w:trHeight w:val="246"/>
        </w:trPr>
        <w:tc>
          <w:tcPr>
            <w:tcW w:w="1400" w:type="dxa"/>
            <w:vAlign w:val="bottom"/>
          </w:tcPr>
          <w:p>
            <w:pPr>
              <w:spacing w:after="0"/>
              <w:rPr>
                <w:sz w:val="21"/>
                <w:szCs w:val="21"/>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on change in fair value of contingent earnout shares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380" w:type="dxa"/>
            <w:vAlign w:val="bottom"/>
          </w:tcPr>
          <w:p>
            <w:pPr>
              <w:spacing w:after="0"/>
              <w:rPr>
                <w:sz w:val="21"/>
                <w:szCs w:val="21"/>
                <w:color w:val="auto"/>
              </w:rPr>
            </w:pPr>
          </w:p>
        </w:tc>
      </w:tr>
      <w:tr>
        <w:trPr>
          <w:trHeight w:val="238"/>
        </w:trPr>
        <w:tc>
          <w:tcPr>
            <w:tcW w:w="1400" w:type="dxa"/>
            <w:vAlign w:val="bottom"/>
          </w:tcPr>
          <w:p>
            <w:pPr>
              <w:spacing w:after="0"/>
              <w:rPr>
                <w:sz w:val="20"/>
                <w:szCs w:val="20"/>
                <w:color w:val="auto"/>
              </w:rPr>
            </w:pPr>
          </w:p>
        </w:tc>
        <w:tc>
          <w:tcPr>
            <w:tcW w:w="3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Income before income tax expense</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380" w:type="dxa"/>
            <w:vAlign w:val="bottom"/>
          </w:tcPr>
          <w:p>
            <w:pPr>
              <w:spacing w:after="0"/>
              <w:rPr>
                <w:sz w:val="20"/>
                <w:szCs w:val="20"/>
                <w:color w:val="auto"/>
              </w:rPr>
            </w:pPr>
          </w:p>
        </w:tc>
      </w:tr>
      <w:tr>
        <w:trPr>
          <w:trHeight w:val="246"/>
        </w:trPr>
        <w:tc>
          <w:tcPr>
            <w:tcW w:w="1400" w:type="dxa"/>
            <w:vAlign w:val="bottom"/>
          </w:tcPr>
          <w:p>
            <w:pPr>
              <w:spacing w:after="0"/>
              <w:rPr>
                <w:sz w:val="21"/>
                <w:szCs w:val="21"/>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5,376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380" w:type="dxa"/>
            <w:vAlign w:val="bottom"/>
          </w:tcPr>
          <w:p>
            <w:pPr>
              <w:spacing w:after="0"/>
              <w:rPr>
                <w:sz w:val="21"/>
                <w:szCs w:val="21"/>
                <w:color w:val="auto"/>
              </w:rPr>
            </w:pPr>
          </w:p>
        </w:tc>
      </w:tr>
      <w:tr>
        <w:trPr>
          <w:trHeight w:val="263"/>
        </w:trPr>
        <w:tc>
          <w:tcPr>
            <w:tcW w:w="140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380" w:type="dxa"/>
            <w:vAlign w:val="bottom"/>
          </w:tcPr>
          <w:p>
            <w:pPr>
              <w:spacing w:after="0"/>
              <w:rPr>
                <w:sz w:val="22"/>
                <w:szCs w:val="22"/>
                <w:color w:val="auto"/>
              </w:rPr>
            </w:pPr>
          </w:p>
        </w:tc>
      </w:tr>
      <w:tr>
        <w:trPr>
          <w:trHeight w:val="20"/>
        </w:trPr>
        <w:tc>
          <w:tcPr>
            <w:tcW w:w="14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794"/>
        </w:trPr>
        <w:tc>
          <w:tcPr>
            <w:tcW w:w="14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02"/>
        </w:trPr>
        <w:tc>
          <w:tcPr>
            <w:tcW w:w="140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revenues</w:t>
      </w:r>
    </w:p>
    <w:p>
      <w:pPr>
        <w:spacing w:after="0" w:line="187" w:lineRule="exact"/>
        <w:rPr>
          <w:sz w:val="20"/>
          <w:szCs w:val="20"/>
          <w:color w:val="auto"/>
        </w:rPr>
      </w:pPr>
    </w:p>
    <w:p>
      <w:pPr>
        <w:jc w:val="both"/>
        <w:ind w:firstLine="295"/>
        <w:spacing w:after="0" w:line="317" w:lineRule="auto"/>
        <w:rPr>
          <w:sz w:val="20"/>
          <w:szCs w:val="20"/>
          <w:color w:val="auto"/>
        </w:rPr>
      </w:pPr>
      <w:r>
        <w:rPr>
          <w:rFonts w:ascii="Times New Roman" w:cs="Times New Roman" w:eastAsia="Times New Roman" w:hAnsi="Times New Roman"/>
          <w:sz w:val="16"/>
          <w:szCs w:val="16"/>
          <w:color w:val="auto"/>
        </w:rPr>
        <w:t>Total net revenues for the three months ended March 31, 2026 were $351.6 million, an increase of $27.6 million, or 8.5%, compared to the prior-year period. This increase was primarily driven by higher net gaming revenue of $29.5 million, which reflected an increase in gaming locations, terminals and revenue from our casino operations, partially offset by a decrease in manufacturing revenue of $2.6 million, or 67.9%, due to lower equipment (timing) and software sales. Net revenues by state are presented below:</w:t>
      </w:r>
    </w:p>
    <w:p>
      <w:pPr>
        <w:spacing w:after="0" w:line="94"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100" w:type="dxa"/>
            <w:vAlign w:val="bottom"/>
            <w:gridSpan w:val="3"/>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0" w:type="dxa"/>
            <w:vAlign w:val="bottom"/>
          </w:tcPr>
          <w:p>
            <w:pPr>
              <w:spacing w:after="0"/>
              <w:rPr>
                <w:sz w:val="1"/>
                <w:szCs w:val="1"/>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2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0" w:type="dxa"/>
            <w:vAlign w:val="bottom"/>
          </w:tcPr>
          <w:p>
            <w:pPr>
              <w:spacing w:after="0"/>
              <w:rPr>
                <w:sz w:val="1"/>
                <w:szCs w:val="1"/>
                <w:color w:val="auto"/>
              </w:rPr>
            </w:pPr>
          </w:p>
        </w:tc>
      </w:tr>
      <w:tr>
        <w:trPr>
          <w:trHeight w:val="24"/>
        </w:trPr>
        <w:tc>
          <w:tcPr>
            <w:tcW w:w="3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 by state:</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Illinois</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252,798</w:t>
            </w:r>
          </w:p>
        </w:tc>
        <w:tc>
          <w:tcPr>
            <w:tcW w:w="1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Montana</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2"/>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Nevada</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Louisiana</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22"/>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Nebraska</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57.4 %</w:t>
            </w: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Georgia</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43.0 %</w:t>
            </w:r>
          </w:p>
        </w:tc>
        <w:tc>
          <w:tcPr>
            <w:tcW w:w="0" w:type="dxa"/>
            <w:vAlign w:val="bottom"/>
          </w:tcPr>
          <w:p>
            <w:pPr>
              <w:spacing w:after="0"/>
              <w:rPr>
                <w:sz w:val="1"/>
                <w:szCs w:val="1"/>
                <w:color w:val="auto"/>
              </w:rPr>
            </w:pPr>
          </w:p>
        </w:tc>
      </w:tr>
      <w:tr>
        <w:trPr>
          <w:trHeight w:val="222"/>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4"/>
        </w:trPr>
        <w:tc>
          <w:tcPr>
            <w:tcW w:w="3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net revenues</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323,912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175" w:lineRule="exact"/>
        <w:rPr>
          <w:sz w:val="20"/>
          <w:szCs w:val="20"/>
          <w:color w:val="auto"/>
        </w:rPr>
      </w:pPr>
    </w:p>
    <w:p>
      <w:pPr>
        <w:jc w:val="both"/>
        <w:ind w:firstLine="295"/>
        <w:spacing w:after="0" w:line="360" w:lineRule="auto"/>
        <w:rPr>
          <w:sz w:val="20"/>
          <w:szCs w:val="20"/>
          <w:color w:val="auto"/>
        </w:rPr>
      </w:pPr>
      <w:r>
        <w:rPr>
          <w:rFonts w:ascii="Times New Roman" w:cs="Times New Roman" w:eastAsia="Times New Roman" w:hAnsi="Times New Roman"/>
          <w:sz w:val="16"/>
          <w:szCs w:val="16"/>
          <w:color w:val="auto"/>
        </w:rPr>
        <w:t>Cost of revenue for the three months ended March 31, 2026 was $241.6 million, an increase of $20.1 million, or 9.1%, compared to the prior-year period, driven by higher net gaming revenue and revenue from our casino operations, as described above.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manufacturing goods sold</w:t>
      </w:r>
    </w:p>
    <w:p>
      <w:pPr>
        <w:spacing w:after="0" w:line="187"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Cost of manufacturing goods sold for the three months ended March 31, 2026 was $0.6 million, a decrease of $1.4 million, or 69.4%, due to the previously mentioned decrease in equipment and software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87"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General and administrative expenses for the three months ended March 31, 2026 were $58.0 million, an increase of $5.0 million, or 9.5%, compared to the prior-year period. The increase was primarily attributable to higher compensation-related costs, as we continue to grow our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 and amortization of property and equipment</w:t>
      </w:r>
    </w:p>
    <w:p>
      <w:pPr>
        <w:spacing w:after="0" w:line="187"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Depreciation and amortization of property and equipment for the three months ended March 31, 2026 was $13.9 million, an increase of $1.6 million, or 12.7%, compared to the prior-year period due to an increased number of gaming terminals.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Amortization of intangible assets and route and customer acquisition costs</w:t>
      </w:r>
    </w:p>
    <w:p>
      <w:pPr>
        <w:spacing w:after="0" w:line="187" w:lineRule="exact"/>
        <w:rPr>
          <w:sz w:val="20"/>
          <w:szCs w:val="20"/>
          <w:color w:val="auto"/>
        </w:rPr>
      </w:pPr>
    </w:p>
    <w:p>
      <w:pPr>
        <w:jc w:val="both"/>
        <w:ind w:firstLine="221"/>
        <w:spacing w:after="0" w:line="343" w:lineRule="auto"/>
        <w:rPr>
          <w:sz w:val="20"/>
          <w:szCs w:val="20"/>
          <w:color w:val="auto"/>
        </w:rPr>
      </w:pPr>
      <w:r>
        <w:rPr>
          <w:rFonts w:ascii="Times New Roman" w:cs="Times New Roman" w:eastAsia="Times New Roman" w:hAnsi="Times New Roman"/>
          <w:sz w:val="16"/>
          <w:szCs w:val="16"/>
          <w:color w:val="auto"/>
        </w:rPr>
        <w:t>Amortization of intangible assets and route and customer acquisition costs for the three months ended March 31, 2026 were $6.8 million, an increase of $0.5 million, or 7.9%, compared to the prior-year period due to higher amortization expense on route and customer acquisition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expenses, net</w:t>
      </w:r>
    </w:p>
    <w:p>
      <w:pPr>
        <w:spacing w:after="0" w:line="187"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Other expenses, net for the three months ended March 31, 2026 were $3.5 million, a increase of $0.7 million, or 25.2%, compared to the prior-year period. The increase was primarily attributable to higher fair value adjustments associated with the revaluation of contingent consideration liabilities and losses on sales of assets, partially offset by lower non-recurring expenses, and lower non-recurring lobbying and legal expenses related to new markets.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 net</w:t>
      </w:r>
    </w:p>
    <w:p>
      <w:pPr>
        <w:spacing w:after="0" w:line="187" w:lineRule="exact"/>
        <w:rPr>
          <w:sz w:val="20"/>
          <w:szCs w:val="20"/>
          <w:color w:val="auto"/>
        </w:rPr>
      </w:pPr>
    </w:p>
    <w:p>
      <w:pPr>
        <w:jc w:val="both"/>
        <w:ind w:firstLine="295"/>
        <w:spacing w:after="0" w:line="327" w:lineRule="auto"/>
        <w:rPr>
          <w:sz w:val="20"/>
          <w:szCs w:val="20"/>
          <w:color w:val="auto"/>
        </w:rPr>
      </w:pPr>
      <w:r>
        <w:rPr>
          <w:rFonts w:ascii="Times New Roman" w:cs="Times New Roman" w:eastAsia="Times New Roman" w:hAnsi="Times New Roman"/>
          <w:sz w:val="16"/>
          <w:szCs w:val="16"/>
          <w:color w:val="auto"/>
        </w:rPr>
        <w:t>Interest expense, net for the three months ended March 31, 2026 was $8.5 million, which was a decrease of $0.2 million, or 2.1%, compared to the prior-year period. We experienced lower interest rates, partially offset by a lower benefit realized on our interest rate caplets and an increase in average outstanding debt. For the three months ended March 31, 2026, the weighted average interest rate, excluding the impact of our interest rate caplets, was approximately 5.5% compared to 6.5% in the prior-year period.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change in fair value of contingent earnout shares</w:t>
      </w:r>
    </w:p>
    <w:p>
      <w:pPr>
        <w:spacing w:after="0" w:line="187"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The change in the fair value of contingent earnout shares for the three months ended March 31, 2026 was a gain of $1.5 million, compared to a gain of $2.4 million the prior-year period. The change was primarily due to the change in the market value of our Class A-1 common stock, which is the primary input to the valuation of the contingent earnout shares.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187" w:lineRule="exact"/>
        <w:rPr>
          <w:sz w:val="20"/>
          <w:szCs w:val="20"/>
          <w:color w:val="auto"/>
        </w:rPr>
      </w:pPr>
    </w:p>
    <w:p>
      <w:pPr>
        <w:jc w:val="both"/>
        <w:ind w:firstLine="295"/>
        <w:spacing w:after="0" w:line="317" w:lineRule="auto"/>
        <w:rPr>
          <w:sz w:val="20"/>
          <w:szCs w:val="20"/>
          <w:color w:val="auto"/>
        </w:rPr>
      </w:pPr>
      <w:r>
        <w:rPr>
          <w:rFonts w:ascii="Times New Roman" w:cs="Times New Roman" w:eastAsia="Times New Roman" w:hAnsi="Times New Roman"/>
          <w:sz w:val="16"/>
          <w:szCs w:val="16"/>
          <w:color w:val="auto"/>
        </w:rPr>
        <w:t>Income tax expense for the three months ended March 31, 2026 was $5.4 million, an increase of $0.4 million, or 7.7%, compared to the prior-year period. The effective tax rate for the three months ended March 31, 2026 was 26.8% compared to 25.5% in the prior-year period. Our effective income tax rate can vary from period to period depending on, among other factors, the amount of permanent tax adjustments and discrete items. The change in the fair value of the contingent earnout shares is considered a permanent, non-taxable item for tax purposes and can be the primary driver for the fluctuations in the tax rate year over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164" w:lineRule="exact"/>
        <w:rPr>
          <w:sz w:val="20"/>
          <w:szCs w:val="20"/>
          <w:color w:val="auto"/>
        </w:rPr>
      </w:pPr>
    </w:p>
    <w:p>
      <w:pPr>
        <w:jc w:val="both"/>
        <w:ind w:firstLine="295"/>
        <w:spacing w:after="0" w:line="332" w:lineRule="auto"/>
        <w:rPr>
          <w:sz w:val="20"/>
          <w:szCs w:val="20"/>
          <w:color w:val="auto"/>
        </w:rPr>
      </w:pPr>
      <w:r>
        <w:rPr>
          <w:rFonts w:ascii="Times New Roman" w:cs="Times New Roman" w:eastAsia="Times New Roman" w:hAnsi="Times New Roman"/>
          <w:sz w:val="16"/>
          <w:szCs w:val="16"/>
          <w:color w:val="auto"/>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spacing w:after="0" w:line="73" w:lineRule="exact"/>
        <w:rPr>
          <w:sz w:val="20"/>
          <w:szCs w:val="20"/>
          <w:color w:val="auto"/>
        </w:rPr>
      </w:pPr>
    </w:p>
    <w:p>
      <w:pPr>
        <w:ind w:left="580" w:hanging="287"/>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locations;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Number of gaming terminals; and</w:t>
      </w:r>
    </w:p>
    <w:p>
      <w:pPr>
        <w:spacing w:after="0" w:line="184" w:lineRule="exact"/>
        <w:rPr>
          <w:rFonts w:ascii="Times New Roman" w:cs="Times New Roman" w:eastAsia="Times New Roman" w:hAnsi="Times New Roman"/>
          <w:sz w:val="16"/>
          <w:szCs w:val="16"/>
          <w:i w:val="1"/>
          <w:iCs w:val="1"/>
          <w:color w:val="auto"/>
        </w:rPr>
      </w:pPr>
    </w:p>
    <w:p>
      <w:pPr>
        <w:ind w:left="580" w:hanging="287"/>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Location hold-per-day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also periodically review and revise our key business metrics to reflect changes in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Number of locations</w:t>
      </w:r>
    </w:p>
    <w:p>
      <w:pPr>
        <w:spacing w:after="0" w:line="175" w:lineRule="exact"/>
        <w:rPr>
          <w:sz w:val="20"/>
          <w:szCs w:val="20"/>
          <w:color w:val="auto"/>
        </w:rPr>
      </w:pPr>
    </w:p>
    <w:p>
      <w:pPr>
        <w:jc w:val="both"/>
        <w:ind w:firstLine="295"/>
        <w:spacing w:after="0" w:line="352" w:lineRule="auto"/>
        <w:rPr>
          <w:sz w:val="20"/>
          <w:szCs w:val="20"/>
          <w:color w:val="auto"/>
        </w:rPr>
      </w:pPr>
      <w:r>
        <w:rPr>
          <w:rFonts w:ascii="Times New Roman" w:cs="Times New Roman" w:eastAsia="Times New Roman" w:hAnsi="Times New Roman"/>
          <w:sz w:val="16"/>
          <w:szCs w:val="16"/>
          <w:color w:val="auto"/>
        </w:rPr>
        <w:t>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our primary locations: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90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21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216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Increase / (Decrease)</w:t>
            </w:r>
          </w:p>
        </w:tc>
      </w:tr>
      <w:tr>
        <w:trPr>
          <w:trHeight w:val="24"/>
        </w:trPr>
        <w:tc>
          <w:tcPr>
            <w:tcW w:w="1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1480" w:type="dxa"/>
            <w:vAlign w:val="bottom"/>
          </w:tcPr>
          <w:p>
            <w:pPr>
              <w:spacing w:after="0"/>
              <w:rPr>
                <w:sz w:val="18"/>
                <w:szCs w:val="18"/>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9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4"/>
        </w:trPr>
        <w:tc>
          <w:tcPr>
            <w:tcW w:w="1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2,678</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2"/>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4"/>
        </w:trPr>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22"/>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4"/>
        </w:trPr>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22"/>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27.7 %</w:t>
            </w:r>
          </w:p>
        </w:tc>
      </w:tr>
      <w:tr>
        <w:trPr>
          <w:trHeight w:val="24"/>
        </w:trPr>
        <w:tc>
          <w:tcPr>
            <w:tcW w:w="1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63"/>
        </w:trPr>
        <w:tc>
          <w:tcPr>
            <w:tcW w:w="1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4,540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Number of gaming terminals</w:t>
      </w:r>
    </w:p>
    <w:p>
      <w:pPr>
        <w:spacing w:after="0" w:line="175"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the number of gaming terminals in our primary locations:</w:t>
      </w:r>
    </w:p>
    <w:p>
      <w:pPr>
        <w:spacing w:after="0" w:line="206" w:lineRule="exact"/>
        <w:rPr>
          <w:sz w:val="20"/>
          <w:szCs w:val="20"/>
          <w:color w:val="auto"/>
        </w:rPr>
      </w:pPr>
    </w:p>
    <w:tbl>
      <w:tblPr>
        <w:tblLayout w:type="fixed"/>
        <w:tblInd w:w="2900" w:type="dxa"/>
        <w:tblCellMar>
          <w:top w:w="0" w:type="dxa"/>
          <w:left w:w="0" w:type="dxa"/>
          <w:bottom w:w="0" w:type="dxa"/>
          <w:right w:w="0" w:type="dxa"/>
        </w:tblCellMar>
      </w:tblPr>
      <w:tr>
        <w:trPr>
          <w:trHeight w:val="218"/>
        </w:trPr>
        <w:tc>
          <w:tcPr>
            <w:tcW w:w="1460" w:type="dxa"/>
            <w:vAlign w:val="bottom"/>
          </w:tcPr>
          <w:p>
            <w:pPr>
              <w:spacing w:after="0"/>
              <w:rPr>
                <w:sz w:val="18"/>
                <w:szCs w:val="18"/>
                <w:color w:val="auto"/>
              </w:rPr>
            </w:pP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216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Increase / (Decrease)</w:t>
            </w:r>
          </w:p>
        </w:tc>
      </w:tr>
      <w:tr>
        <w:trPr>
          <w:trHeight w:val="24"/>
        </w:trPr>
        <w:tc>
          <w:tcPr>
            <w:tcW w:w="1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1460" w:type="dxa"/>
            <w:vAlign w:val="bottom"/>
          </w:tcPr>
          <w:p>
            <w:pPr>
              <w:spacing w:after="0"/>
              <w:rPr>
                <w:sz w:val="18"/>
                <w:szCs w:val="18"/>
                <w:color w:val="auto"/>
              </w:rPr>
            </w:pPr>
          </w:p>
        </w:tc>
        <w:tc>
          <w:tcPr>
            <w:tcW w:w="96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4"/>
        </w:trPr>
        <w:tc>
          <w:tcPr>
            <w:tcW w:w="1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15,413</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15,624</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2"/>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6,675</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4"/>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3,348</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27.6 %</w:t>
            </w:r>
          </w:p>
        </w:tc>
      </w:tr>
      <w:tr>
        <w:trPr>
          <w:trHeight w:val="222"/>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4"/>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22"/>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34.6 %</w:t>
            </w:r>
          </w:p>
        </w:tc>
      </w:tr>
      <w:tr>
        <w:trPr>
          <w:trHeight w:val="24"/>
        </w:trPr>
        <w:tc>
          <w:tcPr>
            <w:tcW w:w="1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63"/>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28,353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Location hold-per-day</w:t>
      </w:r>
    </w:p>
    <w:p>
      <w:pPr>
        <w:spacing w:after="0" w:line="175"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Location hold-per-day is calculated by dividing net gaming revenue in the period by the average number of locations, which is then further divided by the number of operational days. We utilize this metric to compare market and location performance on a normalized basis. The percent change in location hold-per-day is the underlying metric we use to determine the change in same-store sales.</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tables set forth information with respect to our location hold-per-day in our primary locations for the three months ended:</w:t>
      </w:r>
    </w:p>
    <w:p>
      <w:pPr>
        <w:spacing w:after="0" w:line="206" w:lineRule="exact"/>
        <w:rPr>
          <w:sz w:val="20"/>
          <w:szCs w:val="20"/>
          <w:color w:val="auto"/>
        </w:rPr>
      </w:pPr>
    </w:p>
    <w:tbl>
      <w:tblPr>
        <w:tblLayout w:type="fixed"/>
        <w:tblInd w:w="2900" w:type="dxa"/>
        <w:tblCellMar>
          <w:top w:w="0" w:type="dxa"/>
          <w:left w:w="0" w:type="dxa"/>
          <w:bottom w:w="0" w:type="dxa"/>
          <w:right w:w="0" w:type="dxa"/>
        </w:tblCellMar>
      </w:tblPr>
      <w:tr>
        <w:trPr>
          <w:trHeight w:val="197"/>
        </w:trPr>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8"/>
        </w:trPr>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left="358"/>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Increase / (Decrease)</w:t>
            </w:r>
          </w:p>
        </w:tc>
      </w:tr>
      <w:tr>
        <w:trPr>
          <w:trHeight w:val="24"/>
        </w:trPr>
        <w:tc>
          <w:tcPr>
            <w:tcW w:w="1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4"/>
        </w:trPr>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22"/>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4"/>
        </w:trPr>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6"/>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22"/>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4"/>
        </w:trPr>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6"/>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56.7 %</w:t>
            </w:r>
          </w:p>
        </w:tc>
      </w:tr>
      <w:tr>
        <w:trPr>
          <w:trHeight w:val="222"/>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w:t>
      </w:r>
    </w:p>
    <w:p>
      <w:pPr>
        <w:spacing w:after="0" w:line="189"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Adjusted EBITDA is a non-GAAP financial measure, but is a key metric management uses to monitor ongoing core operations. Adjusted EBITDA excludes the effects of certain non-cash items or represent certain nonrecurring items that are unrelated to core performance. Management believes this non-GAAP financial measure enhances the understanding of our underlying drivers of profitability and trends in our business and facilitates company-to-company and period-to-period comparisons. Management also believes that this non-GAAP financial measure is used by investors, analysts and other interested parties as a measure of financial performance and to evaluate our ability to fund capital expenditures, service debt obligations and meet working capital requirements.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16"/>
          <w:szCs w:val="16"/>
          <w:color w:val="auto"/>
        </w:rPr>
        <w:t>is defined as net income plus:</w:t>
      </w:r>
    </w:p>
    <w:p>
      <w:pPr>
        <w:spacing w:after="0" w:line="103" w:lineRule="exact"/>
        <w:rPr>
          <w:sz w:val="20"/>
          <w:szCs w:val="20"/>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intangible assets and route and customer acquisition costs</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w:t>
      </w:r>
    </w:p>
    <w:p>
      <w:pPr>
        <w:spacing w:after="0" w:line="11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from unconsolidated affiliates</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change in fair value of contingent earnout shares</w:t>
      </w:r>
    </w:p>
    <w:p>
      <w:pPr>
        <w:spacing w:after="0" w:line="98" w:lineRule="exact"/>
        <w:rPr>
          <w:rFonts w:ascii="Times New Roman" w:cs="Times New Roman" w:eastAsia="Times New Roman" w:hAnsi="Times New Roman"/>
          <w:sz w:val="16"/>
          <w:szCs w:val="16"/>
          <w:color w:val="auto"/>
        </w:rPr>
      </w:pPr>
    </w:p>
    <w:p>
      <w:pPr>
        <w:jc w:val="both"/>
        <w:ind w:left="300" w:hanging="7"/>
        <w:spacing w:after="0" w:line="324" w:lineRule="auto"/>
        <w:tabs>
          <w:tab w:leader="none" w:pos="5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net which consists of i) non-cash expenses including the remeasurement of contingent consideration liabilities, ii) non-recurring lobbying and legal expenses related to distributed gaming expansion in current or prospective markets, iii) other non-recurring expenses, and beginning in 2026 iv) gain or loss on sale of fixed assets, which were previously presented in general and administrative expenses. Prior periods have not been recast to reflect this change.</w:t>
      </w:r>
    </w:p>
    <w:p>
      <w:pPr>
        <w:spacing w:after="0" w:line="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of property and equipment</w:t>
      </w:r>
    </w:p>
    <w:p>
      <w:pPr>
        <w:spacing w:after="0" w:line="11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markets which reflects the results, on an Adjusted EBITDA basis, for non-core jurisdictions where our operations are developing</w:t>
      </w:r>
    </w:p>
    <w:p>
      <w:pPr>
        <w:spacing w:after="0" w:line="98" w:lineRule="exact"/>
        <w:rPr>
          <w:rFonts w:ascii="Times New Roman" w:cs="Times New Roman" w:eastAsia="Times New Roman" w:hAnsi="Times New Roman"/>
          <w:sz w:val="16"/>
          <w:szCs w:val="16"/>
          <w:color w:val="auto"/>
        </w:rPr>
      </w:pPr>
    </w:p>
    <w:p>
      <w:pPr>
        <w:ind w:left="1040" w:hanging="230"/>
        <w:spacing w:after="0" w:line="336" w:lineRule="auto"/>
        <w:tabs>
          <w:tab w:leader="none" w:pos="103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spacing w:after="0" w:line="1" w:lineRule="exact"/>
        <w:rPr>
          <w:rFonts w:ascii="Times New Roman" w:cs="Times New Roman" w:eastAsia="Times New Roman" w:hAnsi="Times New Roman"/>
          <w:sz w:val="16"/>
          <w:szCs w:val="16"/>
          <w:color w:val="auto"/>
        </w:rPr>
      </w:pPr>
    </w:p>
    <w:p>
      <w:pPr>
        <w:ind w:left="1020" w:hanging="210"/>
        <w:spacing w:after="0"/>
        <w:tabs>
          <w:tab w:leader="none" w:pos="10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June 2025, Pennsylvania was considered an emerging market.</w:t>
      </w:r>
    </w:p>
    <w:p>
      <w:pPr>
        <w:spacing w:after="0" w:line="111" w:lineRule="exact"/>
        <w:rPr>
          <w:rFonts w:ascii="Times New Roman" w:cs="Times New Roman" w:eastAsia="Times New Roman" w:hAnsi="Times New Roman"/>
          <w:sz w:val="16"/>
          <w:szCs w:val="16"/>
          <w:color w:val="auto"/>
        </w:rPr>
      </w:pPr>
    </w:p>
    <w:p>
      <w:pPr>
        <w:ind w:left="1020" w:hanging="210"/>
        <w:spacing w:after="0"/>
        <w:tabs>
          <w:tab w:leader="none" w:pos="10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2025, we no longer have any emerging markets.</w:t>
      </w:r>
    </w:p>
    <w:p>
      <w:pPr>
        <w:spacing w:after="0" w:line="9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48" w:lineRule="exact"/>
        <w:rPr>
          <w:sz w:val="20"/>
          <w:szCs w:val="20"/>
          <w:color w:val="auto"/>
        </w:rPr>
      </w:pPr>
    </w:p>
    <w:tbl>
      <w:tblPr>
        <w:tblLayout w:type="fixed"/>
        <w:tblInd w:w="138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%s)</w:t>
            </w: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3"/>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Increase / (Decrease)</w:t>
            </w:r>
          </w:p>
        </w:tc>
      </w:tr>
      <w:tr>
        <w:trPr>
          <w:trHeight w:val="24"/>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4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78"/>
        </w:trPr>
        <w:tc>
          <w:tcPr>
            <w:tcW w:w="4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4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22"/>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and route and customer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costs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22"/>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4"/>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unconsolidated affiliates</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2"/>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change in fair value of contingent earnout shares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4"/>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Other expenses, net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r>
      <w:tr>
        <w:trPr>
          <w:trHeight w:val="246"/>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4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46"/>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markets</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53,757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49,514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00" w:lineRule="exact"/>
        <w:rPr>
          <w:sz w:val="20"/>
          <w:szCs w:val="20"/>
          <w:color w:val="auto"/>
        </w:rPr>
      </w:pPr>
    </w:p>
    <w:p>
      <w:pPr>
        <w:ind w:left="740" w:hanging="373"/>
        <w:spacing w:after="0" w:line="350" w:lineRule="auto"/>
        <w:tabs>
          <w:tab w:leader="none" w:pos="73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on sale of fixed assets was $0.7 million for the three months ended March 31, 2026 and is included in Other expenses, net. Loss on sale of fixed assets was $0.1 million for the three months ended March 31, 2025 and is presented in general and administrative expenses, which is not an adjustment for EBITDA.</w:t>
      </w:r>
    </w:p>
    <w:p>
      <w:pPr>
        <w:spacing w:after="0" w:line="96"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Adjusted EBITDA for the three months ended March 31, 2026, was $53.8 million, an increase of $4.2 million, or 8.6%, compared to the prior-year period. The increase was attributable to an increase in the number of locations and gaming terminals.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9" w:lineRule="exact"/>
        <w:rPr>
          <w:sz w:val="20"/>
          <w:szCs w:val="20"/>
          <w:color w:val="auto"/>
        </w:rPr>
      </w:pPr>
    </w:p>
    <w:p>
      <w:pPr>
        <w:jc w:val="both"/>
        <w:ind w:firstLine="295"/>
        <w:spacing w:after="0" w:line="323" w:lineRule="auto"/>
        <w:rPr>
          <w:sz w:val="20"/>
          <w:szCs w:val="20"/>
          <w:color w:val="auto"/>
        </w:rPr>
      </w:pPr>
      <w:r>
        <w:rPr>
          <w:rFonts w:ascii="Times New Roman" w:cs="Times New Roman" w:eastAsia="Times New Roman" w:hAnsi="Times New Roman"/>
          <w:sz w:val="16"/>
          <w:szCs w:val="16"/>
          <w:color w:val="auto"/>
        </w:rPr>
        <w:t>We believe that our cash and cash equivalents, cash flows from operations and borrowing availability under the Credit Agreement (as defined below) will be sufficient to meet our capital requirements for the next twelve months and the foreseeable future thereafter. Our primary short-term cash needs are paying operating expenses and contingent earnout payments, purchases of property and equipment, servicing outstanding indebtedness, and funding our Board of Directors (“Board”) approved share repurchase program and near-term acquisitions. As of March 31, 2026, we had $274.1 million in cash and cash equivalents.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Agreement</w:t>
      </w:r>
    </w:p>
    <w:p>
      <w:pPr>
        <w:spacing w:after="0" w:line="187" w:lineRule="exact"/>
        <w:rPr>
          <w:sz w:val="20"/>
          <w:szCs w:val="20"/>
          <w:color w:val="auto"/>
        </w:rPr>
      </w:pPr>
    </w:p>
    <w:p>
      <w:pPr>
        <w:jc w:val="both"/>
        <w:ind w:firstLine="295"/>
        <w:spacing w:after="0" w:line="323" w:lineRule="auto"/>
        <w:rPr>
          <w:sz w:val="20"/>
          <w:szCs w:val="20"/>
          <w:color w:val="auto"/>
        </w:rPr>
      </w:pPr>
      <w:r>
        <w:rPr>
          <w:rFonts w:ascii="Times New Roman" w:cs="Times New Roman" w:eastAsia="Times New Roman" w:hAnsi="Times New Roman"/>
          <w:sz w:val="16"/>
          <w:szCs w:val="16"/>
          <w:color w:val="auto"/>
        </w:rPr>
        <w:t>In order to refinance our prior credit facility, we entered into a Credit Agreement, dated as of September 10, 2025 (the “Credit Agreement”), by and among us, Accel Entertainment LLC (the “Borrower”), the lenders from time to time party thereto, CIBC Bank USA, as administrative agent and collateral agent for the lenders and lead arranger, Fifth Third Bank, National Association, JPMorgan Chase Bank, N.A., U.S. Bank National Association, and Truist Securities, Inc., as joint lead arrangers, and Bank of America, N.A. as documentation agent.</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Credit Agreement establishes a:</w:t>
      </w:r>
    </w:p>
    <w:p>
      <w:pPr>
        <w:spacing w:after="0" w:line="173" w:lineRule="exact"/>
        <w:rPr>
          <w:sz w:val="20"/>
          <w:szCs w:val="20"/>
          <w:color w:val="auto"/>
        </w:rPr>
      </w:pPr>
    </w:p>
    <w:p>
      <w:pPr>
        <w:ind w:left="580" w:hanging="287"/>
        <w:spacing w:after="0" w:line="300" w:lineRule="auto"/>
        <w:tabs>
          <w:tab w:leader="none" w:pos="5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$300.0 million revolving credit facility, including a letter of credit facility with a $15.0 million sublimit and a swing line facility with a $25.0 million sublimit, and</w:t>
      </w:r>
    </w:p>
    <w:p>
      <w:pPr>
        <w:spacing w:after="0" w:line="37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$600.0 million term loan facility.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maturity date of the Credit Agreement is September 10, 2030.</w:t>
      </w:r>
    </w:p>
    <w:p>
      <w:pPr>
        <w:spacing w:after="0" w:line="185"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Proceeds of the initial borrowings under the Credit Agreement were used to repay in full all outstanding indebtedness and terminate all commitments under our prior credit agreement, dated as of November 13, 2019, as amended.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March 31, 2026, the weighted-average interest rate on our borrowings under the Credit Agreement was approximately 5.5%.</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were in compliance with all debt covenants under the Credit Agreement as of March 31, 2026 and expect to remain in compliance for the next 12 months.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Financing Activities</w:t>
      </w:r>
    </w:p>
    <w:p>
      <w:pPr>
        <w:spacing w:after="0" w:line="187" w:lineRule="exact"/>
        <w:rPr>
          <w:sz w:val="20"/>
          <w:szCs w:val="20"/>
          <w:color w:val="auto"/>
        </w:rPr>
      </w:pPr>
    </w:p>
    <w:p>
      <w:pPr>
        <w:jc w:val="both"/>
        <w:ind w:firstLine="295"/>
        <w:spacing w:after="0" w:line="323" w:lineRule="auto"/>
        <w:rPr>
          <w:sz w:val="20"/>
          <w:szCs w:val="20"/>
          <w:color w:val="auto"/>
        </w:rPr>
      </w:pPr>
      <w:r>
        <w:rPr>
          <w:rFonts w:ascii="Times New Roman" w:cs="Times New Roman" w:eastAsia="Times New Roman" w:hAnsi="Times New Roman"/>
          <w:sz w:val="16"/>
          <w:szCs w:val="16"/>
          <w:color w:val="auto"/>
        </w:rPr>
        <w:t>From time to time, we may take advantage of favorable financing terms offered by vendors for purchases of property and equipment. Financed property and equipment totaled $4.5 million and $4.8 million as of March 31, 2026 and December 31, 2025, respectively, of which $1.7 million is recorded in accounts payable and other accrued expenses for both periods with the remaining $2.8 million and $3.1 million recorded in other long-term liabilities on the condensed consolidated balance sheets for the years ended March 31, 2026, and December 31, 2025,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hedging instruments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manage our exposure to interest rate risk through the use of interest rate hedging instruments, which are derivative financial instruments.</w:t>
      </w:r>
    </w:p>
    <w:p>
      <w:pPr>
        <w:spacing w:after="0" w:line="197" w:lineRule="exact"/>
        <w:rPr>
          <w:sz w:val="20"/>
          <w:szCs w:val="20"/>
          <w:color w:val="auto"/>
        </w:rPr>
      </w:pPr>
    </w:p>
    <w:p>
      <w:pPr>
        <w:jc w:val="both"/>
        <w:ind w:firstLine="295"/>
        <w:spacing w:after="0" w:line="360" w:lineRule="auto"/>
        <w:rPr>
          <w:sz w:val="20"/>
          <w:szCs w:val="20"/>
          <w:color w:val="auto"/>
        </w:rPr>
      </w:pPr>
      <w:r>
        <w:rPr>
          <w:rFonts w:ascii="Times New Roman" w:cs="Times New Roman" w:eastAsia="Times New Roman" w:hAnsi="Times New Roman"/>
          <w:sz w:val="16"/>
          <w:szCs w:val="16"/>
          <w:color w:val="auto"/>
        </w:rPr>
        <w:t>On January 12, 2022, we hedged the variability of the cash flows attributable to changes in the 1-month SOFR interest rates on the first $300 million of the term loan under the prior credit agreement by entering into a 4-year series of 48 deferred premium caplets (“caplets”), which expired in January 2026.</w:t>
      </w:r>
    </w:p>
    <w:p>
      <w:pPr>
        <w:spacing w:after="0" w:line="51" w:lineRule="exact"/>
        <w:rPr>
          <w:sz w:val="20"/>
          <w:szCs w:val="20"/>
          <w:color w:val="auto"/>
        </w:rPr>
      </w:pPr>
    </w:p>
    <w:p>
      <w:pPr>
        <w:jc w:val="both"/>
        <w:ind w:firstLine="295"/>
        <w:spacing w:after="0" w:line="232" w:lineRule="exact"/>
        <w:rPr>
          <w:sz w:val="20"/>
          <w:szCs w:val="20"/>
          <w:color w:val="auto"/>
        </w:rPr>
      </w:pPr>
      <w:r>
        <w:rPr>
          <w:rFonts w:ascii="Times New Roman" w:cs="Times New Roman" w:eastAsia="Times New Roman" w:hAnsi="Times New Roman"/>
          <w:sz w:val="16"/>
          <w:szCs w:val="16"/>
          <w:color w:val="auto"/>
        </w:rPr>
        <w:t>On January 30, 2026, following the expiration of the caplets and to continue to hedge the variability of the cash flows attributable to the changes in the 1-month Term SOFR interest rate, we entered into an interest rate collar. The collar, which is designated as a cash flow hedge, establishes a cap interest rate of 4.00% and a floor interest rate of 2.9215%. The interest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rate collar is structured so its notional amount and timing exactly match the term loan’s outstanding balance and scheduled principal payments. The interest rate collar matures in September 2029.</w:t>
      </w:r>
    </w:p>
    <w:p>
      <w:pPr>
        <w:spacing w:after="0" w:line="156"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We recognized an unrealized loss, net of taxes, on the change in fair value of the interest rate hedging instruments of less than $0.1 million for the three months ended March 31, 2026. In comparison, we recognized an unrealized loss, net of taxes, of $1.1 million for the three months ended March 31, 2025. We also recognized interest income on the caplets of $0.4 million for the three months ended March 31, 2026. In comparison, we recognized interest income on the caplets of $1.8 million for the three months ended March 31, 2025. These amounts are reflected in interest expense, net in the condensed consolidated statements of operations and other comprehensive income. As of March 31, 2026 there has been no realized gain or loss on the interest rate collar.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Temporary equity</w:t>
      </w:r>
    </w:p>
    <w:p>
      <w:pPr>
        <w:spacing w:after="0" w:line="199" w:lineRule="exact"/>
        <w:rPr>
          <w:sz w:val="20"/>
          <w:szCs w:val="20"/>
          <w:color w:val="auto"/>
        </w:rPr>
      </w:pPr>
    </w:p>
    <w:p>
      <w:pPr>
        <w:jc w:val="both"/>
        <w:ind w:firstLine="295"/>
        <w:spacing w:after="0" w:line="311" w:lineRule="auto"/>
        <w:rPr>
          <w:sz w:val="20"/>
          <w:szCs w:val="20"/>
          <w:color w:val="auto"/>
        </w:rPr>
      </w:pPr>
      <w:r>
        <w:rPr>
          <w:rFonts w:ascii="Times New Roman" w:cs="Times New Roman" w:eastAsia="Times New Roman" w:hAnsi="Times New Roman"/>
          <w:sz w:val="16"/>
          <w:szCs w:val="16"/>
          <w:color w:val="auto"/>
        </w:rPr>
        <w:t>In 2024, we acquired 85% of the ownership interests in both Toucan Gaming, LLC and LSM Gaming, LLC (herein referred to as “Toucan Gaming”), two Louisiana-based operators and owners of multiple licensed video poker establishments. Concurrent with the acquisition, we entered into a redemption agreement with the noncontrolling interest holder in the form of put and call options that would allow us to eventually own 100% of Toucan Gaming. The noncontrolling interest holder may exercise its put option after seven years, or if we have a change in control event. We may exercise our call option after ten years or upon termination of key employees of Toucan Gaming for cause. The redemption provisions are not currently considered probable. As these redemption features are not solely within our control, they cause the noncontrolling interests to be redeemable. As a result, we recorded the redeemable noncontrolling interest to temporary equity at its acquisition date fair value based on the proportionate share in net assets of Toucan Gaming, which is reported in the mezzanine section between total liabilities and shareholders’ equity in the condensed consolidated balance sheets. These redeemable noncontrolling interests are subsequently recorded at carrying value, which is adjusted for the noncontrolling interests’ share of net income or loss. If the redemption criteria become probable, the redeemable noncontrolling interests are recorded at the greater of carrying value, which is adjusted for the noncontrolling interests’ share of net income or loss, or estimated redemption value at each reporting period. If the carrying value, after the income or loss attribution, is below the estimated redemption value at each reporting period, we will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16"/>
          <w:szCs w:val="16"/>
          <w:color w:val="auto"/>
        </w:rPr>
        <w:t>remeasure the redeemable noncontrolling interests to its redemption value at which point any measurement period adjustments are recorded to equity and a corresponding adjustment to earnings per share.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credit purchases</w:t>
      </w:r>
    </w:p>
    <w:p>
      <w:pPr>
        <w:spacing w:after="0" w:line="212"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On May 1, 2026, we purchased $18.2 million of 2025 production tax credits for a total cost of $16.9 million. We will use the purchased tax credits on our 2025 federal tax return. Any excess credits that are not used on the 2025 federal tax return will be carried back to tax years 2022-2024 and will be fully utilized.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8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p>
      <w:pPr>
        <w:spacing w:after="0" w:line="48" w:lineRule="exact"/>
        <w:rPr>
          <w:sz w:val="20"/>
          <w:szCs w:val="20"/>
          <w:color w:val="auto"/>
        </w:rPr>
      </w:pPr>
    </w:p>
    <w:tbl>
      <w:tblPr>
        <w:tblLayout w:type="fixed"/>
        <w:tblInd w:w="148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%s)</w:t>
            </w:r>
          </w:p>
        </w:tc>
        <w:tc>
          <w:tcPr>
            <w:tcW w:w="240" w:type="dxa"/>
            <w:vAlign w:val="bottom"/>
          </w:tcPr>
          <w:p>
            <w:pPr>
              <w:spacing w:after="0"/>
              <w:rPr>
                <w:sz w:val="18"/>
                <w:szCs w:val="18"/>
                <w:color w:val="auto"/>
              </w:rPr>
            </w:pPr>
          </w:p>
        </w:tc>
        <w:tc>
          <w:tcPr>
            <w:tcW w:w="126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Increase / (Decrease)</w:t>
            </w:r>
          </w:p>
        </w:tc>
      </w:tr>
      <w:tr>
        <w:trPr>
          <w:trHeight w:val="24"/>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26"/>
        </w:trPr>
        <w:tc>
          <w:tcPr>
            <w:tcW w:w="3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2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center"/>
              <w:ind w:left="118"/>
              <w:spacing w:after="0"/>
              <w:rPr>
                <w:sz w:val="20"/>
                <w:szCs w:val="20"/>
                <w:color w:val="auto"/>
              </w:rPr>
            </w:pPr>
            <w:r>
              <w:rPr>
                <w:rFonts w:ascii="Times New Roman" w:cs="Times New Roman" w:eastAsia="Times New Roman" w:hAnsi="Times New Roman"/>
                <w:sz w:val="16"/>
                <w:szCs w:val="16"/>
                <w:color w:val="auto"/>
              </w:rPr>
              <w:t>42,743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center"/>
              <w:ind w:left="38"/>
              <w:spacing w:after="0"/>
              <w:rPr>
                <w:sz w:val="20"/>
                <w:szCs w:val="20"/>
                <w:color w:val="auto"/>
              </w:rPr>
            </w:pPr>
            <w:r>
              <w:rPr>
                <w:rFonts w:ascii="Times New Roman" w:cs="Times New Roman" w:eastAsia="Times New Roman" w:hAnsi="Times New Roman"/>
                <w:sz w:val="16"/>
                <w:szCs w:val="16"/>
                <w:color w:val="auto"/>
                <w:w w:val="99"/>
              </w:rPr>
              <w:t>44,752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21"/>
                <w:szCs w:val="21"/>
                <w:color w:val="auto"/>
              </w:rPr>
            </w:pPr>
          </w:p>
        </w:tc>
        <w:tc>
          <w:tcPr>
            <w:tcW w:w="820" w:type="dxa"/>
            <w:vAlign w:val="bottom"/>
          </w:tcPr>
          <w:p>
            <w:pPr>
              <w:jc w:val="center"/>
              <w:ind w:left="98"/>
              <w:spacing w:after="0"/>
              <w:rPr>
                <w:sz w:val="20"/>
                <w:szCs w:val="20"/>
                <w:color w:val="auto"/>
              </w:rPr>
            </w:pPr>
            <w:r>
              <w:rPr>
                <w:rFonts w:ascii="Times New Roman" w:cs="Times New Roman" w:eastAsia="Times New Roman" w:hAnsi="Times New Roman"/>
                <w:sz w:val="16"/>
                <w:szCs w:val="16"/>
                <w:color w:val="auto"/>
              </w:rPr>
              <w:t>(23,069)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(26,186)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6"/>
                <w:szCs w:val="16"/>
                <w:color w:val="auto"/>
              </w:rPr>
              <w:t>(42,145)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(27,932)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199"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For the three months ended March 31, 2026, net cash provided by operating activities was $42.7 million, a decrease in cash of $2.0 million compared to the prior-year period due primarily to favorable changes in working capital adjustments for accounts payable and accrued expenses, partially offset by unfavorable changes related to 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199"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For the three months ended March 31, 2026, net cash used in investing activities was $23.1 million, a decrease in cash used of $3.1 million compared to the prior-year period. The decrease in cash used was primarily attributable to less cash used for the purchase of property, plant and equipment. We anticipate our capital expenditures will be approximately $60-70 million in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financing activities</w:t>
      </w:r>
    </w:p>
    <w:p>
      <w:pPr>
        <w:spacing w:after="0" w:line="199" w:lineRule="exact"/>
        <w:rPr>
          <w:sz w:val="20"/>
          <w:szCs w:val="20"/>
          <w:color w:val="auto"/>
        </w:rPr>
      </w:pPr>
    </w:p>
    <w:p>
      <w:pPr>
        <w:jc w:val="both"/>
        <w:ind w:firstLine="295"/>
        <w:spacing w:after="0" w:line="360" w:lineRule="auto"/>
        <w:rPr>
          <w:sz w:val="20"/>
          <w:szCs w:val="20"/>
          <w:color w:val="auto"/>
        </w:rPr>
      </w:pPr>
      <w:r>
        <w:rPr>
          <w:rFonts w:ascii="Times New Roman" w:cs="Times New Roman" w:eastAsia="Times New Roman" w:hAnsi="Times New Roman"/>
          <w:sz w:val="16"/>
          <w:szCs w:val="16"/>
          <w:color w:val="auto"/>
        </w:rPr>
        <w:t>For the three months ended March 31, 2026, net cash used in financing activities was $42.1 million, an increase in cash used of $14.2 million compared to the prior-year period. The increase is primarily attributable to higher payments on debt and higher repurchases of our Class A-1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In preparing our condensed consolidated financial statements, we applied the same critical accounting policies as described in our Annual Report on Form 10-K for the year ended December 31, 2025, that affect judgments and estimates of amounts recorded for certain assets, liabilities, revenues, and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189" w:lineRule="exact"/>
        <w:rPr>
          <w:sz w:val="20"/>
          <w:szCs w:val="20"/>
          <w:color w:val="auto"/>
        </w:rPr>
      </w:pPr>
    </w:p>
    <w:p>
      <w:pPr>
        <w:jc w:val="both"/>
        <w:ind w:firstLine="295"/>
        <w:spacing w:after="0" w:line="323" w:lineRule="auto"/>
        <w:rPr>
          <w:sz w:val="20"/>
          <w:szCs w:val="20"/>
          <w:color w:val="auto"/>
        </w:rPr>
      </w:pPr>
      <w:r>
        <w:rPr>
          <w:rFonts w:ascii="Times New Roman" w:cs="Times New Roman" w:eastAsia="Times New Roman" w:hAnsi="Times New Roman"/>
          <w:sz w:val="16"/>
          <w:szCs w:val="16"/>
          <w:color w:val="auto"/>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Our horse racing operations only operate during the months where the weather is conducive to racing, which is typically from late spring through the early fall. Holidays, vacation seasons, and sporting events may also cause our results to fluctuate.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77"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Market risk represents the risk of loss that may impact our financial position due to adverse changes in financial market prices and rates. Market risk exposure is primarily the result of fluctuations in interest rates.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77"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We are exposed to interest rate risk in the ordinary course of business. Borrowings under our credit facility were $585.0 million as of March 31, 2026. If the underlying interest rates were to increase by 1.0%, or 100 basis points, the increase in interest expense on our floating rate debt could negatively impact future earnings and cash flows by approximately $5.9 million annually, assuming the balance outstanding under the credit facility remained at $585.0 million.</w:t>
      </w:r>
    </w:p>
    <w:p>
      <w:pPr>
        <w:spacing w:after="0" w:line="91" w:lineRule="exact"/>
        <w:rPr>
          <w:sz w:val="20"/>
          <w:szCs w:val="20"/>
          <w:color w:val="auto"/>
        </w:rPr>
      </w:pPr>
    </w:p>
    <w:p>
      <w:pPr>
        <w:jc w:val="both"/>
        <w:ind w:firstLine="295"/>
        <w:spacing w:after="0" w:line="233" w:lineRule="exact"/>
        <w:rPr>
          <w:sz w:val="20"/>
          <w:szCs w:val="20"/>
          <w:color w:val="auto"/>
        </w:rPr>
      </w:pPr>
      <w:r>
        <w:rPr>
          <w:rFonts w:ascii="Times New Roman" w:cs="Times New Roman" w:eastAsia="Times New Roman" w:hAnsi="Times New Roman"/>
          <w:sz w:val="16"/>
          <w:szCs w:val="16"/>
          <w:color w:val="auto"/>
        </w:rPr>
        <w:t>In order to protect against higher interest rates in the future on our credit facility, we hedged the variability of the cash flows attributable to the changes in the 1-month SOFR interest rate on the first $300 million of the term loan by entering into a 4-year series of 48 caplets on January 12, 2022, which expired in January 2026. The caplets protected our exposure when the 1-month SOFR interest rate exceeded 2%. On January 30, 2026, the Company continued to hedge the variability of the cash flows attributable to the changes in the 1-month Term SOFR interest rate by entering into an interest rate collar. The collar, which is designated as a cash flow hedge, establishes a cap interest rate of 4.00% and a floor interest rate of 2.9215%. The interest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rate collar is structured so its notional amount and timing exactly match the term loan’s outstanding balance and scheduled principal payments. The interest rate collar matures in September 2029.</w:t>
      </w:r>
    </w:p>
    <w:p>
      <w:pPr>
        <w:spacing w:after="0" w:line="156"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26" w:lineRule="exact"/>
        <w:rPr>
          <w:sz w:val="20"/>
          <w:szCs w:val="20"/>
          <w:color w:val="auto"/>
        </w:rPr>
      </w:pPr>
    </w:p>
    <w:p>
      <w:pPr>
        <w:jc w:val="both"/>
        <w:ind w:firstLine="295"/>
        <w:spacing w:after="0" w:line="323" w:lineRule="auto"/>
        <w:rPr>
          <w:sz w:val="20"/>
          <w:szCs w:val="20"/>
          <w:color w:val="auto"/>
        </w:rPr>
      </w:pPr>
      <w:r>
        <w:rPr>
          <w:rFonts w:ascii="Times New Roman" w:cs="Times New Roman" w:eastAsia="Times New Roman" w:hAnsi="Times New Roman"/>
          <w:sz w:val="16"/>
          <w:szCs w:val="16"/>
          <w:color w:val="auto"/>
        </w:rPr>
        <w:t>The Company’s management, with the participation of our Chief Executive Officer (“CEO”, serving as our Principal Executive Officer) and our Chief Financial Officer (“CFO”, serving as our Principal Financial Officer), conducted an evaluation of the effectiveness of the Company’s disclosure controls and procedures (as defined in Rules 13a-15(e) and 15d-15(e) under the Securities Exchange Act of 1934, as amended (“Exchange Act”)) as of the end of the period covered by this report. As a result of this evaluation, our CEO and CFO concluded that our disclosure controls and procedures were effective as of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26"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There were no changes during the quarter ended March 31, 2026,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89" w:lineRule="exact"/>
        <w:rPr>
          <w:sz w:val="20"/>
          <w:szCs w:val="20"/>
          <w:color w:val="auto"/>
        </w:rPr>
      </w:pPr>
    </w:p>
    <w:p>
      <w:pPr>
        <w:jc w:val="both"/>
        <w:ind w:firstLine="295"/>
        <w:spacing w:after="0" w:line="343" w:lineRule="auto"/>
        <w:rPr>
          <w:sz w:val="20"/>
          <w:szCs w:val="20"/>
          <w:color w:val="auto"/>
        </w:rPr>
      </w:pPr>
      <w:r>
        <w:rPr>
          <w:rFonts w:ascii="Times New Roman" w:cs="Times New Roman" w:eastAsia="Times New Roman" w:hAnsi="Times New Roman"/>
          <w:sz w:val="16"/>
          <w:szCs w:val="16"/>
          <w:color w:val="auto"/>
        </w:rPr>
        <w:t>Information required by this Item is incorporated by reference to the discussion in Note 17, Commitments and Contingencies, of the condensed consolidated financial statements included in Part I, Item 1 of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89" w:lineRule="exact"/>
        <w:rPr>
          <w:sz w:val="20"/>
          <w:szCs w:val="20"/>
          <w:color w:val="auto"/>
        </w:rPr>
      </w:pPr>
    </w:p>
    <w:p>
      <w:pPr>
        <w:jc w:val="both"/>
        <w:ind w:firstLine="295"/>
        <w:spacing w:after="0" w:line="312" w:lineRule="auto"/>
        <w:rPr>
          <w:sz w:val="20"/>
          <w:szCs w:val="20"/>
          <w:color w:val="auto"/>
        </w:rPr>
      </w:pPr>
      <w:r>
        <w:rPr>
          <w:rFonts w:ascii="Times New Roman" w:cs="Times New Roman" w:eastAsia="Times New Roman" w:hAnsi="Times New Roman"/>
          <w:sz w:val="16"/>
          <w:szCs w:val="16"/>
          <w:color w:val="auto"/>
        </w:rPr>
        <w:t>An investment in our Class A-1 common stock involves a high degree of risk. You should carefully consider the risk factors described under Part I - Item 1A. “Risk Factors” in our Annual Report on Form 10-K for the year ended December 31, 2025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spacing w:after="0" w:line="115" w:lineRule="exact"/>
        <w:rPr>
          <w:sz w:val="20"/>
          <w:szCs w:val="20"/>
          <w:color w:val="auto"/>
        </w:rPr>
      </w:pPr>
    </w:p>
    <w:p>
      <w:pPr>
        <w:jc w:val="both"/>
        <w:ind w:firstLine="295"/>
        <w:spacing w:after="0" w:line="291" w:lineRule="auto"/>
        <w:rPr>
          <w:sz w:val="20"/>
          <w:szCs w:val="20"/>
          <w:color w:val="auto"/>
        </w:rPr>
      </w:pPr>
      <w:r>
        <w:rPr>
          <w:rFonts w:ascii="Times New Roman" w:cs="Times New Roman" w:eastAsia="Times New Roman" w:hAnsi="Times New Roman"/>
          <w:sz w:val="16"/>
          <w:szCs w:val="16"/>
          <w:color w:val="auto"/>
        </w:rPr>
        <w:t>There have been no material changes in the risk factors described in Item 1A. “Risk Factors” in our Annual Report on Form 10-K for the year ended December 31, 2025.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13" w:lineRule="exact"/>
        <w:rPr>
          <w:sz w:val="20"/>
          <w:szCs w:val="20"/>
          <w:color w:val="auto"/>
        </w:rPr>
      </w:pPr>
    </w:p>
    <w:p>
      <w:pPr>
        <w:jc w:val="both"/>
        <w:ind w:firstLine="295"/>
        <w:spacing w:after="0" w:line="313" w:lineRule="auto"/>
        <w:rPr>
          <w:sz w:val="20"/>
          <w:szCs w:val="20"/>
          <w:color w:val="auto"/>
        </w:rPr>
      </w:pPr>
      <w:r>
        <w:rPr>
          <w:rFonts w:ascii="Times New Roman" w:cs="Times New Roman" w:eastAsia="Times New Roman" w:hAnsi="Times New Roman"/>
          <w:sz w:val="16"/>
          <w:szCs w:val="16"/>
          <w:color w:val="auto"/>
        </w:rPr>
        <w:t>On November 22, 2021, we announced that our Board had approved a share repurchase program of up to $200 million shares of our Class A-1 common stock. On February 27, 2025, we announced that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us to acquire any particular amount of shares, and the share repurchase program may be suspended or discontinued at any time at our discretion.</w:t>
      </w:r>
    </w:p>
    <w:p>
      <w:pPr>
        <w:spacing w:after="0" w:line="165"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All share repurchases were made under our publicly announced share repurchase program, and there are no other programs under which we repurchase shares. Repurchases under our share repurchase program, during applicable restricted trading windows that we periodically establish, are executed under the terms of a pre-set trading plan meeting the requirements of Rule 10b5-1(c)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presents a summary of share repurchases made during the first quarter of 2026:</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72"/>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5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60" w:type="dxa"/>
            <w:vAlign w:val="bottom"/>
          </w:tcPr>
          <w:p>
            <w:pPr>
              <w:spacing w:after="0"/>
              <w:rPr>
                <w:sz w:val="14"/>
                <w:szCs w:val="14"/>
                <w:color w:val="auto"/>
              </w:rPr>
            </w:pPr>
          </w:p>
        </w:tc>
        <w:tc>
          <w:tcPr>
            <w:tcW w:w="16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under the program (in</w:t>
            </w:r>
          </w:p>
        </w:tc>
        <w:tc>
          <w:tcPr>
            <w:tcW w:w="0" w:type="dxa"/>
            <w:vAlign w:val="bottom"/>
          </w:tcPr>
          <w:p>
            <w:pPr>
              <w:spacing w:after="0"/>
              <w:rPr>
                <w:sz w:val="1"/>
                <w:szCs w:val="1"/>
                <w:color w:val="auto"/>
              </w:rPr>
            </w:pPr>
          </w:p>
        </w:tc>
      </w:tr>
      <w:tr>
        <w:trPr>
          <w:trHeight w:val="209"/>
        </w:trPr>
        <w:tc>
          <w:tcPr>
            <w:tcW w:w="2900" w:type="dxa"/>
            <w:vAlign w:val="bottom"/>
            <w:gridSpan w:val="2"/>
            <w:vMerge w:val="continue"/>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324,544</w:t>
            </w: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$11.39</w:t>
            </w:r>
          </w:p>
        </w:tc>
        <w:tc>
          <w:tcPr>
            <w:tcW w:w="1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324,544</w:t>
            </w:r>
          </w:p>
        </w:tc>
        <w:tc>
          <w:tcPr>
            <w:tcW w:w="17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2026 - February 28,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414,522</w:t>
            </w: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$11.10</w:t>
            </w:r>
          </w:p>
        </w:tc>
        <w:tc>
          <w:tcPr>
            <w:tcW w:w="1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414,522</w:t>
            </w:r>
          </w:p>
        </w:tc>
        <w:tc>
          <w:tcPr>
            <w:tcW w:w="17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1, 2026 - March 31,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343,856</w:t>
            </w: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$11.18</w:t>
            </w:r>
          </w:p>
        </w:tc>
        <w:tc>
          <w:tcPr>
            <w:tcW w:w="1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343,856</w:t>
            </w:r>
          </w:p>
        </w:tc>
        <w:tc>
          <w:tcPr>
            <w:tcW w:w="17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26"/>
        </w:trPr>
        <w:tc>
          <w:tcPr>
            <w:tcW w:w="27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1,082,922</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$11.22</w:t>
            </w:r>
          </w:p>
        </w:tc>
        <w:tc>
          <w:tcPr>
            <w:tcW w:w="1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1,082,922</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26"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On March 13, 2026, Mark Phelan, our President, US Gaming and Chief Operating Officer, entered into a pre-arranged written stock sale plan in accordance with Rule 10b5-1 (the “Phelan Rule 10b5-1 Plan”) under the Exchange Act, for the sale of shares of our Class A-1 common stock. The Phelan Rule 10b5-1 Plan was adopted during an open trading window in accordance with our insider trading policy and is intended to satisfy the affirmative defense of Rule 10b5-1(c) under the Exchange Act. The Phelan Rule 10b5-1 Plan provides for the potential sale of up to 100,000 shares of our Class A-1 common stock, so long as the market price of our Class A-1 common stock is higher than certain minimum threshold prices specified in the Phelan Rule 10b5-1 Plan between June 15, 2026 and June 30, 2027.</w:t>
      </w:r>
    </w:p>
    <w:p>
      <w:pPr>
        <w:spacing w:after="0" w:line="158" w:lineRule="exact"/>
        <w:rPr>
          <w:sz w:val="20"/>
          <w:szCs w:val="20"/>
          <w:color w:val="auto"/>
        </w:rPr>
      </w:pPr>
    </w:p>
    <w:p>
      <w:pPr>
        <w:jc w:val="both"/>
        <w:ind w:firstLine="295"/>
        <w:spacing w:after="0" w:line="318" w:lineRule="auto"/>
        <w:rPr>
          <w:sz w:val="20"/>
          <w:szCs w:val="20"/>
          <w:color w:val="auto"/>
        </w:rPr>
      </w:pPr>
      <w:r>
        <w:rPr>
          <w:rFonts w:ascii="Times New Roman" w:cs="Times New Roman" w:eastAsia="Times New Roman" w:hAnsi="Times New Roman"/>
          <w:sz w:val="16"/>
          <w:szCs w:val="16"/>
          <w:color w:val="auto"/>
        </w:rPr>
        <w:t>The Phelan Rule 10b5-1 Plan included a representation from Mr. Phelan to the broker administering the plan that he was not in possession of any material nonpublic information regarding us or our securities subject to the plan at the time the plan was entered into. A similar representation was made to us in a certification provided in connection with the adoption of the plan under our insider trading policy. These representations were made as of the date of adoption of the applicable plan or certification, as applicable, and speak only as of those dates. In making these representations, there is no assurance with respect to any material nonpublic information of which the applicable officer was unaware, or with respect to any material nonpublic information acquired by Mr. Phelan or by us after the applicable date of the representation.</w:t>
      </w:r>
    </w:p>
    <w:p>
      <w:pPr>
        <w:spacing w:after="0" w:line="158" w:lineRule="exact"/>
        <w:rPr>
          <w:sz w:val="20"/>
          <w:szCs w:val="20"/>
          <w:color w:val="auto"/>
        </w:rPr>
      </w:pPr>
    </w:p>
    <w:p>
      <w:pPr>
        <w:jc w:val="both"/>
        <w:ind w:firstLine="295"/>
        <w:spacing w:after="0" w:line="324" w:lineRule="auto"/>
        <w:rPr>
          <w:sz w:val="20"/>
          <w:szCs w:val="20"/>
          <w:color w:val="auto"/>
        </w:rPr>
      </w:pPr>
      <w:r>
        <w:rPr>
          <w:rFonts w:ascii="Times New Roman" w:cs="Times New Roman" w:eastAsia="Times New Roman" w:hAnsi="Times New Roman"/>
          <w:sz w:val="16"/>
          <w:szCs w:val="16"/>
          <w:color w:val="auto"/>
        </w:rPr>
        <w:t>Once executed, transactions under the Phelan Rule 10b5-1 Plan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Phelan, or our other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1697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54"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Exhibit</w:t>
            </w:r>
          </w:p>
        </w:tc>
        <w:tc>
          <w:tcPr>
            <w:tcW w:w="3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120" w:type="dxa"/>
            <w:vAlign w:val="bottom"/>
            <w:gridSpan w:val="7"/>
            <w:vMerge w:val="restart"/>
          </w:tcPr>
          <w:p>
            <w:pPr>
              <w:ind w:left="9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0" w:type="dxa"/>
            <w:vAlign w:val="bottom"/>
          </w:tcPr>
          <w:p>
            <w:pPr>
              <w:spacing w:after="0"/>
              <w:rPr>
                <w:sz w:val="1"/>
                <w:szCs w:val="1"/>
                <w:color w:val="auto"/>
              </w:rPr>
            </w:pPr>
          </w:p>
        </w:tc>
      </w:tr>
      <w:tr>
        <w:trPr>
          <w:trHeight w:val="195"/>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No.</w:t>
            </w:r>
          </w:p>
        </w:tc>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9880" w:type="dxa"/>
            <w:vAlign w:val="bottom"/>
            <w:tcBorders>
              <w:top w:val="single" w:sz="8" w:color="auto"/>
            </w:tcBorders>
            <w:gridSpan w:val="9"/>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Amended and Restated Employment Agreement, dated February 2, 2026, by and between Accel Entertainment, Inc. and Mark Phelan (incorporated</w:t>
              </w:r>
            </w:hyperlink>
          </w:p>
        </w:tc>
        <w:tc>
          <w:tcPr>
            <w:tcW w:w="0" w:type="dxa"/>
            <w:vAlign w:val="bottom"/>
          </w:tcPr>
          <w:p>
            <w:pPr>
              <w:spacing w:after="0"/>
              <w:rPr>
                <w:sz w:val="1"/>
                <w:szCs w:val="1"/>
                <w:color w:val="auto"/>
              </w:rPr>
            </w:pPr>
          </w:p>
        </w:tc>
      </w:tr>
      <w:tr>
        <w:trPr>
          <w:trHeight w:val="140"/>
        </w:trPr>
        <w:tc>
          <w:tcPr>
            <w:tcW w:w="1260" w:type="dxa"/>
            <w:vAlign w:val="bottom"/>
            <w:tcBorders>
              <w:top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860" w:type="dxa"/>
            <w:vAlign w:val="bottom"/>
            <w:tcBorders>
              <w:top w:val="single" w:sz="8" w:color="0000FF"/>
              <w:bottom w:val="single" w:sz="8" w:color="0000FF"/>
            </w:tcBorders>
            <w:gridSpan w:val="6"/>
          </w:tcPr>
          <w:p>
            <w:pPr>
              <w:spacing w:after="0" w:line="128"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by reference to Exhibit 10.1 to the Current Report on Form 8-K filed with the SEC on February 3, 2026)</w:t>
              </w:r>
            </w:hyperlink>
          </w:p>
        </w:tc>
        <w:tc>
          <w:tcPr>
            <w:tcW w:w="2840" w:type="dxa"/>
            <w:vAlign w:val="bottom"/>
            <w:tcBorders>
              <w:top w:val="single" w:sz="8" w:color="0000FF"/>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9880" w:type="dxa"/>
            <w:vAlign w:val="bottom"/>
            <w:gridSpan w:val="9"/>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Leadership Transition and Advisory Services Agreement, by and between Accel Entertainment, Inc. and Andrew Rubenstein (incorporated by</w:t>
              </w:r>
            </w:hyperlink>
          </w:p>
        </w:tc>
        <w:tc>
          <w:tcPr>
            <w:tcW w:w="0" w:type="dxa"/>
            <w:vAlign w:val="bottom"/>
          </w:tcPr>
          <w:p>
            <w:pPr>
              <w:spacing w:after="0"/>
              <w:rPr>
                <w:sz w:val="1"/>
                <w:szCs w:val="1"/>
                <w:color w:val="auto"/>
              </w:rPr>
            </w:pPr>
          </w:p>
        </w:tc>
      </w:tr>
      <w:tr>
        <w:trPr>
          <w:trHeight w:val="140"/>
        </w:trPr>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60" w:type="dxa"/>
            <w:vAlign w:val="bottom"/>
            <w:tcBorders>
              <w:top w:val="single" w:sz="8" w:color="0000FF"/>
              <w:bottom w:val="single" w:sz="8" w:color="0000FF"/>
            </w:tcBorders>
            <w:gridSpan w:val="5"/>
          </w:tcPr>
          <w:p>
            <w:pPr>
              <w:spacing w:after="0" w:line="140"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reference to Exhibit 10.2 to the Current Report on Form 8-K filed with the SEC on February 3, 2026)</w:t>
              </w:r>
            </w:hyperlink>
          </w:p>
        </w:tc>
        <w:tc>
          <w:tcPr>
            <w:tcW w:w="2660" w:type="dxa"/>
            <w:vAlign w:val="bottom"/>
            <w:tcBorders>
              <w:top w:val="single" w:sz="8" w:color="0000FF"/>
            </w:tcBorders>
            <w:gridSpan w:val="2"/>
          </w:tcPr>
          <w:p>
            <w:pPr>
              <w:spacing w:after="0"/>
              <w:rPr>
                <w:sz w:val="12"/>
                <w:szCs w:val="12"/>
                <w:color w:val="auto"/>
              </w:rPr>
            </w:pPr>
          </w:p>
        </w:tc>
        <w:tc>
          <w:tcPr>
            <w:tcW w:w="5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tcPr>
          <w:p>
            <w:pPr>
              <w:spacing w:after="0"/>
              <w:rPr>
                <w:sz w:val="17"/>
                <w:szCs w:val="17"/>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238"/>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Pr>
          <w:p>
            <w:pPr>
              <w:spacing w:after="0"/>
              <w:rPr>
                <w:sz w:val="20"/>
                <w:szCs w:val="20"/>
                <w:color w:val="auto"/>
              </w:rPr>
            </w:pPr>
          </w:p>
        </w:tc>
        <w:tc>
          <w:tcPr>
            <w:tcW w:w="66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Exchange Act Rules 13a-14(a) and 15d-14(a)</w:t>
            </w:r>
          </w:p>
        </w:tc>
        <w:tc>
          <w:tcPr>
            <w:tcW w:w="32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tcPr>
          <w:p>
            <w:pPr>
              <w:spacing w:after="0"/>
              <w:rPr>
                <w:sz w:val="20"/>
                <w:szCs w:val="20"/>
                <w:color w:val="auto"/>
              </w:rPr>
            </w:pPr>
          </w:p>
        </w:tc>
        <w:tc>
          <w:tcPr>
            <w:tcW w:w="3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Section 1350 Certification of Principal Executive Officer</w:t>
            </w:r>
          </w:p>
        </w:tc>
        <w:tc>
          <w:tcPr>
            <w:tcW w:w="2840" w:type="dxa"/>
            <w:vAlign w:val="bottom"/>
            <w:tcBorders>
              <w:top w:val="single" w:sz="8" w:color="0000FF"/>
            </w:tcBorders>
          </w:tcPr>
          <w:p>
            <w:pPr>
              <w:spacing w:after="0"/>
              <w:rPr>
                <w:sz w:val="20"/>
                <w:szCs w:val="20"/>
                <w:color w:val="auto"/>
              </w:rPr>
            </w:pPr>
          </w:p>
        </w:tc>
        <w:tc>
          <w:tcPr>
            <w:tcW w:w="32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Pr>
          <w:p>
            <w:pPr>
              <w:spacing w:after="0"/>
              <w:rPr>
                <w:sz w:val="20"/>
                <w:szCs w:val="20"/>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 of Principal Financial Officer</w:t>
            </w:r>
          </w:p>
        </w:tc>
        <w:tc>
          <w:tcPr>
            <w:tcW w:w="0" w:type="dxa"/>
            <w:vAlign w:val="bottom"/>
          </w:tcPr>
          <w:p>
            <w:pPr>
              <w:spacing w:after="0"/>
              <w:rPr>
                <w:sz w:val="1"/>
                <w:szCs w:val="1"/>
                <w:color w:val="auto"/>
              </w:rPr>
            </w:pPr>
          </w:p>
        </w:tc>
      </w:tr>
      <w:tr>
        <w:trPr>
          <w:trHeight w:val="276"/>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101.INS</w:t>
            </w:r>
          </w:p>
        </w:tc>
        <w:tc>
          <w:tcPr>
            <w:tcW w:w="37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61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58"/>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58"/>
        </w:trPr>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101.DEF</w:t>
            </w: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58"/>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58"/>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98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362" w:hanging="857"/>
        <w:spacing w:after="0"/>
        <w:tabs>
          <w:tab w:leader="none" w:pos="136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Inline XBRL File (included in Exhibit 101)</w:t>
      </w:r>
    </w:p>
    <w:p>
      <w:pPr>
        <w:spacing w:after="0" w:line="361"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Filed herewith.</w:t>
      </w:r>
    </w:p>
    <w:p>
      <w:pPr>
        <w:spacing w:after="0" w:line="73" w:lineRule="exact"/>
        <w:rPr>
          <w:sz w:val="20"/>
          <w:szCs w:val="20"/>
          <w:color w:val="auto"/>
        </w:rPr>
      </w:pPr>
    </w:p>
    <w:p>
      <w:pPr>
        <w:ind w:left="222" w:hanging="222"/>
        <w:spacing w:after="0"/>
        <w:tabs>
          <w:tab w:leader="none" w:pos="222"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86" w:lineRule="exact"/>
        <w:rPr>
          <w:sz w:val="20"/>
          <w:szCs w:val="20"/>
          <w:color w:val="auto"/>
        </w:rPr>
      </w:pPr>
    </w:p>
    <w:p>
      <w:pPr>
        <w:ind w:left="2"/>
        <w:spacing w:after="0"/>
        <w:tabs>
          <w:tab w:leader="none" w:pos="281"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Indicates management contract or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97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9" w:lineRule="exact"/>
        <w:rPr>
          <w:sz w:val="20"/>
          <w:szCs w:val="20"/>
          <w:color w:val="auto"/>
        </w:rPr>
      </w:pPr>
    </w:p>
    <w:p>
      <w:pPr>
        <w:ind w:firstLine="295"/>
        <w:spacing w:after="0" w:line="34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ACCEL ENTERTAINMENT, INC.</w:t>
      </w:r>
    </w:p>
    <w:p>
      <w:pPr>
        <w:spacing w:after="0" w:line="306" w:lineRule="exact"/>
        <w:rPr>
          <w:sz w:val="20"/>
          <w:szCs w:val="20"/>
          <w:color w:val="auto"/>
        </w:rPr>
      </w:pPr>
    </w:p>
    <w:p>
      <w:pPr>
        <w:ind w:left="2220"/>
        <w:spacing w:after="0"/>
        <w:tabs>
          <w:tab w:leader="none" w:pos="5400" w:val="left"/>
          <w:tab w:leader="none" w:pos="5920" w:val="left"/>
        </w:tabs>
        <w:rPr>
          <w:sz w:val="20"/>
          <w:szCs w:val="20"/>
          <w:color w:val="auto"/>
        </w:rPr>
      </w:pPr>
      <w:r>
        <w:rPr>
          <w:rFonts w:ascii="Times New Roman" w:cs="Times New Roman" w:eastAsia="Times New Roman" w:hAnsi="Times New Roman"/>
          <w:sz w:val="16"/>
          <w:szCs w:val="16"/>
          <w:color w:val="auto"/>
        </w:rPr>
        <w:t>Date: May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Christie Kozlik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35560</wp:posOffset>
            </wp:positionV>
            <wp:extent cx="207708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077085" cy="7620"/>
                    </a:xfrm>
                    <a:prstGeom prst="rect">
                      <a:avLst/>
                    </a:prstGeom>
                    <a:noFill/>
                  </pic:spPr>
                </pic:pic>
              </a:graphicData>
            </a:graphic>
          </wp:anchor>
        </w:drawing>
      </w:r>
    </w:p>
    <w:p>
      <w:pPr>
        <w:spacing w:after="0" w:line="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Christie Kozlik</w:t>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4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(Principal Accounting Officer and Duly</w:t>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12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3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Andrew Rubenstein, certify that:</w:t>
      </w:r>
    </w:p>
    <w:p>
      <w:pPr>
        <w:spacing w:after="0" w:line="210" w:lineRule="exact"/>
        <w:rPr>
          <w:sz w:val="20"/>
          <w:szCs w:val="20"/>
          <w:color w:val="auto"/>
        </w:rPr>
      </w:pPr>
    </w:p>
    <w:p>
      <w:pPr>
        <w:ind w:left="162" w:hanging="162"/>
        <w:spacing w:after="0"/>
        <w:tabs>
          <w:tab w:leader="none" w:pos="16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Accel Entertainment, Inc.;</w:t>
      </w:r>
    </w:p>
    <w:p>
      <w:pPr>
        <w:spacing w:after="0" w:line="172" w:lineRule="exact"/>
        <w:rPr>
          <w:rFonts w:ascii="Times New Roman" w:cs="Times New Roman" w:eastAsia="Times New Roman" w:hAnsi="Times New Roman"/>
          <w:sz w:val="16"/>
          <w:szCs w:val="16"/>
          <w:color w:val="auto"/>
        </w:rPr>
      </w:pPr>
    </w:p>
    <w:p>
      <w:pPr>
        <w:ind w:left="2" w:hanging="2"/>
        <w:spacing w:after="0" w:line="360" w:lineRule="auto"/>
        <w:tabs>
          <w:tab w:leader="none" w:pos="17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2" w:hanging="2"/>
        <w:spacing w:after="0" w:line="360" w:lineRule="auto"/>
        <w:tabs>
          <w:tab w:leader="none" w:pos="17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162" w:hanging="162"/>
        <w:spacing w:after="0"/>
        <w:tabs>
          <w:tab w:leader="none" w:pos="16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61"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6"/>
          <w:szCs w:val="16"/>
          <w:color w:val="auto"/>
        </w:rPr>
      </w:pPr>
    </w:p>
    <w:p>
      <w:pPr>
        <w:ind w:left="542" w:hanging="173"/>
        <w:spacing w:after="0"/>
        <w:tabs>
          <w:tab w:leader="none" w:pos="542"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w:t>
      </w:r>
    </w:p>
    <w:p>
      <w:pPr>
        <w:spacing w:after="0" w:line="61" w:lineRule="exact"/>
        <w:rPr>
          <w:rFonts w:ascii="Times New Roman" w:cs="Times New Roman" w:eastAsia="Times New Roman" w:hAnsi="Times New Roman"/>
          <w:sz w:val="16"/>
          <w:szCs w:val="16"/>
          <w:color w:val="auto"/>
        </w:rPr>
      </w:pPr>
    </w:p>
    <w:p>
      <w:pPr>
        <w:ind w:left="362"/>
        <w:spacing w:after="0" w:line="3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relating to the registrant, including its consolidated subsidiaries, is made known to us by others within those entities, particularly during the period in which this report is being prepared;</w:t>
      </w:r>
    </w:p>
    <w:p>
      <w:pPr>
        <w:spacing w:after="0" w:line="76" w:lineRule="exact"/>
        <w:rPr>
          <w:rFonts w:ascii="Times New Roman" w:cs="Times New Roman" w:eastAsia="Times New Roman" w:hAnsi="Times New Roman"/>
          <w:sz w:val="16"/>
          <w:szCs w:val="16"/>
          <w:color w:val="auto"/>
        </w:rPr>
      </w:pPr>
    </w:p>
    <w:p>
      <w:pPr>
        <w:jc w:val="both"/>
        <w:ind w:left="362" w:firstLine="7"/>
        <w:spacing w:after="0" w:line="324" w:lineRule="auto"/>
        <w:tabs>
          <w:tab w:leader="none" w:pos="548"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6"/>
          <w:szCs w:val="16"/>
          <w:color w:val="auto"/>
        </w:rPr>
      </w:pPr>
    </w:p>
    <w:p>
      <w:pPr>
        <w:ind w:left="362" w:firstLine="7"/>
        <w:spacing w:after="0" w:line="343" w:lineRule="auto"/>
        <w:tabs>
          <w:tab w:leader="none" w:pos="55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Times New Roman" w:cs="Times New Roman" w:eastAsia="Times New Roman" w:hAnsi="Times New Roman"/>
          <w:sz w:val="16"/>
          <w:szCs w:val="16"/>
          <w:color w:val="auto"/>
        </w:rPr>
      </w:pPr>
    </w:p>
    <w:p>
      <w:pPr>
        <w:jc w:val="both"/>
        <w:ind w:left="362" w:firstLine="7"/>
        <w:spacing w:after="0" w:line="324" w:lineRule="auto"/>
        <w:tabs>
          <w:tab w:leader="none" w:pos="547"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6"/>
          <w:szCs w:val="16"/>
          <w:color w:val="auto"/>
        </w:rPr>
      </w:pPr>
    </w:p>
    <w:p>
      <w:pPr>
        <w:ind w:left="2" w:hanging="2"/>
        <w:spacing w:after="0" w:line="343" w:lineRule="auto"/>
        <w:tabs>
          <w:tab w:leader="none" w:pos="18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Times New Roman" w:cs="Times New Roman" w:eastAsia="Times New Roman" w:hAnsi="Times New Roman"/>
          <w:sz w:val="16"/>
          <w:szCs w:val="16"/>
          <w:color w:val="auto"/>
        </w:rPr>
      </w:pPr>
    </w:p>
    <w:p>
      <w:pPr>
        <w:ind w:left="362" w:firstLine="7"/>
        <w:spacing w:after="0" w:line="343" w:lineRule="auto"/>
        <w:tabs>
          <w:tab w:leader="none" w:pos="53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Times New Roman" w:cs="Times New Roman" w:eastAsia="Times New Roman" w:hAnsi="Times New Roman"/>
          <w:sz w:val="16"/>
          <w:szCs w:val="16"/>
          <w:color w:val="auto"/>
        </w:rPr>
      </w:pPr>
    </w:p>
    <w:p>
      <w:pPr>
        <w:ind w:left="362" w:firstLine="7"/>
        <w:spacing w:after="0" w:line="343" w:lineRule="auto"/>
        <w:tabs>
          <w:tab w:leader="none" w:pos="55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tbl>
      <w:tblPr>
        <w:tblLayout w:type="fixed"/>
        <w:tblInd w:w="22" w:type="dxa"/>
        <w:tblCellMar>
          <w:top w:w="0" w:type="dxa"/>
          <w:left w:w="0" w:type="dxa"/>
          <w:bottom w:w="0" w:type="dxa"/>
          <w:right w:w="0" w:type="dxa"/>
        </w:tblCellMar>
      </w:tblPr>
      <w:tr>
        <w:trPr>
          <w:trHeight w:val="264"/>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Andrew Rubenstein</w:t>
            </w:r>
          </w:p>
        </w:tc>
      </w:tr>
      <w:tr>
        <w:trPr>
          <w:trHeight w:val="197"/>
        </w:trPr>
        <w:tc>
          <w:tcPr>
            <w:tcW w:w="628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Rubenstein</w:t>
            </w:r>
          </w:p>
        </w:tc>
      </w:tr>
      <w:tr>
        <w:trPr>
          <w:trHeight w:val="164"/>
        </w:trPr>
        <w:tc>
          <w:tcPr>
            <w:tcW w:w="6280" w:type="dxa"/>
            <w:vAlign w:val="bottom"/>
          </w:tcPr>
          <w:p>
            <w:pPr>
              <w:spacing w:after="0"/>
              <w:rPr>
                <w:sz w:val="14"/>
                <w:szCs w:val="14"/>
                <w:color w:val="auto"/>
              </w:rPr>
            </w:pPr>
          </w:p>
        </w:tc>
        <w:tc>
          <w:tcPr>
            <w:tcW w:w="494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Chief Executive Officer, President, and Chairman of the Board of</w:t>
            </w:r>
          </w:p>
        </w:tc>
      </w:tr>
      <w:tr>
        <w:trPr>
          <w:trHeight w:val="214"/>
        </w:trPr>
        <w:tc>
          <w:tcPr>
            <w:tcW w:w="62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(Principal Executive Officer)</w:t>
            </w:r>
          </w:p>
        </w:tc>
      </w:tr>
    </w:tbl>
    <w:p>
      <w:pPr>
        <w:sectPr>
          <w:pgSz w:w="11900" w:h="16838" w:orient="portrait"/>
          <w:cols w:equalWidth="0" w:num="1">
            <w:col w:w="11242"/>
          </w:cols>
          <w:pgMar w:left="318" w:top="87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color w:val="auto"/>
        </w:rPr>
        <w:t>Exhibit 31.2</w:t>
      </w:r>
    </w:p>
    <w:p>
      <w:pPr>
        <w:spacing w:after="0" w:line="23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Brett Summerer, certify that:</w:t>
      </w:r>
    </w:p>
    <w:p>
      <w:pPr>
        <w:spacing w:after="0" w:line="185" w:lineRule="exact"/>
        <w:rPr>
          <w:sz w:val="20"/>
          <w:szCs w:val="20"/>
          <w:color w:val="auto"/>
        </w:rPr>
      </w:pPr>
    </w:p>
    <w:p>
      <w:pPr>
        <w:ind w:left="162" w:hanging="162"/>
        <w:spacing w:after="0"/>
        <w:tabs>
          <w:tab w:leader="none" w:pos="16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Accel Entertainment, Inc.;</w:t>
      </w:r>
    </w:p>
    <w:p>
      <w:pPr>
        <w:spacing w:after="0" w:line="172" w:lineRule="exact"/>
        <w:rPr>
          <w:rFonts w:ascii="Times New Roman" w:cs="Times New Roman" w:eastAsia="Times New Roman" w:hAnsi="Times New Roman"/>
          <w:sz w:val="16"/>
          <w:szCs w:val="16"/>
          <w:color w:val="auto"/>
        </w:rPr>
      </w:pPr>
    </w:p>
    <w:p>
      <w:pPr>
        <w:ind w:left="2" w:hanging="2"/>
        <w:spacing w:after="0" w:line="360" w:lineRule="auto"/>
        <w:tabs>
          <w:tab w:leader="none" w:pos="17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2" w:hanging="2"/>
        <w:spacing w:after="0" w:line="360" w:lineRule="auto"/>
        <w:tabs>
          <w:tab w:leader="none" w:pos="17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162" w:hanging="162"/>
        <w:spacing w:after="0"/>
        <w:tabs>
          <w:tab w:leader="none" w:pos="16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61"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6"/>
          <w:szCs w:val="16"/>
          <w:color w:val="auto"/>
        </w:rPr>
      </w:pPr>
    </w:p>
    <w:p>
      <w:pPr>
        <w:ind w:left="542" w:hanging="173"/>
        <w:spacing w:after="0"/>
        <w:tabs>
          <w:tab w:leader="none" w:pos="54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w:t>
      </w:r>
    </w:p>
    <w:p>
      <w:pPr>
        <w:spacing w:after="0" w:line="61" w:lineRule="exact"/>
        <w:rPr>
          <w:rFonts w:ascii="Times New Roman" w:cs="Times New Roman" w:eastAsia="Times New Roman" w:hAnsi="Times New Roman"/>
          <w:sz w:val="16"/>
          <w:szCs w:val="16"/>
          <w:color w:val="auto"/>
        </w:rPr>
      </w:pPr>
    </w:p>
    <w:p>
      <w:pPr>
        <w:ind w:left="362"/>
        <w:spacing w:after="0" w:line="3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relating to the registrant, including its consolidated subsidiaries, is made known to us by others within those entities, particularly during the period in which this report is being prepared;</w:t>
      </w:r>
    </w:p>
    <w:p>
      <w:pPr>
        <w:spacing w:after="0" w:line="76" w:lineRule="exact"/>
        <w:rPr>
          <w:rFonts w:ascii="Times New Roman" w:cs="Times New Roman" w:eastAsia="Times New Roman" w:hAnsi="Times New Roman"/>
          <w:sz w:val="16"/>
          <w:szCs w:val="16"/>
          <w:color w:val="auto"/>
        </w:rPr>
      </w:pPr>
    </w:p>
    <w:p>
      <w:pPr>
        <w:jc w:val="both"/>
        <w:ind w:left="362" w:firstLine="7"/>
        <w:spacing w:after="0" w:line="324" w:lineRule="auto"/>
        <w:tabs>
          <w:tab w:leader="none" w:pos="54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6"/>
          <w:szCs w:val="16"/>
          <w:color w:val="auto"/>
        </w:rPr>
      </w:pPr>
    </w:p>
    <w:p>
      <w:pPr>
        <w:ind w:left="362" w:firstLine="7"/>
        <w:spacing w:after="0" w:line="343" w:lineRule="auto"/>
        <w:tabs>
          <w:tab w:leader="none" w:pos="55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Times New Roman" w:cs="Times New Roman" w:eastAsia="Times New Roman" w:hAnsi="Times New Roman"/>
          <w:sz w:val="16"/>
          <w:szCs w:val="16"/>
          <w:color w:val="auto"/>
        </w:rPr>
      </w:pPr>
    </w:p>
    <w:p>
      <w:pPr>
        <w:jc w:val="both"/>
        <w:ind w:left="362" w:firstLine="7"/>
        <w:spacing w:after="0" w:line="324" w:lineRule="auto"/>
        <w:tabs>
          <w:tab w:leader="none" w:pos="547"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6"/>
          <w:szCs w:val="16"/>
          <w:color w:val="auto"/>
        </w:rPr>
      </w:pPr>
    </w:p>
    <w:p>
      <w:pPr>
        <w:ind w:left="2" w:hanging="2"/>
        <w:spacing w:after="0" w:line="343" w:lineRule="auto"/>
        <w:tabs>
          <w:tab w:leader="none" w:pos="18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Times New Roman" w:cs="Times New Roman" w:eastAsia="Times New Roman" w:hAnsi="Times New Roman"/>
          <w:sz w:val="16"/>
          <w:szCs w:val="16"/>
          <w:color w:val="auto"/>
        </w:rPr>
      </w:pPr>
    </w:p>
    <w:p>
      <w:pPr>
        <w:ind w:left="362" w:firstLine="7"/>
        <w:spacing w:after="0" w:line="343" w:lineRule="auto"/>
        <w:tabs>
          <w:tab w:leader="none" w:pos="53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Times New Roman" w:cs="Times New Roman" w:eastAsia="Times New Roman" w:hAnsi="Times New Roman"/>
          <w:sz w:val="16"/>
          <w:szCs w:val="16"/>
          <w:color w:val="auto"/>
        </w:rPr>
      </w:pPr>
    </w:p>
    <w:p>
      <w:pPr>
        <w:ind w:left="362" w:firstLine="7"/>
        <w:spacing w:after="0" w:line="343" w:lineRule="auto"/>
        <w:tabs>
          <w:tab w:leader="none" w:pos="553"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22" w:type="dxa"/>
        <w:tblCellMar>
          <w:top w:w="0" w:type="dxa"/>
          <w:left w:w="0" w:type="dxa"/>
          <w:bottom w:w="0" w:type="dxa"/>
          <w:right w:w="0" w:type="dxa"/>
        </w:tblCellMar>
      </w:tblPr>
      <w:tr>
        <w:trPr>
          <w:trHeight w:val="215"/>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 Brett Summerer</w:t>
            </w:r>
          </w:p>
        </w:tc>
      </w:tr>
      <w:tr>
        <w:trPr>
          <w:trHeight w:val="197"/>
        </w:trPr>
        <w:tc>
          <w:tcPr>
            <w:tcW w:w="628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Brett Summerer</w:t>
            </w:r>
          </w:p>
        </w:tc>
      </w:tr>
      <w:tr>
        <w:trPr>
          <w:trHeight w:val="214"/>
        </w:trPr>
        <w:tc>
          <w:tcPr>
            <w:tcW w:w="62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bl>
    <w:p>
      <w:pPr>
        <w:sectPr>
          <w:pgSz w:w="11900" w:h="16838" w:orient="portrait"/>
          <w:cols w:equalWidth="0" w:num="1">
            <w:col w:w="11242"/>
          </w:cols>
          <w:pgMar w:left="318" w:top="87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1350 Certification of Principal Executive Officer</w:t>
      </w:r>
    </w:p>
    <w:p>
      <w:pPr>
        <w:spacing w:after="0" w:line="21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6"/>
          <w:szCs w:val="16"/>
          <w:color w:val="auto"/>
        </w:rPr>
        <w:t>In connection with the Quarterly Report on Form 10-Q of Accel Entertainment, Inc. (the “Company”) for the three months ended March 31, 2026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03" w:lineRule="exact"/>
        <w:rPr>
          <w:sz w:val="20"/>
          <w:szCs w:val="20"/>
          <w:color w:val="auto"/>
        </w:rPr>
      </w:pPr>
    </w:p>
    <w:p>
      <w:pPr>
        <w:ind w:left="1180" w:hanging="48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78m(a) or 78o(d)); and</w:t>
      </w:r>
    </w:p>
    <w:p>
      <w:pPr>
        <w:spacing w:after="0" w:line="197" w:lineRule="exact"/>
        <w:rPr>
          <w:rFonts w:ascii="Times New Roman" w:cs="Times New Roman" w:eastAsia="Times New Roman" w:hAnsi="Times New Roman"/>
          <w:sz w:val="16"/>
          <w:szCs w:val="16"/>
          <w:color w:val="auto"/>
        </w:rPr>
      </w:pPr>
    </w:p>
    <w:p>
      <w:pPr>
        <w:ind w:left="1180" w:hanging="48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74879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748790" cy="762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Andrew Rubenstein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w:t>
      </w:r>
    </w:p>
    <w:p>
      <w:pPr>
        <w:ind w:left="20"/>
        <w:spacing w:after="0" w:line="210" w:lineRule="auto"/>
        <w:rPr>
          <w:sz w:val="20"/>
          <w:szCs w:val="20"/>
          <w:color w:val="auto"/>
        </w:rPr>
      </w:pPr>
      <w:r>
        <w:rPr>
          <w:rFonts w:ascii="Times New Roman" w:cs="Times New Roman" w:eastAsia="Times New Roman" w:hAnsi="Times New Roman"/>
          <w:sz w:val="16"/>
          <w:szCs w:val="16"/>
          <w:color w:val="auto"/>
        </w:rPr>
        <w:t>Chairman of the Board of Directors</w:t>
      </w:r>
    </w:p>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5, 2026</w:t>
      </w:r>
    </w:p>
    <w:p>
      <w:pPr>
        <w:spacing w:after="0" w:line="210"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6"/>
          <w:szCs w:val="16"/>
          <w:color w:val="auto"/>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7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color w:val="auto"/>
        </w:rPr>
        <w:t>Exhibit 32.2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1350 Certification of Principal Financial Officer</w:t>
      </w:r>
    </w:p>
    <w:p>
      <w:pPr>
        <w:spacing w:after="0" w:line="21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6"/>
          <w:szCs w:val="16"/>
          <w:color w:val="auto"/>
        </w:rPr>
        <w:t>In connection with the Quarterly Report on Form 10-Q of Accel Entertainment, Inc. (the “Company”) for the three months ended March 31, 2026 as filed with the Securities and Exchange Commission on the date hereof (the “Report”), I, Brett Summerer, Chief Financial Officer of the Company, certify, to the best of my knowledge and belief, pursuant to 18 U.S.C. § 1350, as adopted pursuant to § 906 of the Sarbanes-Oxley Act of 2002, that:</w:t>
      </w:r>
    </w:p>
    <w:p>
      <w:pPr>
        <w:spacing w:after="0" w:line="103" w:lineRule="exact"/>
        <w:rPr>
          <w:sz w:val="20"/>
          <w:szCs w:val="20"/>
          <w:color w:val="auto"/>
        </w:rPr>
      </w:pPr>
    </w:p>
    <w:p>
      <w:pPr>
        <w:ind w:left="1180" w:hanging="48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78m(a) or 78o(d)); and</w:t>
      </w:r>
    </w:p>
    <w:p>
      <w:pPr>
        <w:spacing w:after="0" w:line="197" w:lineRule="exact"/>
        <w:rPr>
          <w:rFonts w:ascii="Times New Roman" w:cs="Times New Roman" w:eastAsia="Times New Roman" w:hAnsi="Times New Roman"/>
          <w:sz w:val="16"/>
          <w:szCs w:val="16"/>
          <w:color w:val="auto"/>
        </w:rPr>
      </w:pPr>
    </w:p>
    <w:p>
      <w:pPr>
        <w:ind w:left="1180" w:hanging="48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/s/ Brett Summerer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87388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873885" cy="762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Brett Summerer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5, 2026</w:t>
      </w:r>
    </w:p>
    <w:p>
      <w:pPr>
        <w:spacing w:after="0" w:line="222"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This certification accompanies the Quarterly Report of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85"/>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lvl w:ilvl="1">
      <w:lvlJc w:val="left"/>
      <w:lvlText w:val="\endash "/>
      <w:numFmt w:val="bullet"/>
      <w:start w:val="1"/>
    </w:lvl>
  </w:abstractNum>
  <w:abstractNum w:abstractNumId="9">
    <w:nsid w:val="1BEFD79F"/>
    <w:multiLevelType w:val="hybridMultilevel"/>
    <w:lvl w:ilvl="0">
      <w:lvlJc w:val="left"/>
      <w:lvlText w:val="•"/>
      <w:numFmt w:val="bullet"/>
      <w:start w:val="1"/>
    </w:lvl>
    <w:lvl w:ilvl="1">
      <w:lvlJc w:val="left"/>
      <w:lvlText w:val="\endash "/>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88" Type="http://schemas.openxmlformats.org/officeDocument/2006/relationships/hyperlink" Target="https://www.sec.gov/Archives/edgar/data/1698991/000169899126000009/amendedrestatedexecutiveem.htm" TargetMode="External"/><Relationship Id="rId89" Type="http://schemas.openxmlformats.org/officeDocument/2006/relationships/hyperlink" Target="https://www.sec.gov/Archives/edgar/data/1698991/000169899126000009/leadershiptransitionandad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2026-05-05T15:32:08Z</dcterms:created>
  <dcterms:modified xsi:type="dcterms:W3CDTF">2026-05-05T15:32:08Z</dcterms:modified>
</cp:coreProperties>
</file>