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493395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518795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77" w:lineRule="exact"/>
        <w:rPr>
          <w:sz w:val="24"/>
          <w:szCs w:val="24"/>
          <w:color w:val="auto"/>
        </w:rPr>
      </w:pPr>
    </w:p>
    <w:p>
      <w:pPr>
        <w:ind w:left="1300" w:hanging="343"/>
        <w:spacing w:after="0"/>
        <w:tabs>
          <w:tab w:leader="none" w:pos="1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 the Quarterly Period Ended September 30, 2021</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2" w:lineRule="exact"/>
        <w:rPr>
          <w:sz w:val="24"/>
          <w:szCs w:val="24"/>
          <w:color w:val="auto"/>
        </w:rPr>
      </w:pPr>
    </w:p>
    <w:p>
      <w:pPr>
        <w:ind w:left="1340" w:hanging="359"/>
        <w:spacing w:after="0"/>
        <w:tabs>
          <w:tab w:leader="none" w:pos="1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1"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_______ to ______</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Commission File Number 001-38136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2129155</wp:posOffset>
            </wp:positionH>
            <wp:positionV relativeFrom="paragraph">
              <wp:posOffset>116840</wp:posOffset>
            </wp:positionV>
            <wp:extent cx="2892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Accel Entertainment, Inc.</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2129155</wp:posOffset>
            </wp:positionH>
            <wp:positionV relativeFrom="paragraph">
              <wp:posOffset>120015</wp:posOffset>
            </wp:positionV>
            <wp:extent cx="2892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90" w:lineRule="exact"/>
        <w:rPr>
          <w:sz w:val="24"/>
          <w:szCs w:val="24"/>
          <w:color w:val="auto"/>
        </w:rPr>
      </w:pPr>
    </w:p>
    <w:tbl>
      <w:tblPr>
        <w:tblLayout w:type="fixed"/>
        <w:tblInd w:w="214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1840" w:type="dxa"/>
            <w:vAlign w:val="bottom"/>
            <w:gridSpan w:val="2"/>
          </w:tcPr>
          <w:p>
            <w:pPr>
              <w:jc w:val="center"/>
              <w:ind w:right="1200"/>
              <w:spacing w:after="0"/>
              <w:rPr>
                <w:sz w:val="20"/>
                <w:szCs w:val="20"/>
                <w:color w:val="auto"/>
              </w:rPr>
            </w:pPr>
            <w:r>
              <w:rPr>
                <w:rFonts w:ascii="Arial" w:cs="Arial" w:eastAsia="Arial" w:hAnsi="Arial"/>
                <w:sz w:val="16"/>
                <w:szCs w:val="16"/>
                <w:b w:val="1"/>
                <w:bCs w:val="1"/>
                <w:color w:val="auto"/>
                <w:w w:val="91"/>
              </w:rPr>
              <w:t>Delaware</w:t>
            </w:r>
          </w:p>
        </w:tc>
        <w:tc>
          <w:tcPr>
            <w:tcW w:w="3880" w:type="dxa"/>
            <w:vAlign w:val="bottom"/>
            <w:gridSpan w:val="4"/>
          </w:tcPr>
          <w:p>
            <w:pPr>
              <w:jc w:val="center"/>
              <w:ind w:left="2540"/>
              <w:spacing w:after="0"/>
              <w:rPr>
                <w:sz w:val="20"/>
                <w:szCs w:val="20"/>
                <w:color w:val="auto"/>
              </w:rPr>
            </w:pPr>
            <w:r>
              <w:rPr>
                <w:rFonts w:ascii="Arial" w:cs="Arial" w:eastAsia="Arial" w:hAnsi="Arial"/>
                <w:sz w:val="16"/>
                <w:szCs w:val="16"/>
                <w:b w:val="1"/>
                <w:bCs w:val="1"/>
                <w:color w:val="auto"/>
                <w:w w:val="91"/>
              </w:rPr>
              <w:t>98-1350261</w:t>
            </w:r>
          </w:p>
        </w:tc>
      </w:tr>
      <w:tr>
        <w:trPr>
          <w:trHeight w:val="20"/>
        </w:trPr>
        <w:tc>
          <w:tcPr>
            <w:tcW w:w="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2"/>
        </w:trPr>
        <w:tc>
          <w:tcPr>
            <w:tcW w:w="26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1"/>
              </w:rPr>
              <w:t>(State or Other Jurisdiction of</w:t>
            </w:r>
          </w:p>
        </w:tc>
        <w:tc>
          <w:tcPr>
            <w:tcW w:w="1760" w:type="dxa"/>
            <w:vAlign w:val="bottom"/>
          </w:tcPr>
          <w:p>
            <w:pPr>
              <w:spacing w:after="0"/>
              <w:rPr>
                <w:sz w:val="20"/>
                <w:szCs w:val="20"/>
                <w:color w:val="auto"/>
              </w:rPr>
            </w:pPr>
          </w:p>
        </w:tc>
        <w:tc>
          <w:tcPr>
            <w:tcW w:w="2120" w:type="dxa"/>
            <w:vAlign w:val="bottom"/>
            <w:gridSpan w:val="3"/>
          </w:tcPr>
          <w:p>
            <w:pPr>
              <w:jc w:val="center"/>
              <w:ind w:left="800"/>
              <w:spacing w:after="0"/>
              <w:rPr>
                <w:sz w:val="20"/>
                <w:szCs w:val="20"/>
                <w:color w:val="auto"/>
              </w:rPr>
            </w:pPr>
            <w:r>
              <w:rPr>
                <w:rFonts w:ascii="Arial" w:cs="Arial" w:eastAsia="Arial" w:hAnsi="Arial"/>
                <w:sz w:val="16"/>
                <w:szCs w:val="16"/>
                <w:b w:val="1"/>
                <w:bCs w:val="1"/>
                <w:color w:val="auto"/>
                <w:w w:val="94"/>
              </w:rPr>
              <w:t>(I.R.S. Employer</w:t>
            </w:r>
          </w:p>
        </w:tc>
      </w:tr>
      <w:tr>
        <w:trPr>
          <w:trHeight w:val="208"/>
        </w:trPr>
        <w:tc>
          <w:tcPr>
            <w:tcW w:w="26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3"/>
              </w:rPr>
              <w:t>Incorporation or Organization)</w:t>
            </w:r>
          </w:p>
        </w:tc>
        <w:tc>
          <w:tcPr>
            <w:tcW w:w="1760" w:type="dxa"/>
            <w:vAlign w:val="bottom"/>
          </w:tcPr>
          <w:p>
            <w:pPr>
              <w:spacing w:after="0"/>
              <w:rPr>
                <w:sz w:val="18"/>
                <w:szCs w:val="18"/>
                <w:color w:val="auto"/>
              </w:rPr>
            </w:pPr>
          </w:p>
        </w:tc>
        <w:tc>
          <w:tcPr>
            <w:tcW w:w="2120" w:type="dxa"/>
            <w:vAlign w:val="bottom"/>
            <w:gridSpan w:val="3"/>
          </w:tcPr>
          <w:p>
            <w:pPr>
              <w:jc w:val="center"/>
              <w:ind w:left="800"/>
              <w:spacing w:after="0"/>
              <w:rPr>
                <w:sz w:val="20"/>
                <w:szCs w:val="20"/>
                <w:color w:val="auto"/>
              </w:rPr>
            </w:pPr>
            <w:r>
              <w:rPr>
                <w:rFonts w:ascii="Arial" w:cs="Arial" w:eastAsia="Arial" w:hAnsi="Arial"/>
                <w:sz w:val="16"/>
                <w:szCs w:val="16"/>
                <w:b w:val="1"/>
                <w:bCs w:val="1"/>
                <w:color w:val="auto"/>
                <w:w w:val="91"/>
              </w:rPr>
              <w:t>Identification No.)</w:t>
            </w:r>
          </w:p>
        </w:tc>
      </w:tr>
      <w:tr>
        <w:trPr>
          <w:trHeight w:val="292"/>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80" w:type="dxa"/>
            <w:vAlign w:val="bottom"/>
            <w:gridSpan w:val="4"/>
          </w:tcPr>
          <w:p>
            <w:pPr>
              <w:jc w:val="center"/>
              <w:ind w:right="2120"/>
              <w:spacing w:after="0"/>
              <w:rPr>
                <w:sz w:val="20"/>
                <w:szCs w:val="20"/>
                <w:color w:val="auto"/>
              </w:rPr>
            </w:pPr>
            <w:r>
              <w:rPr>
                <w:rFonts w:ascii="Arial" w:cs="Arial" w:eastAsia="Arial" w:hAnsi="Arial"/>
                <w:sz w:val="16"/>
                <w:szCs w:val="16"/>
                <w:b w:val="1"/>
                <w:bCs w:val="1"/>
                <w:color w:val="auto"/>
                <w:w w:val="91"/>
              </w:rPr>
              <w:t>140 Tower Drive</w:t>
            </w:r>
          </w:p>
        </w:tc>
      </w:tr>
      <w:tr>
        <w:trPr>
          <w:trHeight w:val="204"/>
        </w:trPr>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80" w:type="dxa"/>
            <w:vAlign w:val="bottom"/>
            <w:gridSpan w:val="4"/>
          </w:tcPr>
          <w:p>
            <w:pPr>
              <w:jc w:val="center"/>
              <w:ind w:right="2120"/>
              <w:spacing w:after="0"/>
              <w:rPr>
                <w:sz w:val="20"/>
                <w:szCs w:val="20"/>
                <w:color w:val="auto"/>
              </w:rPr>
            </w:pPr>
            <w:r>
              <w:rPr>
                <w:rFonts w:ascii="Arial" w:cs="Arial" w:eastAsia="Arial" w:hAnsi="Arial"/>
                <w:sz w:val="16"/>
                <w:szCs w:val="16"/>
                <w:b w:val="1"/>
                <w:bCs w:val="1"/>
                <w:color w:val="auto"/>
                <w:w w:val="92"/>
              </w:rPr>
              <w:t>Burr Ridge, Illinois 60527</w:t>
            </w: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(630) 972-2235</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4"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08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91"/>
              </w:rPr>
              <w:t>Title of Each Class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3900" w:type="dxa"/>
            <w:vAlign w:val="bottom"/>
            <w:gridSpan w:val="2"/>
          </w:tcPr>
          <w:p>
            <w:pPr>
              <w:jc w:val="center"/>
              <w:ind w:left="1049"/>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21"/>
        </w:trPr>
        <w:tc>
          <w:tcPr>
            <w:tcW w:w="4020" w:type="dxa"/>
            <w:vAlign w:val="bottom"/>
            <w:gridSpan w:val="3"/>
          </w:tcPr>
          <w:p>
            <w:pPr>
              <w:jc w:val="center"/>
              <w:ind w:right="980"/>
              <w:spacing w:after="0"/>
              <w:rPr>
                <w:sz w:val="20"/>
                <w:szCs w:val="20"/>
                <w:color w:val="auto"/>
              </w:rPr>
            </w:pPr>
            <w:r>
              <w:rPr>
                <w:rFonts w:ascii="Arial" w:cs="Arial" w:eastAsia="Arial" w:hAnsi="Arial"/>
                <w:sz w:val="14"/>
                <w:szCs w:val="14"/>
                <w:color w:val="auto"/>
                <w:w w:val="90"/>
              </w:rPr>
              <w:t>Class A-1 Common Stock, par value $.0001 per share</w:t>
            </w: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ACEL</w:t>
            </w:r>
          </w:p>
        </w:tc>
        <w:tc>
          <w:tcPr>
            <w:tcW w:w="112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4"/>
                <w:szCs w:val="14"/>
                <w:color w:val="auto"/>
                <w:w w:val="91"/>
              </w:rPr>
              <w:t>The New York Stock Exchange</w:t>
            </w:r>
          </w:p>
        </w:tc>
      </w:tr>
    </w:tbl>
    <w:p>
      <w:pPr>
        <w:spacing w:after="0" w:line="371" w:lineRule="exact"/>
        <w:rPr>
          <w:sz w:val="24"/>
          <w:szCs w:val="24"/>
          <w:color w:val="auto"/>
        </w:rPr>
      </w:pPr>
    </w:p>
    <w:p>
      <w:pPr>
        <w:jc w:val="both"/>
        <w:ind w:firstLine="319"/>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319"/>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19"/>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2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90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2240" w:type="dxa"/>
            <w:vAlign w:val="bottom"/>
          </w:tcPr>
          <w:p>
            <w:pPr>
              <w:spacing w:after="0"/>
              <w:rPr>
                <w:sz w:val="20"/>
                <w:szCs w:val="20"/>
                <w:color w:val="auto"/>
              </w:rPr>
            </w:pPr>
            <w:r>
              <w:rPr>
                <w:rFonts w:ascii="Arial" w:cs="Arial" w:eastAsia="Arial" w:hAnsi="Arial"/>
                <w:sz w:val="14"/>
                <w:szCs w:val="14"/>
                <w:color w:val="auto"/>
              </w:rPr>
              <w:t>Non-accelerated filer</w:t>
            </w:r>
          </w:p>
        </w:tc>
        <w:tc>
          <w:tcPr>
            <w:tcW w:w="20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90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60" w:type="dxa"/>
            <w:vAlign w:val="bottom"/>
          </w:tcPr>
          <w:p>
            <w:pPr>
              <w:ind w:left="90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28" w:lineRule="exact"/>
        <w:rPr>
          <w:sz w:val="24"/>
          <w:szCs w:val="24"/>
          <w:color w:val="auto"/>
        </w:rPr>
      </w:pPr>
    </w:p>
    <w:p>
      <w:pPr>
        <w:ind w:firstLine="319"/>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320"/>
        <w:spacing w:after="0" w:line="207" w:lineRule="exact"/>
        <w:tabs>
          <w:tab w:leader="none" w:pos="7780" w:val="left"/>
          <w:tab w:leader="none" w:pos="8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46" w:lineRule="exact"/>
        <w:rPr>
          <w:sz w:val="24"/>
          <w:szCs w:val="24"/>
          <w:color w:val="auto"/>
        </w:rPr>
      </w:pPr>
    </w:p>
    <w:p>
      <w:pPr>
        <w:ind w:left="320"/>
        <w:spacing w:after="0"/>
        <w:rPr>
          <w:sz w:val="20"/>
          <w:szCs w:val="20"/>
          <w:color w:val="auto"/>
        </w:rPr>
      </w:pPr>
      <w:r>
        <w:rPr>
          <w:rFonts w:ascii="Arial" w:cs="Arial" w:eastAsia="Arial" w:hAnsi="Arial"/>
          <w:sz w:val="17"/>
          <w:szCs w:val="17"/>
          <w:color w:val="auto"/>
        </w:rPr>
        <w:t>As of November 1, 2021, there were 94,067,179 shares outstanding of the registrant’s Class A-1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1009650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558165</wp:posOffset>
            </wp:positionV>
            <wp:extent cx="6994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4525"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583565</wp:posOffset>
            </wp:positionV>
            <wp:extent cx="6994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45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ACCEL ENTERTAINMENT,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20" w:type="dxa"/>
            <w:vAlign w:val="bottom"/>
          </w:tcPr>
          <w:p>
            <w:pPr>
              <w:spacing w:after="0"/>
              <w:rPr>
                <w:sz w:val="19"/>
                <w:szCs w:val="19"/>
                <w:color w:val="auto"/>
              </w:rPr>
            </w:pPr>
          </w:p>
        </w:tc>
        <w:tc>
          <w:tcPr>
            <w:tcW w:w="9540" w:type="dxa"/>
            <w:vAlign w:val="bottom"/>
          </w:tcPr>
          <w:p>
            <w:pPr>
              <w:ind w:left="3500"/>
              <w:spacing w:after="0"/>
              <w:rPr>
                <w:sz w:val="20"/>
                <w:szCs w:val="20"/>
                <w:color w:val="auto"/>
              </w:rPr>
            </w:pPr>
            <w:r>
              <w:rPr>
                <w:rFonts w:ascii="Arial" w:cs="Arial" w:eastAsia="Arial" w:hAnsi="Arial"/>
                <w:sz w:val="18"/>
                <w:szCs w:val="18"/>
                <w:color w:val="auto"/>
              </w:rPr>
              <w:t>TABLE OF CONTENTS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540" w:type="dxa"/>
            <w:vAlign w:val="bottom"/>
          </w:tcPr>
          <w:p>
            <w:pPr>
              <w:ind w:left="14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FINANCIAL INFORMATION</w:t>
              </w:r>
            </w:hyperlink>
          </w:p>
        </w:tc>
        <w:tc>
          <w:tcPr>
            <w:tcW w:w="48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1.</w:t>
            </w:r>
          </w:p>
        </w:tc>
        <w:tc>
          <w:tcPr>
            <w:tcW w:w="9540" w:type="dxa"/>
            <w:vAlign w:val="bottom"/>
          </w:tcPr>
          <w:p>
            <w:pPr>
              <w:ind w:left="14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4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9540" w:type="dxa"/>
            <w:vAlign w:val="bottom"/>
          </w:tcPr>
          <w:p>
            <w:pPr>
              <w:ind w:left="140"/>
              <w:spacing w:after="0" w:line="175" w:lineRule="exact"/>
              <w:rPr>
                <w:sz w:val="20"/>
                <w:szCs w:val="20"/>
                <w:color w:val="auto"/>
              </w:rPr>
            </w:pPr>
            <w:r>
              <w:rPr>
                <w:rFonts w:ascii="Arial" w:cs="Arial" w:eastAsia="Arial" w:hAnsi="Arial"/>
                <w:sz w:val="18"/>
                <w:szCs w:val="18"/>
                <w:color w:val="auto"/>
                <w:w w:val="90"/>
              </w:rPr>
              <w:t>Condensed Consolidated Statements of Operations and Comprehensive Income (Unaudited) for the three and nine months ended</w:t>
            </w:r>
          </w:p>
        </w:tc>
        <w:tc>
          <w:tcPr>
            <w:tcW w:w="480" w:type="dxa"/>
            <w:vAlign w:val="bottom"/>
            <w:vMerge w:val="restart"/>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9540" w:type="dxa"/>
            <w:vAlign w:val="bottom"/>
          </w:tcPr>
          <w:p>
            <w:pPr>
              <w:ind w:left="140"/>
              <w:spacing w:after="0"/>
              <w:rPr>
                <w:sz w:val="20"/>
                <w:szCs w:val="20"/>
                <w:color w:val="auto"/>
              </w:rPr>
            </w:pPr>
            <w:r>
              <w:rPr>
                <w:rFonts w:ascii="Arial" w:cs="Arial" w:eastAsia="Arial" w:hAnsi="Arial"/>
                <w:sz w:val="18"/>
                <w:szCs w:val="18"/>
                <w:color w:val="auto"/>
              </w:rPr>
              <w:t>September 30, 2021 and 2020</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20" w:type="dxa"/>
            <w:vAlign w:val="bottom"/>
          </w:tcPr>
          <w:p>
            <w:pPr>
              <w:spacing w:after="0"/>
              <w:rPr>
                <w:sz w:val="19"/>
                <w:szCs w:val="19"/>
                <w:color w:val="auto"/>
              </w:rPr>
            </w:pPr>
          </w:p>
        </w:tc>
        <w:tc>
          <w:tcPr>
            <w:tcW w:w="9540" w:type="dxa"/>
            <w:vAlign w:val="bottom"/>
          </w:tcPr>
          <w:p>
            <w:pPr>
              <w:ind w:left="140"/>
              <w:spacing w:after="0"/>
              <w:rPr>
                <w:sz w:val="20"/>
                <w:szCs w:val="20"/>
                <w:color w:val="auto"/>
              </w:rPr>
            </w:pPr>
            <w:r>
              <w:rPr>
                <w:rFonts w:ascii="Arial" w:cs="Arial" w:eastAsia="Arial" w:hAnsi="Arial"/>
                <w:sz w:val="18"/>
                <w:szCs w:val="18"/>
                <w:color w:val="auto"/>
              </w:rPr>
              <w:t>Condensed Consolidated Balance Sheets at September 30, 2021 (Unaudited) and December 31, 2020</w:t>
            </w:r>
          </w:p>
        </w:tc>
        <w:tc>
          <w:tcPr>
            <w:tcW w:w="4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9540" w:type="dxa"/>
            <w:vAlign w:val="bottom"/>
          </w:tcPr>
          <w:p>
            <w:pPr>
              <w:ind w:left="140"/>
              <w:spacing w:after="0" w:line="175" w:lineRule="exact"/>
              <w:rPr>
                <w:rFonts w:ascii="Arial" w:cs="Arial" w:eastAsia="Arial" w:hAnsi="Arial"/>
                <w:sz w:val="18"/>
                <w:szCs w:val="18"/>
                <w:color w:val="auto"/>
                <w:w w:val="98"/>
              </w:rPr>
            </w:pPr>
            <w:hyperlink w:anchor="page4">
              <w:r>
                <w:rPr>
                  <w:rFonts w:ascii="Arial" w:cs="Arial" w:eastAsia="Arial" w:hAnsi="Arial"/>
                  <w:sz w:val="18"/>
                  <w:szCs w:val="18"/>
                  <w:color w:val="auto"/>
                  <w:w w:val="98"/>
                </w:rPr>
                <w:t xml:space="preserve">Condensed Consolidated Statements of Stockholders’ Equity </w:t>
              </w:r>
            </w:hyperlink>
            <w:r>
              <w:rPr>
                <w:rFonts w:ascii="Arial" w:cs="Arial" w:eastAsia="Arial" w:hAnsi="Arial"/>
                <w:sz w:val="18"/>
                <w:szCs w:val="18"/>
                <w:color w:val="auto"/>
                <w:w w:val="98"/>
              </w:rPr>
              <w:t>(Deficit) (Unaudited) for the three and nine months ended</w:t>
            </w:r>
          </w:p>
        </w:tc>
        <w:tc>
          <w:tcPr>
            <w:tcW w:w="480" w:type="dxa"/>
            <w:vAlign w:val="bottom"/>
            <w:vMerge w:val="restart"/>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9540" w:type="dxa"/>
            <w:vAlign w:val="bottom"/>
          </w:tcPr>
          <w:p>
            <w:pPr>
              <w:ind w:left="140"/>
              <w:spacing w:after="0"/>
              <w:rPr>
                <w:sz w:val="20"/>
                <w:szCs w:val="20"/>
                <w:color w:val="auto"/>
              </w:rPr>
            </w:pPr>
            <w:r>
              <w:rPr>
                <w:rFonts w:ascii="Arial" w:cs="Arial" w:eastAsia="Arial" w:hAnsi="Arial"/>
                <w:sz w:val="18"/>
                <w:szCs w:val="18"/>
                <w:color w:val="auto"/>
              </w:rPr>
              <w:t>September 30, 2021 and 2020</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20" w:type="dxa"/>
            <w:vAlign w:val="bottom"/>
          </w:tcPr>
          <w:p>
            <w:pPr>
              <w:spacing w:after="0"/>
              <w:rPr>
                <w:sz w:val="19"/>
                <w:szCs w:val="19"/>
                <w:color w:val="auto"/>
              </w:rPr>
            </w:pPr>
          </w:p>
        </w:tc>
        <w:tc>
          <w:tcPr>
            <w:tcW w:w="9540" w:type="dxa"/>
            <w:vAlign w:val="bottom"/>
          </w:tcPr>
          <w:p>
            <w:pPr>
              <w:ind w:left="140"/>
              <w:spacing w:after="0"/>
              <w:rPr>
                <w:sz w:val="20"/>
                <w:szCs w:val="20"/>
                <w:color w:val="auto"/>
              </w:rPr>
            </w:pPr>
            <w:r>
              <w:rPr>
                <w:rFonts w:ascii="Arial" w:cs="Arial" w:eastAsia="Arial" w:hAnsi="Arial"/>
                <w:sz w:val="18"/>
                <w:szCs w:val="18"/>
                <w:color w:val="auto"/>
                <w:w w:val="95"/>
              </w:rPr>
              <w:t>Condensed Consolidated Statements of Cash Flows (Unaudited) for the nine months ended September 30, 2021 and 2020</w:t>
            </w:r>
          </w:p>
        </w:tc>
        <w:tc>
          <w:tcPr>
            <w:tcW w:w="48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26"/>
        </w:trPr>
        <w:tc>
          <w:tcPr>
            <w:tcW w:w="1220" w:type="dxa"/>
            <w:vAlign w:val="bottom"/>
          </w:tcPr>
          <w:p>
            <w:pPr>
              <w:spacing w:after="0"/>
              <w:rPr>
                <w:sz w:val="19"/>
                <w:szCs w:val="19"/>
                <w:color w:val="auto"/>
              </w:rPr>
            </w:pPr>
          </w:p>
        </w:tc>
        <w:tc>
          <w:tcPr>
            <w:tcW w:w="9540" w:type="dxa"/>
            <w:vAlign w:val="bottom"/>
          </w:tcPr>
          <w:p>
            <w:pPr>
              <w:ind w:left="140"/>
              <w:spacing w:after="0"/>
              <w:rPr>
                <w:sz w:val="20"/>
                <w:szCs w:val="20"/>
                <w:color w:val="auto"/>
              </w:rPr>
            </w:pPr>
            <w:r>
              <w:rPr>
                <w:rFonts w:ascii="Arial" w:cs="Arial" w:eastAsia="Arial" w:hAnsi="Arial"/>
                <w:sz w:val="18"/>
                <w:szCs w:val="18"/>
                <w:color w:val="auto"/>
              </w:rPr>
              <w:t>Notes to the Condensed Consolidated Financial Statements (Unaudited)</w:t>
            </w:r>
          </w:p>
        </w:tc>
        <w:tc>
          <w:tcPr>
            <w:tcW w:w="48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2.</w:t>
            </w:r>
          </w:p>
        </w:tc>
        <w:tc>
          <w:tcPr>
            <w:tcW w:w="9540" w:type="dxa"/>
            <w:vAlign w:val="bottom"/>
          </w:tcPr>
          <w:p>
            <w:pPr>
              <w:ind w:left="140"/>
              <w:spacing w:after="0"/>
              <w:rPr>
                <w:rFonts w:ascii="Arial" w:cs="Arial" w:eastAsia="Arial" w:hAnsi="Arial"/>
                <w:sz w:val="18"/>
                <w:szCs w:val="18"/>
                <w:color w:val="auto"/>
              </w:rPr>
            </w:pPr>
            <w:hyperlink w:anchor="page26">
              <w:r>
                <w:rPr>
                  <w:rFonts w:ascii="Arial" w:cs="Arial" w:eastAsia="Arial" w:hAnsi="Arial"/>
                  <w:sz w:val="18"/>
                  <w:szCs w:val="18"/>
                  <w:color w:val="auto"/>
                </w:rPr>
                <w:t>MANAGEMENT’S DISCUSSION AND ANALYSIS OF FINANCIAL CONDITION AND RESULTS OF OPERATIONS</w:t>
              </w:r>
            </w:hyperlink>
          </w:p>
        </w:tc>
        <w:tc>
          <w:tcPr>
            <w:tcW w:w="480" w:type="dxa"/>
            <w:vAlign w:val="bottom"/>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79"/>
        </w:trPr>
        <w:tc>
          <w:tcPr>
            <w:tcW w:w="1220" w:type="dxa"/>
            <w:vAlign w:val="bottom"/>
          </w:tcPr>
          <w:p>
            <w:pPr>
              <w:ind w:left="20"/>
              <w:spacing w:after="0"/>
              <w:rPr>
                <w:sz w:val="20"/>
                <w:szCs w:val="20"/>
                <w:color w:val="auto"/>
              </w:rPr>
            </w:pPr>
            <w:r>
              <w:rPr>
                <w:rFonts w:ascii="Arial" w:cs="Arial" w:eastAsia="Arial" w:hAnsi="Arial"/>
                <w:sz w:val="18"/>
                <w:szCs w:val="18"/>
                <w:color w:val="auto"/>
              </w:rPr>
              <w:t>ITEM 3.</w:t>
            </w:r>
          </w:p>
        </w:tc>
        <w:tc>
          <w:tcPr>
            <w:tcW w:w="9540" w:type="dxa"/>
            <w:vAlign w:val="bottom"/>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QUANTITATIVE AND QUALITATIVE DISCLOSURES ABOUT MARKET RISK</w:t>
              </w:r>
            </w:hyperlink>
          </w:p>
        </w:tc>
        <w:tc>
          <w:tcPr>
            <w:tcW w:w="48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79"/>
        </w:trPr>
        <w:tc>
          <w:tcPr>
            <w:tcW w:w="1220" w:type="dxa"/>
            <w:vAlign w:val="bottom"/>
          </w:tcPr>
          <w:p>
            <w:pPr>
              <w:ind w:left="20"/>
              <w:spacing w:after="0"/>
              <w:rPr>
                <w:sz w:val="20"/>
                <w:szCs w:val="20"/>
                <w:color w:val="auto"/>
              </w:rPr>
            </w:pPr>
            <w:r>
              <w:rPr>
                <w:rFonts w:ascii="Arial" w:cs="Arial" w:eastAsia="Arial" w:hAnsi="Arial"/>
                <w:sz w:val="18"/>
                <w:szCs w:val="18"/>
                <w:color w:val="auto"/>
              </w:rPr>
              <w:t>ITEM 4.</w:t>
            </w:r>
          </w:p>
        </w:tc>
        <w:tc>
          <w:tcPr>
            <w:tcW w:w="9540" w:type="dxa"/>
            <w:vAlign w:val="bottom"/>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CONTROLS AND PROCEDURES</w:t>
              </w:r>
            </w:hyperlink>
          </w:p>
        </w:tc>
        <w:tc>
          <w:tcPr>
            <w:tcW w:w="48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491"/>
        </w:trPr>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540" w:type="dxa"/>
            <w:vAlign w:val="bottom"/>
          </w:tcPr>
          <w:p>
            <w:pPr>
              <w:ind w:left="140"/>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OTHER INFORMATION</w:t>
              </w:r>
            </w:hyperlink>
          </w:p>
        </w:tc>
        <w:tc>
          <w:tcPr>
            <w:tcW w:w="48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1.</w:t>
            </w:r>
          </w:p>
        </w:tc>
        <w:tc>
          <w:tcPr>
            <w:tcW w:w="9540" w:type="dxa"/>
            <w:vAlign w:val="bottom"/>
          </w:tcPr>
          <w:p>
            <w:pPr>
              <w:ind w:left="140"/>
              <w:spacing w:after="0"/>
              <w:rPr>
                <w:rFonts w:ascii="Arial" w:cs="Arial" w:eastAsia="Arial" w:hAnsi="Arial"/>
                <w:sz w:val="18"/>
                <w:szCs w:val="18"/>
                <w:color w:val="auto"/>
              </w:rPr>
            </w:pPr>
            <w:hyperlink w:anchor="page42">
              <w:r>
                <w:rPr>
                  <w:rFonts w:ascii="Arial" w:cs="Arial" w:eastAsia="Arial" w:hAnsi="Arial"/>
                  <w:sz w:val="18"/>
                  <w:szCs w:val="18"/>
                  <w:color w:val="auto"/>
                </w:rPr>
                <w:t>LEGAL PROCEEDINGS</w:t>
              </w:r>
            </w:hyperlink>
          </w:p>
        </w:tc>
        <w:tc>
          <w:tcPr>
            <w:tcW w:w="480" w:type="dxa"/>
            <w:vAlign w:val="bottom"/>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1A.</w:t>
            </w:r>
          </w:p>
        </w:tc>
        <w:tc>
          <w:tcPr>
            <w:tcW w:w="9540" w:type="dxa"/>
            <w:vAlign w:val="bottom"/>
          </w:tcPr>
          <w:p>
            <w:pPr>
              <w:ind w:left="140"/>
              <w:spacing w:after="0"/>
              <w:rPr>
                <w:rFonts w:ascii="Arial" w:cs="Arial" w:eastAsia="Arial" w:hAnsi="Arial"/>
                <w:sz w:val="18"/>
                <w:szCs w:val="18"/>
                <w:color w:val="auto"/>
              </w:rPr>
            </w:pPr>
            <w:hyperlink w:anchor="page43">
              <w:r>
                <w:rPr>
                  <w:rFonts w:ascii="Arial" w:cs="Arial" w:eastAsia="Arial" w:hAnsi="Arial"/>
                  <w:sz w:val="18"/>
                  <w:szCs w:val="18"/>
                  <w:color w:val="auto"/>
                </w:rPr>
                <w:t>RISK FACTORS</w:t>
              </w:r>
            </w:hyperlink>
          </w:p>
        </w:tc>
        <w:tc>
          <w:tcPr>
            <w:tcW w:w="480" w:type="dxa"/>
            <w:vAlign w:val="bottom"/>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2.</w:t>
            </w:r>
          </w:p>
        </w:tc>
        <w:tc>
          <w:tcPr>
            <w:tcW w:w="9540" w:type="dxa"/>
            <w:vAlign w:val="bottom"/>
          </w:tcPr>
          <w:p>
            <w:pPr>
              <w:ind w:left="140"/>
              <w:spacing w:after="0"/>
              <w:rPr>
                <w:rFonts w:ascii="Arial" w:cs="Arial" w:eastAsia="Arial" w:hAnsi="Arial"/>
                <w:sz w:val="18"/>
                <w:szCs w:val="18"/>
                <w:color w:val="auto"/>
              </w:rPr>
            </w:pPr>
            <w:hyperlink w:anchor="page43">
              <w:r>
                <w:rPr>
                  <w:rFonts w:ascii="Arial" w:cs="Arial" w:eastAsia="Arial" w:hAnsi="Arial"/>
                  <w:sz w:val="18"/>
                  <w:szCs w:val="18"/>
                  <w:color w:val="auto"/>
                </w:rPr>
                <w:t>UNREGISTERED SALES OF EQUITY SECURITIES AND USE OF PROCEEDS</w:t>
              </w:r>
            </w:hyperlink>
          </w:p>
        </w:tc>
        <w:tc>
          <w:tcPr>
            <w:tcW w:w="480" w:type="dxa"/>
            <w:vAlign w:val="bottom"/>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3.</w:t>
            </w:r>
          </w:p>
        </w:tc>
        <w:tc>
          <w:tcPr>
            <w:tcW w:w="9540" w:type="dxa"/>
            <w:vAlign w:val="bottom"/>
          </w:tcPr>
          <w:p>
            <w:pPr>
              <w:ind w:left="140"/>
              <w:spacing w:after="0"/>
              <w:rPr>
                <w:rFonts w:ascii="Arial" w:cs="Arial" w:eastAsia="Arial" w:hAnsi="Arial"/>
                <w:sz w:val="18"/>
                <w:szCs w:val="18"/>
                <w:color w:val="auto"/>
              </w:rPr>
            </w:pPr>
            <w:hyperlink w:anchor="page43">
              <w:r>
                <w:rPr>
                  <w:rFonts w:ascii="Arial" w:cs="Arial" w:eastAsia="Arial" w:hAnsi="Arial"/>
                  <w:sz w:val="18"/>
                  <w:szCs w:val="18"/>
                  <w:color w:val="auto"/>
                </w:rPr>
                <w:t>DEFAULTS UPON SENIOR SECURITIES</w:t>
              </w:r>
            </w:hyperlink>
          </w:p>
        </w:tc>
        <w:tc>
          <w:tcPr>
            <w:tcW w:w="480" w:type="dxa"/>
            <w:vAlign w:val="bottom"/>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4.</w:t>
            </w:r>
          </w:p>
        </w:tc>
        <w:tc>
          <w:tcPr>
            <w:tcW w:w="9540" w:type="dxa"/>
            <w:vAlign w:val="bottom"/>
          </w:tcPr>
          <w:p>
            <w:pPr>
              <w:ind w:left="140"/>
              <w:spacing w:after="0"/>
              <w:rPr>
                <w:rFonts w:ascii="Arial" w:cs="Arial" w:eastAsia="Arial" w:hAnsi="Arial"/>
                <w:sz w:val="18"/>
                <w:szCs w:val="18"/>
                <w:color w:val="auto"/>
              </w:rPr>
            </w:pPr>
            <w:hyperlink w:anchor="page43">
              <w:r>
                <w:rPr>
                  <w:rFonts w:ascii="Arial" w:cs="Arial" w:eastAsia="Arial" w:hAnsi="Arial"/>
                  <w:sz w:val="18"/>
                  <w:szCs w:val="18"/>
                  <w:color w:val="auto"/>
                </w:rPr>
                <w:t>MINE SAFETY DISCLOSURES</w:t>
              </w:r>
            </w:hyperlink>
          </w:p>
        </w:tc>
        <w:tc>
          <w:tcPr>
            <w:tcW w:w="480" w:type="dxa"/>
            <w:vAlign w:val="bottom"/>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66"/>
        </w:trPr>
        <w:tc>
          <w:tcPr>
            <w:tcW w:w="1220" w:type="dxa"/>
            <w:vAlign w:val="bottom"/>
          </w:tcPr>
          <w:p>
            <w:pPr>
              <w:ind w:left="20"/>
              <w:spacing w:after="0"/>
              <w:rPr>
                <w:sz w:val="20"/>
                <w:szCs w:val="20"/>
                <w:color w:val="auto"/>
              </w:rPr>
            </w:pPr>
            <w:r>
              <w:rPr>
                <w:rFonts w:ascii="Arial" w:cs="Arial" w:eastAsia="Arial" w:hAnsi="Arial"/>
                <w:sz w:val="18"/>
                <w:szCs w:val="18"/>
                <w:color w:val="auto"/>
              </w:rPr>
              <w:t>ITEM 6.</w:t>
            </w:r>
          </w:p>
        </w:tc>
        <w:tc>
          <w:tcPr>
            <w:tcW w:w="9540" w:type="dxa"/>
            <w:vAlign w:val="bottom"/>
          </w:tcPr>
          <w:p>
            <w:pPr>
              <w:ind w:left="140"/>
              <w:spacing w:after="0"/>
              <w:rPr>
                <w:rFonts w:ascii="Arial" w:cs="Arial" w:eastAsia="Arial" w:hAnsi="Arial"/>
                <w:sz w:val="18"/>
                <w:szCs w:val="18"/>
                <w:color w:val="auto"/>
              </w:rPr>
            </w:pPr>
            <w:hyperlink w:anchor="page44">
              <w:r>
                <w:rPr>
                  <w:rFonts w:ascii="Arial" w:cs="Arial" w:eastAsia="Arial" w:hAnsi="Arial"/>
                  <w:sz w:val="18"/>
                  <w:szCs w:val="18"/>
                  <w:color w:val="auto"/>
                </w:rPr>
                <w:t>EXHIBITS</w:t>
              </w:r>
            </w:hyperlink>
          </w:p>
        </w:tc>
        <w:tc>
          <w:tcPr>
            <w:tcW w:w="480" w:type="dxa"/>
            <w:vAlign w:val="bottom"/>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491"/>
        </w:trPr>
        <w:tc>
          <w:tcPr>
            <w:tcW w:w="1220" w:type="dxa"/>
            <w:vAlign w:val="bottom"/>
          </w:tcPr>
          <w:p>
            <w:pPr>
              <w:ind w:left="20"/>
              <w:spacing w:after="0"/>
              <w:rPr>
                <w:rFonts w:ascii="Arial" w:cs="Arial" w:eastAsia="Arial" w:hAnsi="Arial"/>
                <w:sz w:val="18"/>
                <w:szCs w:val="18"/>
                <w:color w:val="auto"/>
              </w:rPr>
            </w:pPr>
            <w:hyperlink w:anchor="page44">
              <w:r>
                <w:rPr>
                  <w:rFonts w:ascii="Arial" w:cs="Arial" w:eastAsia="Arial" w:hAnsi="Arial"/>
                  <w:sz w:val="18"/>
                  <w:szCs w:val="18"/>
                  <w:color w:val="auto"/>
                </w:rPr>
                <w:t>SIGNATURES</w:t>
              </w:r>
            </w:hyperlink>
          </w:p>
        </w:tc>
        <w:tc>
          <w:tcPr>
            <w:tcW w:w="9540" w:type="dxa"/>
            <w:vAlign w:val="bottom"/>
          </w:tcPr>
          <w:p>
            <w:pPr>
              <w:spacing w:after="0"/>
              <w:rPr>
                <w:sz w:val="24"/>
                <w:szCs w:val="24"/>
                <w:color w:val="auto"/>
              </w:rPr>
            </w:pPr>
          </w:p>
        </w:tc>
        <w:tc>
          <w:tcPr>
            <w:tcW w:w="480" w:type="dxa"/>
            <w:vAlign w:val="bottom"/>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1004"/>
        </w:trPr>
        <w:tc>
          <w:tcPr>
            <w:tcW w:w="122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PART I. FINANCIAL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1"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ACCEL ENTERTAINMENT, INC.</w:t>
      </w:r>
    </w:p>
    <w:p>
      <w:pPr>
        <w:spacing w:after="0" w:line="45"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45"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1500" w:type="dxa"/>
            <w:vAlign w:val="bottom"/>
            <w:gridSpan w:val="4"/>
          </w:tcPr>
          <w:p>
            <w:pPr>
              <w:ind w:left="6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080" w:type="dxa"/>
            <w:vAlign w:val="bottom"/>
            <w:vMerge w:val="restart"/>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140" w:type="dxa"/>
            <w:vAlign w:val="bottom"/>
            <w:gridSpan w:val="4"/>
          </w:tcPr>
          <w:p>
            <w:pPr>
              <w:jc w:val="right"/>
              <w:ind w:right="352"/>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6"/>
        </w:trPr>
        <w:tc>
          <w:tcPr>
            <w:tcW w:w="40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140" w:type="dxa"/>
            <w:vAlign w:val="bottom"/>
            <w:gridSpan w:val="4"/>
          </w:tcPr>
          <w:p>
            <w:pPr>
              <w:jc w:val="right"/>
              <w:ind w:right="572"/>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2"/>
        </w:trPr>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(As Restated)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6"/>
                <w:szCs w:val="16"/>
                <w:b w:val="1"/>
                <w:bCs w:val="1"/>
                <w:color w:val="auto"/>
                <w:w w:val="87"/>
              </w:rPr>
              <w:t>(As Restated)</w:t>
            </w: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gaming</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186,017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129,635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520,915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231,210</w:t>
            </w:r>
          </w:p>
        </w:tc>
        <w:tc>
          <w:tcPr>
            <w:tcW w:w="0" w:type="dxa"/>
            <w:vAlign w:val="bottom"/>
          </w:tcPr>
          <w:p>
            <w:pPr>
              <w:spacing w:after="0"/>
              <w:rPr>
                <w:sz w:val="1"/>
                <w:szCs w:val="1"/>
                <w:color w:val="auto"/>
              </w:rPr>
            </w:pPr>
          </w:p>
        </w:tc>
      </w:tr>
      <w:tr>
        <w:trPr>
          <w:trHeight w:val="252"/>
        </w:trPr>
        <w:tc>
          <w:tcPr>
            <w:tcW w:w="4080" w:type="dxa"/>
            <w:vAlign w:val="bottom"/>
          </w:tcPr>
          <w:p>
            <w:pPr>
              <w:ind w:left="440"/>
              <w:spacing w:after="0"/>
              <w:rPr>
                <w:sz w:val="20"/>
                <w:szCs w:val="20"/>
                <w:color w:val="auto"/>
              </w:rPr>
            </w:pPr>
            <w:r>
              <w:rPr>
                <w:rFonts w:ascii="Arial" w:cs="Arial" w:eastAsia="Arial" w:hAnsi="Arial"/>
                <w:sz w:val="18"/>
                <w:szCs w:val="18"/>
                <w:color w:val="auto"/>
              </w:rPr>
              <w:t>Amusement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12,338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6,123</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ATM fees and other revenue</w:t>
            </w:r>
          </w:p>
        </w:tc>
        <w:tc>
          <w:tcPr>
            <w:tcW w:w="2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32"/>
        </w:trPr>
        <w:tc>
          <w:tcPr>
            <w:tcW w:w="408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Total net revenues</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193,351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135,097</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542,394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241,939</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80" w:type="dxa"/>
            <w:vAlign w:val="bottom"/>
          </w:tcPr>
          <w:p>
            <w:pPr>
              <w:ind w:left="440"/>
              <w:spacing w:after="0" w:line="187" w:lineRule="exact"/>
              <w:rPr>
                <w:sz w:val="20"/>
                <w:szCs w:val="20"/>
                <w:color w:val="auto"/>
              </w:rPr>
            </w:pPr>
            <w:r>
              <w:rPr>
                <w:rFonts w:ascii="Arial" w:cs="Arial" w:eastAsia="Arial" w:hAnsi="Arial"/>
                <w:sz w:val="18"/>
                <w:szCs w:val="18"/>
                <w:color w:val="auto"/>
                <w:w w:val="97"/>
              </w:rPr>
              <w:t>Cost of revenue (exclusive of depreciation and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129,739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90,556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364,402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161,795</w:t>
            </w:r>
          </w:p>
        </w:tc>
        <w:tc>
          <w:tcPr>
            <w:tcW w:w="0" w:type="dxa"/>
            <w:vAlign w:val="bottom"/>
          </w:tcPr>
          <w:p>
            <w:pPr>
              <w:spacing w:after="0"/>
              <w:rPr>
                <w:sz w:val="1"/>
                <w:szCs w:val="1"/>
                <w:color w:val="auto"/>
              </w:rPr>
            </w:pPr>
          </w:p>
        </w:tc>
      </w:tr>
      <w:tr>
        <w:trPr>
          <w:trHeight w:val="224"/>
        </w:trPr>
        <w:tc>
          <w:tcPr>
            <w:tcW w:w="4080" w:type="dxa"/>
            <w:vAlign w:val="bottom"/>
          </w:tcPr>
          <w:p>
            <w:pPr>
              <w:ind w:left="440"/>
              <w:spacing w:after="0"/>
              <w:rPr>
                <w:sz w:val="20"/>
                <w:szCs w:val="20"/>
                <w:color w:val="auto"/>
              </w:rPr>
            </w:pPr>
            <w:r>
              <w:rPr>
                <w:rFonts w:ascii="Arial" w:cs="Arial" w:eastAsia="Arial" w:hAnsi="Arial"/>
                <w:sz w:val="18"/>
                <w:szCs w:val="18"/>
                <w:color w:val="auto"/>
              </w:rPr>
              <w:t>amortization expense shown below)</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55,061</w:t>
            </w:r>
          </w:p>
        </w:tc>
        <w:tc>
          <w:tcPr>
            <w:tcW w:w="0" w:type="dxa"/>
            <w:vAlign w:val="bottom"/>
          </w:tcPr>
          <w:p>
            <w:pPr>
              <w:spacing w:after="0"/>
              <w:rPr>
                <w:sz w:val="1"/>
                <w:szCs w:val="1"/>
                <w:color w:val="auto"/>
              </w:rPr>
            </w:pPr>
          </w:p>
        </w:tc>
      </w:tr>
      <w:tr>
        <w:trPr>
          <w:trHeight w:val="174"/>
        </w:trPr>
        <w:tc>
          <w:tcPr>
            <w:tcW w:w="4080" w:type="dxa"/>
            <w:vAlign w:val="bottom"/>
          </w:tcPr>
          <w:p>
            <w:pPr>
              <w:ind w:left="440"/>
              <w:spacing w:after="0" w:line="174" w:lineRule="exact"/>
              <w:rPr>
                <w:sz w:val="20"/>
                <w:szCs w:val="20"/>
                <w:color w:val="auto"/>
              </w:rPr>
            </w:pPr>
            <w:r>
              <w:rPr>
                <w:rFonts w:ascii="Arial" w:cs="Arial" w:eastAsia="Arial" w:hAnsi="Arial"/>
                <w:sz w:val="18"/>
                <w:szCs w:val="18"/>
                <w:color w:val="auto"/>
                <w:w w:val="99"/>
              </w:rPr>
              <w:t>Depreciation and amortization of property and</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6,518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5,361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18,820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15,299</w:t>
            </w:r>
          </w:p>
        </w:tc>
        <w:tc>
          <w:tcPr>
            <w:tcW w:w="0" w:type="dxa"/>
            <w:vAlign w:val="bottom"/>
          </w:tcPr>
          <w:p>
            <w:pPr>
              <w:spacing w:after="0"/>
              <w:rPr>
                <w:sz w:val="1"/>
                <w:szCs w:val="1"/>
                <w:color w:val="auto"/>
              </w:rPr>
            </w:pPr>
          </w:p>
        </w:tc>
      </w:tr>
      <w:tr>
        <w:trPr>
          <w:trHeight w:val="224"/>
        </w:trPr>
        <w:tc>
          <w:tcPr>
            <w:tcW w:w="4080" w:type="dxa"/>
            <w:vAlign w:val="bottom"/>
          </w:tcPr>
          <w:p>
            <w:pPr>
              <w:ind w:left="440"/>
              <w:spacing w:after="0"/>
              <w:rPr>
                <w:sz w:val="20"/>
                <w:szCs w:val="20"/>
                <w:color w:val="auto"/>
              </w:rPr>
            </w:pPr>
            <w:r>
              <w:rPr>
                <w:rFonts w:ascii="Arial" w:cs="Arial" w:eastAsia="Arial" w:hAnsi="Arial"/>
                <w:sz w:val="18"/>
                <w:szCs w:val="18"/>
                <w:color w:val="auto"/>
              </w:rPr>
              <w:t>equipment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560" w:type="dxa"/>
            <w:vAlign w:val="bottom"/>
            <w:gridSpan w:val="3"/>
            <w:shd w:val="clear" w:color="auto" w:fill="CCEEFF"/>
          </w:tcPr>
          <w:p>
            <w:pPr>
              <w:ind w:left="440"/>
              <w:spacing w:after="0" w:line="188" w:lineRule="exact"/>
              <w:rPr>
                <w:sz w:val="20"/>
                <w:szCs w:val="20"/>
                <w:color w:val="auto"/>
              </w:rPr>
            </w:pPr>
            <w:r>
              <w:rPr>
                <w:rFonts w:ascii="Arial" w:cs="Arial" w:eastAsia="Arial" w:hAnsi="Arial"/>
                <w:sz w:val="18"/>
                <w:szCs w:val="18"/>
                <w:color w:val="auto"/>
                <w:w w:val="98"/>
              </w:rPr>
              <w:t>Amortization of route and customer acquisition costs</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18,489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and location contracts acquired</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expenses, net</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174,704</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126,113</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489,265</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254,652</w:t>
            </w:r>
          </w:p>
        </w:tc>
        <w:tc>
          <w:tcPr>
            <w:tcW w:w="0" w:type="dxa"/>
            <w:vAlign w:val="bottom"/>
          </w:tcPr>
          <w:p>
            <w:pPr>
              <w:spacing w:after="0"/>
              <w:rPr>
                <w:sz w:val="1"/>
                <w:szCs w:val="1"/>
                <w:color w:val="auto"/>
              </w:rPr>
            </w:pPr>
          </w:p>
        </w:tc>
      </w:tr>
      <w:tr>
        <w:trPr>
          <w:trHeight w:val="232"/>
        </w:trPr>
        <w:tc>
          <w:tcPr>
            <w:tcW w:w="4080" w:type="dxa"/>
            <w:vAlign w:val="bottom"/>
          </w:tcPr>
          <w:p>
            <w:pPr>
              <w:ind w:left="84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8,984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53,129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(12,713)</w:t>
            </w: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0" w:type="dxa"/>
            <w:vAlign w:val="bottom"/>
          </w:tcPr>
          <w:p>
            <w:pPr>
              <w:spacing w:after="0"/>
              <w:rPr>
                <w:sz w:val="1"/>
                <w:szCs w:val="1"/>
                <w:color w:val="auto"/>
              </w:rPr>
            </w:pPr>
          </w:p>
        </w:tc>
      </w:tr>
      <w:tr>
        <w:trPr>
          <w:trHeight w:val="174"/>
        </w:trPr>
        <w:tc>
          <w:tcPr>
            <w:tcW w:w="4080" w:type="dxa"/>
            <w:vAlign w:val="bottom"/>
          </w:tcPr>
          <w:p>
            <w:pPr>
              <w:spacing w:after="0" w:line="174" w:lineRule="exact"/>
              <w:rPr>
                <w:sz w:val="20"/>
                <w:szCs w:val="20"/>
                <w:color w:val="auto"/>
              </w:rPr>
            </w:pPr>
            <w:r>
              <w:rPr>
                <w:rFonts w:ascii="Arial" w:cs="Arial" w:eastAsia="Arial" w:hAnsi="Arial"/>
                <w:sz w:val="18"/>
                <w:szCs w:val="18"/>
                <w:color w:val="auto"/>
                <w:w w:val="90"/>
              </w:rPr>
              <w:t>Loss (gain) on change in fair value of contingent earnout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3,599</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6,867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(6,633)</w:t>
            </w:r>
          </w:p>
        </w:tc>
        <w:tc>
          <w:tcPr>
            <w:tcW w:w="0" w:type="dxa"/>
            <w:vAlign w:val="bottom"/>
          </w:tcPr>
          <w:p>
            <w:pPr>
              <w:spacing w:after="0"/>
              <w:rPr>
                <w:sz w:val="1"/>
                <w:szCs w:val="1"/>
                <w:color w:val="auto"/>
              </w:rPr>
            </w:pPr>
          </w:p>
        </w:tc>
      </w:tr>
      <w:tr>
        <w:trPr>
          <w:trHeight w:val="224"/>
        </w:trPr>
        <w:tc>
          <w:tcPr>
            <w:tcW w:w="4080" w:type="dxa"/>
            <w:vAlign w:val="bottom"/>
          </w:tcPr>
          <w:p>
            <w:pPr>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Loss (gain) on change in fair value of warrants</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0" w:type="dxa"/>
            <w:vAlign w:val="bottom"/>
          </w:tcPr>
          <w:p>
            <w:pPr>
              <w:spacing w:after="0"/>
              <w:rPr>
                <w:sz w:val="1"/>
                <w:szCs w:val="1"/>
                <w:color w:val="auto"/>
              </w:rPr>
            </w:pPr>
          </w:p>
        </w:tc>
      </w:tr>
      <w:tr>
        <w:trPr>
          <w:trHeight w:val="153"/>
        </w:trPr>
        <w:tc>
          <w:tcPr>
            <w:tcW w:w="4080" w:type="dxa"/>
            <w:vAlign w:val="bottom"/>
          </w:tcPr>
          <w:p>
            <w:pPr>
              <w:ind w:left="840"/>
              <w:spacing w:after="0" w:line="153" w:lineRule="exact"/>
              <w:rPr>
                <w:sz w:val="20"/>
                <w:szCs w:val="20"/>
                <w:color w:val="auto"/>
              </w:rPr>
            </w:pPr>
            <w:r>
              <w:rPr>
                <w:rFonts w:ascii="Arial" w:cs="Arial" w:eastAsia="Arial" w:hAnsi="Arial"/>
                <w:sz w:val="17"/>
                <w:szCs w:val="17"/>
                <w:b w:val="1"/>
                <w:bCs w:val="1"/>
                <w:color w:val="auto"/>
                <w:w w:val="96"/>
              </w:rPr>
              <w:t>Income (loss) before income tax expense</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14,743</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36,526</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26"/>
        </w:trPr>
        <w:tc>
          <w:tcPr>
            <w:tcW w:w="4080" w:type="dxa"/>
            <w:vAlign w:val="bottom"/>
          </w:tcPr>
          <w:p>
            <w:pPr>
              <w:ind w:left="840"/>
              <w:spacing w:after="0"/>
              <w:rPr>
                <w:sz w:val="20"/>
                <w:szCs w:val="20"/>
                <w:color w:val="auto"/>
              </w:rPr>
            </w:pPr>
            <w:r>
              <w:rPr>
                <w:rFonts w:ascii="Arial" w:cs="Arial" w:eastAsia="Arial" w:hAnsi="Arial"/>
                <w:sz w:val="18"/>
                <w:szCs w:val="18"/>
                <w:b w:val="1"/>
                <w:bCs w:val="1"/>
                <w:color w:val="auto"/>
              </w:rPr>
              <w:t>(benefit)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11,773</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(11,788)</w:t>
            </w:r>
          </w:p>
        </w:tc>
        <w:tc>
          <w:tcPr>
            <w:tcW w:w="0" w:type="dxa"/>
            <w:vAlign w:val="bottom"/>
          </w:tcPr>
          <w:p>
            <w:pPr>
              <w:spacing w:after="0"/>
              <w:rPr>
                <w:sz w:val="1"/>
                <w:szCs w:val="1"/>
                <w:color w:val="auto"/>
              </w:rPr>
            </w:pPr>
          </w:p>
        </w:tc>
      </w:tr>
      <w:tr>
        <w:trPr>
          <w:trHeight w:val="220"/>
        </w:trPr>
        <w:tc>
          <w:tcPr>
            <w:tcW w:w="4080" w:type="dxa"/>
            <w:vAlign w:val="bottom"/>
          </w:tcPr>
          <w:p>
            <w:pPr>
              <w:ind w:left="840"/>
              <w:spacing w:after="0"/>
              <w:rPr>
                <w:sz w:val="20"/>
                <w:szCs w:val="20"/>
                <w:color w:val="auto"/>
              </w:rPr>
            </w:pPr>
            <w:r>
              <w:rPr>
                <w:rFonts w:ascii="Arial" w:cs="Arial" w:eastAsia="Arial" w:hAnsi="Arial"/>
                <w:sz w:val="18"/>
                <w:szCs w:val="18"/>
                <w:b w:val="1"/>
                <w:bCs w:val="1"/>
                <w:color w:val="auto"/>
              </w:rPr>
              <w:t>Net income</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10,807</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6,835</w:t>
            </w:r>
          </w:p>
        </w:tc>
        <w:tc>
          <w:tcPr>
            <w:tcW w:w="14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24,753</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8,110</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80" w:type="dxa"/>
            <w:vAlign w:val="bottom"/>
          </w:tcPr>
          <w:p>
            <w:pPr>
              <w:ind w:left="44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52"/>
        </w:trPr>
        <w:tc>
          <w:tcPr>
            <w:tcW w:w="4080" w:type="dxa"/>
            <w:vAlign w:val="bottom"/>
          </w:tcPr>
          <w:p>
            <w:pPr>
              <w:spacing w:after="0"/>
              <w:rPr>
                <w:sz w:val="20"/>
                <w:szCs w:val="20"/>
                <w:color w:val="auto"/>
              </w:rPr>
            </w:pPr>
            <w:r>
              <w:rPr>
                <w:rFonts w:ascii="Arial" w:cs="Arial" w:eastAsia="Arial" w:hAnsi="Arial"/>
                <w:sz w:val="18"/>
                <w:szCs w:val="18"/>
                <w:b w:val="1"/>
                <w:bCs w:val="1"/>
                <w:color w:val="auto"/>
                <w:w w:val="95"/>
              </w:rPr>
              <w:t>Weighted average number of shares outstanding:</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79,708</w:t>
            </w:r>
          </w:p>
        </w:tc>
        <w:tc>
          <w:tcPr>
            <w:tcW w:w="0" w:type="dxa"/>
            <w:vAlign w:val="bottom"/>
          </w:tcPr>
          <w:p>
            <w:pPr>
              <w:spacing w:after="0"/>
              <w:rPr>
                <w:sz w:val="1"/>
                <w:szCs w:val="1"/>
                <w:color w:val="auto"/>
              </w:rPr>
            </w:pPr>
          </w:p>
        </w:tc>
      </w:tr>
      <w:tr>
        <w:trPr>
          <w:trHeight w:val="252"/>
        </w:trPr>
        <w:tc>
          <w:tcPr>
            <w:tcW w:w="4080" w:type="dxa"/>
            <w:vAlign w:val="bottom"/>
          </w:tcPr>
          <w:p>
            <w:pPr>
              <w:ind w:left="4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94,728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83,560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94,469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80,578</w:t>
            </w: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4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0" w:type="dxa"/>
            <w:vAlign w:val="bottom"/>
          </w:tcPr>
          <w:p>
            <w:pPr>
              <w:spacing w:after="0"/>
              <w:rPr>
                <w:sz w:val="1"/>
                <w:szCs w:val="1"/>
                <w:color w:val="auto"/>
              </w:rPr>
            </w:pPr>
          </w:p>
        </w:tc>
      </w:tr>
      <w:tr>
        <w:trPr>
          <w:trHeight w:val="227"/>
        </w:trPr>
        <w:tc>
          <w:tcPr>
            <w:tcW w:w="4080" w:type="dxa"/>
            <w:vAlign w:val="bottom"/>
          </w:tcPr>
          <w:p>
            <w:pPr>
              <w:ind w:left="400"/>
              <w:spacing w:after="0"/>
              <w:rPr>
                <w:sz w:val="20"/>
                <w:szCs w:val="20"/>
                <w:color w:val="auto"/>
              </w:rPr>
            </w:pPr>
            <w:r>
              <w:rPr>
                <w:rFonts w:ascii="Arial" w:cs="Arial" w:eastAsia="Arial" w:hAnsi="Arial"/>
                <w:sz w:val="18"/>
                <w:szCs w:val="18"/>
                <w:color w:val="auto"/>
                <w:w w:val="91"/>
              </w:rPr>
              <w:t>Unrealized (loss) gain on investment in convertible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80" w:type="dxa"/>
            <w:vAlign w:val="bottom"/>
          </w:tcPr>
          <w:p>
            <w:pPr>
              <w:ind w:left="400"/>
              <w:spacing w:after="0"/>
              <w:rPr>
                <w:sz w:val="20"/>
                <w:szCs w:val="20"/>
                <w:color w:val="auto"/>
              </w:rPr>
            </w:pPr>
            <w:r>
              <w:rPr>
                <w:rFonts w:ascii="Arial" w:cs="Arial" w:eastAsia="Arial" w:hAnsi="Arial"/>
                <w:sz w:val="18"/>
                <w:szCs w:val="18"/>
                <w:color w:val="auto"/>
                <w:w w:val="94"/>
              </w:rPr>
              <w:t>notes (net of income taxes of $(126) and $2,135,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0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9"/>
        </w:trPr>
        <w:tc>
          <w:tcPr>
            <w:tcW w:w="40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Comprehensive income</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See Note 2 for impact of restatement</w:t>
      </w:r>
    </w:p>
    <w:p>
      <w:pPr>
        <w:spacing w:after="0" w:line="311" w:lineRule="exact"/>
        <w:rPr>
          <w:sz w:val="20"/>
          <w:szCs w:val="20"/>
          <w:color w:val="auto"/>
        </w:rPr>
      </w:pPr>
    </w:p>
    <w:p>
      <w:pPr>
        <w:ind w:left="228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0240"/>
          </w:cols>
          <w:pgMar w:left="320" w:top="12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40"/>
          </w:cols>
          <w:pgMar w:left="320" w:top="127" w:right="1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ACCEL ENTERTAINMENT, INC.</w:t>
      </w:r>
    </w:p>
    <w:p>
      <w:pPr>
        <w:spacing w:after="0" w:line="23"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6"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6460" w:type="dxa"/>
            <w:vAlign w:val="bottom"/>
          </w:tcPr>
          <w:p>
            <w:pPr>
              <w:spacing w:after="0"/>
              <w:rPr>
                <w:sz w:val="20"/>
                <w:szCs w:val="20"/>
                <w:color w:val="auto"/>
              </w:rPr>
            </w:pPr>
            <w:r>
              <w:rPr>
                <w:rFonts w:ascii="Arial" w:cs="Arial" w:eastAsia="Arial" w:hAnsi="Arial"/>
                <w:sz w:val="14"/>
                <w:szCs w:val="14"/>
                <w:color w:val="auto"/>
              </w:rPr>
              <w:t>(In thousands, except par value and share amounts)</w:t>
            </w:r>
          </w:p>
        </w:tc>
        <w:tc>
          <w:tcPr>
            <w:tcW w:w="14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6"/>
                <w:szCs w:val="16"/>
                <w:color w:val="auto"/>
              </w:rPr>
            </w:pPr>
          </w:p>
        </w:tc>
        <w:tc>
          <w:tcPr>
            <w:tcW w:w="114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18"/>
        </w:trPr>
        <w:tc>
          <w:tcPr>
            <w:tcW w:w="6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1"/>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center"/>
              <w:ind w:right="89"/>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ind w:right="109"/>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179,883</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134,451</w:t>
            </w:r>
          </w:p>
        </w:tc>
        <w:tc>
          <w:tcPr>
            <w:tcW w:w="0" w:type="dxa"/>
            <w:vAlign w:val="bottom"/>
          </w:tcPr>
          <w:p>
            <w:pPr>
              <w:spacing w:after="0"/>
              <w:rPr>
                <w:sz w:val="1"/>
                <w:szCs w:val="1"/>
                <w:color w:val="auto"/>
              </w:rPr>
            </w:pPr>
          </w:p>
        </w:tc>
      </w:tr>
      <w:tr>
        <w:trPr>
          <w:trHeight w:val="188"/>
        </w:trPr>
        <w:tc>
          <w:tcPr>
            <w:tcW w:w="6460" w:type="dxa"/>
            <w:vAlign w:val="bottom"/>
          </w:tcPr>
          <w:p>
            <w:pPr>
              <w:ind w:left="440"/>
              <w:spacing w:after="0"/>
              <w:rPr>
                <w:sz w:val="20"/>
                <w:szCs w:val="20"/>
                <w:color w:val="auto"/>
              </w:rPr>
            </w:pPr>
            <w:r>
              <w:rPr>
                <w:rFonts w:ascii="Arial" w:cs="Arial" w:eastAsia="Arial" w:hAnsi="Arial"/>
                <w:sz w:val="14"/>
                <w:szCs w:val="14"/>
                <w:color w:val="auto"/>
              </w:rPr>
              <w:t>Prepaid expenses</w:t>
            </w:r>
          </w:p>
        </w:tc>
        <w:tc>
          <w:tcPr>
            <w:tcW w:w="14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5,655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5,549</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Income taxes receivable</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723</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3,341</w:t>
            </w:r>
          </w:p>
        </w:tc>
        <w:tc>
          <w:tcPr>
            <w:tcW w:w="0" w:type="dxa"/>
            <w:vAlign w:val="bottom"/>
          </w:tcPr>
          <w:p>
            <w:pPr>
              <w:spacing w:after="0"/>
              <w:rPr>
                <w:sz w:val="1"/>
                <w:szCs w:val="1"/>
                <w:color w:val="auto"/>
              </w:rPr>
            </w:pPr>
          </w:p>
        </w:tc>
      </w:tr>
      <w:tr>
        <w:trPr>
          <w:trHeight w:val="188"/>
        </w:trPr>
        <w:tc>
          <w:tcPr>
            <w:tcW w:w="6460" w:type="dxa"/>
            <w:vAlign w:val="bottom"/>
          </w:tcPr>
          <w:p>
            <w:pPr>
              <w:ind w:left="440"/>
              <w:spacing w:after="0"/>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11,960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8,643</w:t>
            </w:r>
          </w:p>
        </w:tc>
        <w:tc>
          <w:tcPr>
            <w:tcW w:w="0" w:type="dxa"/>
            <w:vAlign w:val="bottom"/>
          </w:tcPr>
          <w:p>
            <w:pPr>
              <w:spacing w:after="0"/>
              <w:rPr>
                <w:sz w:val="1"/>
                <w:szCs w:val="1"/>
                <w:color w:val="auto"/>
              </w:rPr>
            </w:pPr>
          </w:p>
        </w:tc>
      </w:tr>
      <w:tr>
        <w:trPr>
          <w:trHeight w:val="24"/>
        </w:trPr>
        <w:tc>
          <w:tcPr>
            <w:tcW w:w="6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4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Total current assets</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198,221</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151,984</w:t>
            </w:r>
          </w:p>
        </w:tc>
        <w:tc>
          <w:tcPr>
            <w:tcW w:w="0" w:type="dxa"/>
            <w:vAlign w:val="bottom"/>
          </w:tcPr>
          <w:p>
            <w:pPr>
              <w:spacing w:after="0"/>
              <w:rPr>
                <w:sz w:val="1"/>
                <w:szCs w:val="1"/>
                <w:color w:val="auto"/>
              </w:rPr>
            </w:pPr>
          </w:p>
        </w:tc>
      </w:tr>
      <w:tr>
        <w:trPr>
          <w:trHeight w:val="181"/>
        </w:trPr>
        <w:tc>
          <w:tcPr>
            <w:tcW w:w="64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147,687</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143,565</w:t>
            </w:r>
          </w:p>
        </w:tc>
        <w:tc>
          <w:tcPr>
            <w:tcW w:w="0" w:type="dxa"/>
            <w:vAlign w:val="bottom"/>
          </w:tcPr>
          <w:p>
            <w:pPr>
              <w:spacing w:after="0"/>
              <w:rPr>
                <w:sz w:val="1"/>
                <w:szCs w:val="1"/>
                <w:color w:val="auto"/>
              </w:rPr>
            </w:pPr>
          </w:p>
        </w:tc>
      </w:tr>
      <w:tr>
        <w:trPr>
          <w:trHeight w:val="24"/>
        </w:trPr>
        <w:tc>
          <w:tcPr>
            <w:tcW w:w="6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60" w:type="dxa"/>
            <w:vAlign w:val="bottom"/>
          </w:tcPr>
          <w:p>
            <w:pPr>
              <w:ind w:left="440"/>
              <w:spacing w:after="0"/>
              <w:rPr>
                <w:sz w:val="20"/>
                <w:szCs w:val="20"/>
                <w:color w:val="auto"/>
              </w:rPr>
            </w:pPr>
            <w:r>
              <w:rPr>
                <w:rFonts w:ascii="Arial" w:cs="Arial" w:eastAsia="Arial" w:hAnsi="Arial"/>
                <w:sz w:val="14"/>
                <w:szCs w:val="14"/>
                <w:color w:val="auto"/>
              </w:rPr>
              <w:t>Route and customer acquisition costs, net</w:t>
            </w:r>
          </w:p>
        </w:tc>
        <w:tc>
          <w:tcPr>
            <w:tcW w:w="14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15,658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15,251</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Location contracts acquired, net</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152,344</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167,734</w:t>
            </w:r>
          </w:p>
        </w:tc>
        <w:tc>
          <w:tcPr>
            <w:tcW w:w="0" w:type="dxa"/>
            <w:vAlign w:val="bottom"/>
          </w:tcPr>
          <w:p>
            <w:pPr>
              <w:spacing w:after="0"/>
              <w:rPr>
                <w:sz w:val="1"/>
                <w:szCs w:val="1"/>
                <w:color w:val="auto"/>
              </w:rPr>
            </w:pPr>
          </w:p>
        </w:tc>
      </w:tr>
      <w:tr>
        <w:trPr>
          <w:trHeight w:val="188"/>
        </w:trPr>
        <w:tc>
          <w:tcPr>
            <w:tcW w:w="6460" w:type="dxa"/>
            <w:vAlign w:val="bottom"/>
          </w:tcPr>
          <w:p>
            <w:pPr>
              <w:ind w:left="44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45,754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45,754</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4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Investment in convertible notes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37,622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30,129</w:t>
            </w:r>
          </w:p>
        </w:tc>
        <w:tc>
          <w:tcPr>
            <w:tcW w:w="0" w:type="dxa"/>
            <w:vAlign w:val="bottom"/>
          </w:tcPr>
          <w:p>
            <w:pPr>
              <w:spacing w:after="0"/>
              <w:rPr>
                <w:sz w:val="1"/>
                <w:szCs w:val="1"/>
                <w:color w:val="auto"/>
              </w:rPr>
            </w:pPr>
          </w:p>
        </w:tc>
      </w:tr>
      <w:tr>
        <w:trPr>
          <w:trHeight w:val="188"/>
        </w:trPr>
        <w:tc>
          <w:tcPr>
            <w:tcW w:w="6460" w:type="dxa"/>
            <w:vAlign w:val="bottom"/>
          </w:tcPr>
          <w:p>
            <w:pPr>
              <w:ind w:left="440"/>
              <w:spacing w:after="0"/>
              <w:rPr>
                <w:sz w:val="20"/>
                <w:szCs w:val="20"/>
                <w:color w:val="auto"/>
              </w:rPr>
            </w:pPr>
            <w:r>
              <w:rPr>
                <w:rFonts w:ascii="Arial" w:cs="Arial" w:eastAsia="Arial" w:hAnsi="Arial"/>
                <w:sz w:val="14"/>
                <w:szCs w:val="14"/>
                <w:color w:val="auto"/>
              </w:rPr>
              <w:t>Deferred income tax asset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3,824</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3,059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81"/>
        </w:trPr>
        <w:tc>
          <w:tcPr>
            <w:tcW w:w="6460" w:type="dxa"/>
            <w:vAlign w:val="bottom"/>
          </w:tcPr>
          <w:p>
            <w:pPr>
              <w:ind w:left="840"/>
              <w:spacing w:after="0"/>
              <w:rPr>
                <w:sz w:val="20"/>
                <w:szCs w:val="20"/>
                <w:color w:val="auto"/>
              </w:rPr>
            </w:pPr>
            <w:r>
              <w:rPr>
                <w:rFonts w:ascii="Arial" w:cs="Arial" w:eastAsia="Arial" w:hAnsi="Arial"/>
                <w:sz w:val="14"/>
                <w:szCs w:val="14"/>
                <w:b w:val="1"/>
                <w:bCs w:val="1"/>
                <w:color w:val="auto"/>
              </w:rPr>
              <w:t>Total other noncurrent assets</w:t>
            </w: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254,437</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264,692</w:t>
            </w:r>
          </w:p>
        </w:tc>
        <w:tc>
          <w:tcPr>
            <w:tcW w:w="0" w:type="dxa"/>
            <w:vAlign w:val="bottom"/>
          </w:tcPr>
          <w:p>
            <w:pPr>
              <w:spacing w:after="0"/>
              <w:rPr>
                <w:sz w:val="1"/>
                <w:szCs w:val="1"/>
                <w:color w:val="auto"/>
              </w:rPr>
            </w:pPr>
          </w:p>
        </w:tc>
      </w:tr>
      <w:tr>
        <w:trPr>
          <w:trHeight w:val="24"/>
        </w:trPr>
        <w:tc>
          <w:tcPr>
            <w:tcW w:w="6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600,345</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560,241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60" w:type="dxa"/>
            <w:vAlign w:val="bottom"/>
          </w:tcPr>
          <w:p>
            <w:pPr>
              <w:ind w:left="440"/>
              <w:spacing w:after="0"/>
              <w:rPr>
                <w:sz w:val="20"/>
                <w:szCs w:val="20"/>
                <w:color w:val="auto"/>
              </w:rPr>
            </w:pPr>
            <w:r>
              <w:rPr>
                <w:rFonts w:ascii="Arial" w:cs="Arial" w:eastAsia="Arial" w:hAnsi="Arial"/>
                <w:sz w:val="14"/>
                <w:szCs w:val="14"/>
                <w:color w:val="auto"/>
              </w:rPr>
              <w:t>Current maturities of debt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18,250</w:t>
            </w:r>
          </w:p>
        </w:tc>
        <w:tc>
          <w:tcPr>
            <w:tcW w:w="14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18,250</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Current portion of route and customer acquisition costs payable</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2,018</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1,608</w:t>
            </w:r>
          </w:p>
        </w:tc>
        <w:tc>
          <w:tcPr>
            <w:tcW w:w="0" w:type="dxa"/>
            <w:vAlign w:val="bottom"/>
          </w:tcPr>
          <w:p>
            <w:pPr>
              <w:spacing w:after="0"/>
              <w:rPr>
                <w:sz w:val="1"/>
                <w:szCs w:val="1"/>
                <w:color w:val="auto"/>
              </w:rPr>
            </w:pPr>
          </w:p>
        </w:tc>
      </w:tr>
      <w:tr>
        <w:trPr>
          <w:trHeight w:val="188"/>
        </w:trPr>
        <w:tc>
          <w:tcPr>
            <w:tcW w:w="6460" w:type="dxa"/>
            <w:vAlign w:val="bottom"/>
          </w:tcPr>
          <w:p>
            <w:pPr>
              <w:ind w:left="440"/>
              <w:spacing w:after="0"/>
              <w:rPr>
                <w:sz w:val="20"/>
                <w:szCs w:val="20"/>
                <w:color w:val="auto"/>
              </w:rPr>
            </w:pPr>
            <w:r>
              <w:rPr>
                <w:rFonts w:ascii="Arial" w:cs="Arial" w:eastAsia="Arial" w:hAnsi="Arial"/>
                <w:sz w:val="14"/>
                <w:szCs w:val="14"/>
                <w:color w:val="auto"/>
              </w:rPr>
              <w:t>Accrued location gaming expense</w:t>
            </w:r>
          </w:p>
        </w:tc>
        <w:tc>
          <w:tcPr>
            <w:tcW w:w="14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2,923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Accrued state gaming expense</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10,300</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460" w:type="dxa"/>
            <w:vAlign w:val="bottom"/>
          </w:tcPr>
          <w:p>
            <w:pPr>
              <w:ind w:left="440"/>
              <w:spacing w:after="0"/>
              <w:rPr>
                <w:sz w:val="20"/>
                <w:szCs w:val="20"/>
                <w:color w:val="auto"/>
              </w:rPr>
            </w:pPr>
            <w:r>
              <w:rPr>
                <w:rFonts w:ascii="Arial" w:cs="Arial" w:eastAsia="Arial" w:hAnsi="Arial"/>
                <w:sz w:val="14"/>
                <w:szCs w:val="14"/>
                <w:color w:val="auto"/>
              </w:rPr>
              <w:t>Accounts payable and other accrued expenses</w:t>
            </w:r>
          </w:p>
        </w:tc>
        <w:tc>
          <w:tcPr>
            <w:tcW w:w="14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9,962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23,666</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Accrued compensation and related expenses</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7,679</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5,853</w:t>
            </w:r>
          </w:p>
        </w:tc>
        <w:tc>
          <w:tcPr>
            <w:tcW w:w="0" w:type="dxa"/>
            <w:vAlign w:val="bottom"/>
          </w:tcPr>
          <w:p>
            <w:pPr>
              <w:spacing w:after="0"/>
              <w:rPr>
                <w:sz w:val="1"/>
                <w:szCs w:val="1"/>
                <w:color w:val="auto"/>
              </w:rPr>
            </w:pPr>
          </w:p>
        </w:tc>
      </w:tr>
      <w:tr>
        <w:trPr>
          <w:trHeight w:val="188"/>
        </w:trPr>
        <w:tc>
          <w:tcPr>
            <w:tcW w:w="6460" w:type="dxa"/>
            <w:vAlign w:val="bottom"/>
          </w:tcPr>
          <w:p>
            <w:pPr>
              <w:ind w:left="440"/>
              <w:spacing w:after="0"/>
              <w:rPr>
                <w:sz w:val="20"/>
                <w:szCs w:val="20"/>
                <w:color w:val="auto"/>
              </w:rPr>
            </w:pPr>
            <w:r>
              <w:rPr>
                <w:rFonts w:ascii="Arial" w:cs="Arial" w:eastAsia="Arial" w:hAnsi="Arial"/>
                <w:sz w:val="14"/>
                <w:szCs w:val="14"/>
                <w:color w:val="auto"/>
              </w:rPr>
              <w:t>Current portion of consideration payable</w:t>
            </w:r>
          </w:p>
        </w:tc>
        <w:tc>
          <w:tcPr>
            <w:tcW w:w="14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14,392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3,013</w:t>
            </w:r>
          </w:p>
        </w:tc>
        <w:tc>
          <w:tcPr>
            <w:tcW w:w="0" w:type="dxa"/>
            <w:vAlign w:val="bottom"/>
          </w:tcPr>
          <w:p>
            <w:pPr>
              <w:spacing w:after="0"/>
              <w:rPr>
                <w:sz w:val="1"/>
                <w:szCs w:val="1"/>
                <w:color w:val="auto"/>
              </w:rPr>
            </w:pPr>
          </w:p>
        </w:tc>
      </w:tr>
      <w:tr>
        <w:trPr>
          <w:trHeight w:val="24"/>
        </w:trPr>
        <w:tc>
          <w:tcPr>
            <w:tcW w:w="6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4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Total current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65,524</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52,390</w:t>
            </w:r>
          </w:p>
        </w:tc>
        <w:tc>
          <w:tcPr>
            <w:tcW w:w="0" w:type="dxa"/>
            <w:vAlign w:val="bottom"/>
          </w:tcPr>
          <w:p>
            <w:pPr>
              <w:spacing w:after="0"/>
              <w:rPr>
                <w:sz w:val="1"/>
                <w:szCs w:val="1"/>
                <w:color w:val="auto"/>
              </w:rPr>
            </w:pPr>
          </w:p>
        </w:tc>
      </w:tr>
      <w:tr>
        <w:trPr>
          <w:trHeight w:val="168"/>
        </w:trPr>
        <w:tc>
          <w:tcPr>
            <w:tcW w:w="6460" w:type="dxa"/>
            <w:vAlign w:val="bottom"/>
          </w:tcPr>
          <w:p>
            <w:pPr>
              <w:spacing w:after="0"/>
              <w:rPr>
                <w:sz w:val="20"/>
                <w:szCs w:val="20"/>
                <w:color w:val="auto"/>
              </w:rPr>
            </w:pPr>
            <w:r>
              <w:rPr>
                <w:rFonts w:ascii="Arial" w:cs="Arial" w:eastAsia="Arial" w:hAnsi="Arial"/>
                <w:sz w:val="14"/>
                <w:szCs w:val="14"/>
                <w:color w:val="auto"/>
              </w:rPr>
              <w:t>Long-term liabilities:</w:t>
            </w: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Debt, net of current maturities</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309,717</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321,891</w:t>
            </w:r>
          </w:p>
        </w:tc>
        <w:tc>
          <w:tcPr>
            <w:tcW w:w="0" w:type="dxa"/>
            <w:vAlign w:val="bottom"/>
          </w:tcPr>
          <w:p>
            <w:pPr>
              <w:spacing w:after="0"/>
              <w:rPr>
                <w:sz w:val="1"/>
                <w:szCs w:val="1"/>
                <w:color w:val="auto"/>
              </w:rPr>
            </w:pPr>
          </w:p>
        </w:tc>
      </w:tr>
      <w:tr>
        <w:trPr>
          <w:trHeight w:val="188"/>
        </w:trPr>
        <w:tc>
          <w:tcPr>
            <w:tcW w:w="6460" w:type="dxa"/>
            <w:vAlign w:val="bottom"/>
          </w:tcPr>
          <w:p>
            <w:pPr>
              <w:ind w:left="440"/>
              <w:spacing w:after="0"/>
              <w:rPr>
                <w:sz w:val="20"/>
                <w:szCs w:val="20"/>
                <w:color w:val="auto"/>
              </w:rPr>
            </w:pPr>
            <w:r>
              <w:rPr>
                <w:rFonts w:ascii="Arial" w:cs="Arial" w:eastAsia="Arial" w:hAnsi="Arial"/>
                <w:sz w:val="14"/>
                <w:szCs w:val="14"/>
                <w:color w:val="auto"/>
              </w:rPr>
              <w:t>Route and customer acquisition costs payable, less current portion</w:t>
            </w:r>
          </w:p>
        </w:tc>
        <w:tc>
          <w:tcPr>
            <w:tcW w:w="14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3,495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4,064</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Consideration payable, less current portion</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13,015</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20,943</w:t>
            </w:r>
          </w:p>
        </w:tc>
        <w:tc>
          <w:tcPr>
            <w:tcW w:w="0" w:type="dxa"/>
            <w:vAlign w:val="bottom"/>
          </w:tcPr>
          <w:p>
            <w:pPr>
              <w:spacing w:after="0"/>
              <w:rPr>
                <w:sz w:val="1"/>
                <w:szCs w:val="1"/>
                <w:color w:val="auto"/>
              </w:rPr>
            </w:pPr>
          </w:p>
        </w:tc>
      </w:tr>
      <w:tr>
        <w:trPr>
          <w:trHeight w:val="188"/>
        </w:trPr>
        <w:tc>
          <w:tcPr>
            <w:tcW w:w="6460" w:type="dxa"/>
            <w:vAlign w:val="bottom"/>
          </w:tcPr>
          <w:p>
            <w:pPr>
              <w:ind w:left="440"/>
              <w:spacing w:after="0"/>
              <w:rPr>
                <w:sz w:val="20"/>
                <w:szCs w:val="20"/>
                <w:color w:val="auto"/>
              </w:rPr>
            </w:pPr>
            <w:r>
              <w:rPr>
                <w:rFonts w:ascii="Arial" w:cs="Arial" w:eastAsia="Arial" w:hAnsi="Arial"/>
                <w:sz w:val="14"/>
                <w:szCs w:val="14"/>
                <w:color w:val="auto"/>
              </w:rPr>
              <w:t>Contingent earnout share liability</w:t>
            </w:r>
          </w:p>
        </w:tc>
        <w:tc>
          <w:tcPr>
            <w:tcW w:w="14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39,936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33,069</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Warrant and other long-term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8"/>
        </w:trPr>
        <w:tc>
          <w:tcPr>
            <w:tcW w:w="6460" w:type="dxa"/>
            <w:vAlign w:val="bottom"/>
          </w:tcPr>
          <w:p>
            <w:pPr>
              <w:ind w:left="440"/>
              <w:spacing w:after="0"/>
              <w:rPr>
                <w:sz w:val="20"/>
                <w:szCs w:val="20"/>
                <w:color w:val="auto"/>
              </w:rPr>
            </w:pPr>
            <w:r>
              <w:rPr>
                <w:rFonts w:ascii="Arial" w:cs="Arial" w:eastAsia="Arial" w:hAnsi="Arial"/>
                <w:sz w:val="14"/>
                <w:szCs w:val="14"/>
                <w:color w:val="auto"/>
              </w:rPr>
              <w:t>Deferred income tax liability</w:t>
            </w:r>
          </w:p>
        </w:tc>
        <w:tc>
          <w:tcPr>
            <w:tcW w:w="14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4,497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6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4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Total long-term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370,677</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379,980</w:t>
            </w:r>
          </w:p>
        </w:tc>
        <w:tc>
          <w:tcPr>
            <w:tcW w:w="0" w:type="dxa"/>
            <w:vAlign w:val="bottom"/>
          </w:tcPr>
          <w:p>
            <w:pPr>
              <w:spacing w:after="0"/>
              <w:rPr>
                <w:sz w:val="1"/>
                <w:szCs w:val="1"/>
                <w:color w:val="auto"/>
              </w:rPr>
            </w:pPr>
          </w:p>
        </w:tc>
      </w:tr>
      <w:tr>
        <w:trPr>
          <w:trHeight w:val="168"/>
        </w:trPr>
        <w:tc>
          <w:tcPr>
            <w:tcW w:w="6460" w:type="dxa"/>
            <w:vAlign w:val="bottom"/>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460" w:type="dxa"/>
            <w:vAlign w:val="bottom"/>
            <w:shd w:val="clear" w:color="auto" w:fill="CCEEFF"/>
          </w:tcPr>
          <w:p>
            <w:pPr>
              <w:ind w:left="440"/>
              <w:spacing w:after="0"/>
              <w:rPr>
                <w:sz w:val="20"/>
                <w:szCs w:val="20"/>
                <w:color w:val="auto"/>
              </w:rPr>
            </w:pPr>
            <w:r>
              <w:rPr>
                <w:rFonts w:ascii="Arial" w:cs="Arial" w:eastAsia="Arial" w:hAnsi="Arial"/>
                <w:sz w:val="14"/>
                <w:szCs w:val="14"/>
                <w:color w:val="auto"/>
                <w:w w:val="93"/>
              </w:rPr>
              <w:t>Preferred Stock, par value of $0.0001; 1,000,000 shares authorized; 0 shares issued and outstanding at</w:t>
            </w:r>
          </w:p>
        </w:tc>
        <w:tc>
          <w:tcPr>
            <w:tcW w:w="14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4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September 30, 2021 and December 31, 2020</w:t>
            </w: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60" w:type="dxa"/>
            <w:vAlign w:val="bottom"/>
          </w:tcPr>
          <w:p>
            <w:pPr>
              <w:ind w:left="440"/>
              <w:spacing w:after="0"/>
              <w:rPr>
                <w:sz w:val="20"/>
                <w:szCs w:val="20"/>
                <w:color w:val="auto"/>
              </w:rPr>
            </w:pPr>
            <w:r>
              <w:rPr>
                <w:rFonts w:ascii="Arial" w:cs="Arial" w:eastAsia="Arial" w:hAnsi="Arial"/>
                <w:sz w:val="14"/>
                <w:szCs w:val="14"/>
                <w:color w:val="auto"/>
                <w:w w:val="92"/>
              </w:rPr>
              <w:t>Class A-1 Common Stock, par value $0.0001; 250,000,000 shares authorized; 94,042,341 shares issued</w:t>
            </w:r>
          </w:p>
        </w:tc>
        <w:tc>
          <w:tcPr>
            <w:tcW w:w="140" w:type="dxa"/>
            <w:vAlign w:val="bottom"/>
          </w:tcPr>
          <w:p>
            <w:pPr>
              <w:spacing w:after="0"/>
              <w:rPr>
                <w:sz w:val="16"/>
                <w:szCs w:val="16"/>
                <w:color w:val="auto"/>
              </w:rPr>
            </w:pPr>
          </w:p>
        </w:tc>
        <w:tc>
          <w:tcPr>
            <w:tcW w:w="1180" w:type="dxa"/>
            <w:vAlign w:val="bottom"/>
            <w:vMerge w:val="restart"/>
          </w:tcPr>
          <w:p>
            <w:pPr>
              <w:jc w:val="right"/>
              <w:ind w:right="9"/>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6460" w:type="dxa"/>
            <w:vAlign w:val="bottom"/>
          </w:tcPr>
          <w:p>
            <w:pPr>
              <w:ind w:left="440"/>
              <w:spacing w:after="0"/>
              <w:rPr>
                <w:sz w:val="20"/>
                <w:szCs w:val="20"/>
                <w:color w:val="auto"/>
              </w:rPr>
            </w:pPr>
            <w:r>
              <w:rPr>
                <w:rFonts w:ascii="Arial" w:cs="Arial" w:eastAsia="Arial" w:hAnsi="Arial"/>
                <w:sz w:val="14"/>
                <w:szCs w:val="14"/>
                <w:color w:val="auto"/>
                <w:w w:val="90"/>
              </w:rPr>
              <w:t>and outstanding at September 30, 2021; 93,379,508 shares issued and outstanding at December 31, 2020</w:t>
            </w: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Additional paid-in capital</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185,711</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179,549</w:t>
            </w:r>
          </w:p>
        </w:tc>
        <w:tc>
          <w:tcPr>
            <w:tcW w:w="0" w:type="dxa"/>
            <w:vAlign w:val="bottom"/>
          </w:tcPr>
          <w:p>
            <w:pPr>
              <w:spacing w:after="0"/>
              <w:rPr>
                <w:sz w:val="1"/>
                <w:szCs w:val="1"/>
                <w:color w:val="auto"/>
              </w:rPr>
            </w:pPr>
          </w:p>
        </w:tc>
      </w:tr>
      <w:tr>
        <w:trPr>
          <w:trHeight w:val="188"/>
        </w:trPr>
        <w:tc>
          <w:tcPr>
            <w:tcW w:w="6460" w:type="dxa"/>
            <w:vAlign w:val="bottom"/>
          </w:tcPr>
          <w:p>
            <w:pPr>
              <w:ind w:left="440"/>
              <w:spacing w:after="0"/>
              <w:rPr>
                <w:sz w:val="20"/>
                <w:szCs w:val="20"/>
                <w:color w:val="auto"/>
              </w:rPr>
            </w:pPr>
            <w:r>
              <w:rPr>
                <w:rFonts w:ascii="Arial" w:cs="Arial" w:eastAsia="Arial" w:hAnsi="Arial"/>
                <w:sz w:val="14"/>
                <w:szCs w:val="14"/>
                <w:color w:val="auto"/>
              </w:rPr>
              <w:t>Accumulated other comprehensive income</w:t>
            </w:r>
          </w:p>
        </w:tc>
        <w:tc>
          <w:tcPr>
            <w:tcW w:w="14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5,451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Accumulated deficit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(27,027)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(51,780)</w:t>
            </w:r>
          </w:p>
        </w:tc>
        <w:tc>
          <w:tcPr>
            <w:tcW w:w="0" w:type="dxa"/>
            <w:vAlign w:val="bottom"/>
          </w:tcPr>
          <w:p>
            <w:pPr>
              <w:spacing w:after="0"/>
              <w:rPr>
                <w:sz w:val="1"/>
                <w:szCs w:val="1"/>
                <w:color w:val="auto"/>
              </w:rPr>
            </w:pPr>
          </w:p>
        </w:tc>
      </w:tr>
      <w:tr>
        <w:trPr>
          <w:trHeight w:val="181"/>
        </w:trPr>
        <w:tc>
          <w:tcPr>
            <w:tcW w:w="6460" w:type="dxa"/>
            <w:vAlign w:val="bottom"/>
          </w:tcPr>
          <w:p>
            <w:pPr>
              <w:ind w:left="840"/>
              <w:spacing w:after="0"/>
              <w:rPr>
                <w:sz w:val="20"/>
                <w:szCs w:val="20"/>
                <w:color w:val="auto"/>
              </w:rPr>
            </w:pPr>
            <w:r>
              <w:rPr>
                <w:rFonts w:ascii="Arial" w:cs="Arial" w:eastAsia="Arial" w:hAnsi="Arial"/>
                <w:sz w:val="14"/>
                <w:szCs w:val="14"/>
                <w:b w:val="1"/>
                <w:bCs w:val="1"/>
                <w:color w:val="auto"/>
              </w:rPr>
              <w:t>Total stockholders' equity</w:t>
            </w: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164,144</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127,871</w:t>
            </w:r>
          </w:p>
        </w:tc>
        <w:tc>
          <w:tcPr>
            <w:tcW w:w="0" w:type="dxa"/>
            <w:vAlign w:val="bottom"/>
          </w:tcPr>
          <w:p>
            <w:pPr>
              <w:spacing w:after="0"/>
              <w:rPr>
                <w:sz w:val="1"/>
                <w:szCs w:val="1"/>
                <w:color w:val="auto"/>
              </w:rPr>
            </w:pPr>
          </w:p>
        </w:tc>
      </w:tr>
      <w:tr>
        <w:trPr>
          <w:trHeight w:val="24"/>
        </w:trPr>
        <w:tc>
          <w:tcPr>
            <w:tcW w:w="6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600,345</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560,241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999"/>
        <w:spacing w:after="0"/>
        <w:rPr>
          <w:sz w:val="20"/>
          <w:szCs w:val="20"/>
          <w:color w:val="auto"/>
        </w:rPr>
      </w:pPr>
      <w:r>
        <w:rPr>
          <w:rFonts w:ascii="Arial" w:cs="Arial" w:eastAsia="Arial" w:hAnsi="Arial"/>
          <w:sz w:val="18"/>
          <w:szCs w:val="18"/>
          <w:color w:val="auto"/>
        </w:rPr>
        <w:t>See Note 2 for impact of restatement</w:t>
      </w:r>
    </w:p>
    <w:p>
      <w:pPr>
        <w:spacing w:after="0" w:line="218"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0240"/>
          </w:cols>
          <w:pgMar w:left="320" w:top="127" w:right="1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40"/>
          </w:cols>
          <w:pgMar w:left="320" w:top="127" w:right="1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ACCEL ENTERTAINMENT, INC.</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3400" w:type="dxa"/>
            <w:vAlign w:val="bottom"/>
          </w:tcPr>
          <w:p>
            <w:pPr>
              <w:ind w:left="20"/>
              <w:spacing w:after="0"/>
              <w:rPr>
                <w:sz w:val="20"/>
                <w:szCs w:val="20"/>
                <w:color w:val="auto"/>
              </w:rPr>
            </w:pPr>
            <w:r>
              <w:rPr>
                <w:rFonts w:ascii="Arial" w:cs="Arial" w:eastAsia="Arial" w:hAnsi="Arial"/>
                <w:sz w:val="16"/>
                <w:szCs w:val="16"/>
                <w:color w:val="auto"/>
              </w:rPr>
              <w:t>(In thousands, except shares)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3400" w:type="dxa"/>
            <w:vAlign w:val="bottom"/>
          </w:tcPr>
          <w:p>
            <w:pPr>
              <w:spacing w:after="0"/>
              <w:rPr>
                <w:sz w:val="17"/>
                <w:szCs w:val="17"/>
                <w:color w:val="auto"/>
              </w:rPr>
            </w:pPr>
          </w:p>
        </w:tc>
        <w:tc>
          <w:tcPr>
            <w:tcW w:w="1940" w:type="dxa"/>
            <w:vAlign w:val="bottom"/>
            <w:gridSpan w:val="5"/>
          </w:tcPr>
          <w:p>
            <w:pPr>
              <w:ind w:left="620"/>
              <w:spacing w:after="0"/>
              <w:rPr>
                <w:sz w:val="20"/>
                <w:szCs w:val="20"/>
                <w:color w:val="auto"/>
              </w:rPr>
            </w:pPr>
            <w:r>
              <w:rPr>
                <w:rFonts w:ascii="Arial" w:cs="Arial" w:eastAsia="Arial" w:hAnsi="Arial"/>
                <w:sz w:val="14"/>
                <w:szCs w:val="14"/>
                <w:color w:val="auto"/>
              </w:rPr>
              <w:t>Class A-1</w:t>
            </w:r>
          </w:p>
        </w:tc>
        <w:tc>
          <w:tcPr>
            <w:tcW w:w="10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49"/>
              <w:spacing w:after="0"/>
              <w:rPr>
                <w:sz w:val="20"/>
                <w:szCs w:val="20"/>
                <w:color w:val="auto"/>
              </w:rPr>
            </w:pPr>
            <w:r>
              <w:rPr>
                <w:rFonts w:ascii="Arial" w:cs="Arial" w:eastAsia="Arial" w:hAnsi="Arial"/>
                <w:sz w:val="14"/>
                <w:szCs w:val="14"/>
                <w:color w:val="auto"/>
                <w:w w:val="96"/>
              </w:rPr>
              <w:t>Total</w:t>
            </w:r>
          </w:p>
        </w:tc>
      </w:tr>
      <w:tr>
        <w:trPr>
          <w:trHeight w:val="218"/>
        </w:trPr>
        <w:tc>
          <w:tcPr>
            <w:tcW w:w="3400" w:type="dxa"/>
            <w:vAlign w:val="bottom"/>
          </w:tcPr>
          <w:p>
            <w:pPr>
              <w:spacing w:after="0"/>
              <w:rPr>
                <w:sz w:val="18"/>
                <w:szCs w:val="18"/>
                <w:color w:val="auto"/>
              </w:rPr>
            </w:pPr>
          </w:p>
        </w:tc>
        <w:tc>
          <w:tcPr>
            <w:tcW w:w="1800" w:type="dxa"/>
            <w:vAlign w:val="bottom"/>
            <w:tcBorders>
              <w:bottom w:val="single" w:sz="8" w:color="auto"/>
            </w:tcBorders>
            <w:gridSpan w:val="4"/>
          </w:tcPr>
          <w:p>
            <w:pPr>
              <w:jc w:val="right"/>
              <w:ind w:right="389"/>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Paid-In</w:t>
            </w:r>
          </w:p>
        </w:tc>
        <w:tc>
          <w:tcPr>
            <w:tcW w:w="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Comprehensive</w:t>
            </w: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8"/>
                <w:szCs w:val="18"/>
                <w:color w:val="auto"/>
              </w:rPr>
            </w:pPr>
          </w:p>
        </w:tc>
        <w:tc>
          <w:tcPr>
            <w:tcW w:w="940" w:type="dxa"/>
            <w:vAlign w:val="bottom"/>
          </w:tcPr>
          <w:p>
            <w:pPr>
              <w:jc w:val="center"/>
              <w:ind w:right="49"/>
              <w:spacing w:after="0"/>
              <w:rPr>
                <w:sz w:val="20"/>
                <w:szCs w:val="20"/>
                <w:color w:val="auto"/>
              </w:rPr>
            </w:pPr>
            <w:r>
              <w:rPr>
                <w:rFonts w:ascii="Arial" w:cs="Arial" w:eastAsia="Arial" w:hAnsi="Arial"/>
                <w:sz w:val="14"/>
                <w:szCs w:val="14"/>
                <w:color w:val="auto"/>
                <w:w w:val="92"/>
              </w:rPr>
              <w:t>Stockholders’</w:t>
            </w:r>
          </w:p>
        </w:tc>
      </w:tr>
      <w:tr>
        <w:trPr>
          <w:trHeight w:val="192"/>
        </w:trPr>
        <w:tc>
          <w:tcPr>
            <w:tcW w:w="340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Capital</w:t>
            </w:r>
          </w:p>
        </w:tc>
        <w:tc>
          <w:tcPr>
            <w:tcW w:w="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Income</w:t>
            </w:r>
          </w:p>
        </w:tc>
        <w:tc>
          <w:tcPr>
            <w:tcW w:w="10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Deficit</w:t>
            </w:r>
          </w:p>
        </w:tc>
        <w:tc>
          <w:tcPr>
            <w:tcW w:w="100" w:type="dxa"/>
            <w:vAlign w:val="bottom"/>
          </w:tcPr>
          <w:p>
            <w:pPr>
              <w:spacing w:after="0"/>
              <w:rPr>
                <w:sz w:val="16"/>
                <w:szCs w:val="16"/>
                <w:color w:val="auto"/>
              </w:rPr>
            </w:pPr>
          </w:p>
        </w:tc>
        <w:tc>
          <w:tcPr>
            <w:tcW w:w="940" w:type="dxa"/>
            <w:vAlign w:val="bottom"/>
          </w:tcPr>
          <w:p>
            <w:pPr>
              <w:jc w:val="center"/>
              <w:ind w:right="49"/>
              <w:spacing w:after="0"/>
              <w:rPr>
                <w:sz w:val="20"/>
                <w:szCs w:val="20"/>
                <w:color w:val="auto"/>
              </w:rPr>
            </w:pPr>
            <w:r>
              <w:rPr>
                <w:rFonts w:ascii="Arial" w:cs="Arial" w:eastAsia="Arial" w:hAnsi="Arial"/>
                <w:sz w:val="14"/>
                <w:szCs w:val="14"/>
                <w:color w:val="auto"/>
                <w:w w:val="97"/>
              </w:rPr>
              <w:t>Equity</w:t>
            </w:r>
          </w:p>
        </w:tc>
      </w:tr>
      <w:tr>
        <w:trPr>
          <w:trHeight w:val="198"/>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2021 [as restated]</w:t>
            </w:r>
          </w:p>
        </w:tc>
        <w:tc>
          <w:tcPr>
            <w:tcW w:w="8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93,379,508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179,549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(51,780)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127,871</w:t>
            </w:r>
          </w:p>
        </w:tc>
      </w:tr>
      <w:tr>
        <w:trPr>
          <w:trHeight w:val="207"/>
        </w:trPr>
        <w:tc>
          <w:tcPr>
            <w:tcW w:w="34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1,593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1,593</w:t>
            </w:r>
          </w:p>
        </w:tc>
      </w:tr>
      <w:tr>
        <w:trPr>
          <w:trHeight w:val="218"/>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investment in convertible notes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469</w:t>
            </w:r>
          </w:p>
        </w:tc>
      </w:tr>
      <w:tr>
        <w:trPr>
          <w:trHeight w:val="207"/>
        </w:trPr>
        <w:tc>
          <w:tcPr>
            <w:tcW w:w="34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1,501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1,501</w:t>
            </w:r>
          </w:p>
        </w:tc>
      </w:tr>
      <w:tr>
        <w:trPr>
          <w:trHeight w:val="192"/>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93,379,508</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181,142</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562</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(50,279)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131,434</w:t>
            </w:r>
          </w:p>
        </w:tc>
      </w:tr>
      <w:tr>
        <w:trPr>
          <w:trHeight w:val="192"/>
        </w:trPr>
        <w:tc>
          <w:tcPr>
            <w:tcW w:w="3400" w:type="dxa"/>
            <w:vAlign w:val="bottom"/>
          </w:tcPr>
          <w:p>
            <w:pPr>
              <w:ind w:left="20"/>
              <w:spacing w:after="0"/>
              <w:rPr>
                <w:sz w:val="20"/>
                <w:szCs w:val="20"/>
                <w:color w:val="auto"/>
              </w:rPr>
            </w:pPr>
            <w:r>
              <w:rPr>
                <w:rFonts w:ascii="Arial" w:cs="Arial" w:eastAsia="Arial" w:hAnsi="Arial"/>
                <w:sz w:val="14"/>
                <w:szCs w:val="14"/>
                <w:color w:val="auto"/>
              </w:rPr>
              <w:t>Exercise of common stock options</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281,245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685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685</w:t>
            </w:r>
          </w:p>
        </w:tc>
      </w:tr>
      <w:tr>
        <w:trPr>
          <w:trHeight w:val="218"/>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2,148</w:t>
            </w:r>
          </w:p>
        </w:tc>
      </w:tr>
      <w:tr>
        <w:trPr>
          <w:trHeight w:val="207"/>
        </w:trPr>
        <w:tc>
          <w:tcPr>
            <w:tcW w:w="3400" w:type="dxa"/>
            <w:vAlign w:val="bottom"/>
          </w:tcPr>
          <w:p>
            <w:pPr>
              <w:ind w:left="20"/>
              <w:spacing w:after="0"/>
              <w:rPr>
                <w:sz w:val="20"/>
                <w:szCs w:val="20"/>
                <w:color w:val="auto"/>
              </w:rPr>
            </w:pPr>
            <w:r>
              <w:rPr>
                <w:rFonts w:ascii="Arial" w:cs="Arial" w:eastAsia="Arial" w:hAnsi="Arial"/>
                <w:sz w:val="14"/>
                <w:szCs w:val="14"/>
                <w:color w:val="auto"/>
              </w:rPr>
              <w:t>Unrealized gain on investment in convertible notes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5,204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5,204</w:t>
            </w:r>
          </w:p>
        </w:tc>
      </w:tr>
      <w:tr>
        <w:trPr>
          <w:trHeight w:val="218"/>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12,445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12,445</w:t>
            </w:r>
          </w:p>
        </w:tc>
      </w:tr>
      <w:tr>
        <w:trPr>
          <w:trHeight w:val="187"/>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93,660,753</w:t>
            </w:r>
          </w:p>
        </w:tc>
        <w:tc>
          <w:tcPr>
            <w:tcW w:w="1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w:t>
            </w:r>
          </w:p>
        </w:tc>
        <w:tc>
          <w:tcPr>
            <w:tcW w:w="1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183,975</w:t>
            </w: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5,766</w:t>
            </w:r>
          </w:p>
        </w:tc>
        <w:tc>
          <w:tcPr>
            <w:tcW w:w="1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(37,834)</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151,916</w:t>
            </w:r>
          </w:p>
        </w:tc>
      </w:tr>
      <w:tr>
        <w:trPr>
          <w:trHeight w:val="198"/>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common stock options</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381,588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770</w:t>
            </w:r>
          </w:p>
        </w:tc>
      </w:tr>
      <w:tr>
        <w:trPr>
          <w:trHeight w:val="207"/>
        </w:trPr>
        <w:tc>
          <w:tcPr>
            <w:tcW w:w="34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966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966</w:t>
            </w:r>
          </w:p>
        </w:tc>
      </w:tr>
      <w:tr>
        <w:trPr>
          <w:trHeight w:val="218"/>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investment in convertible notes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r>
      <w:tr>
        <w:trPr>
          <w:trHeight w:val="207"/>
        </w:trPr>
        <w:tc>
          <w:tcPr>
            <w:tcW w:w="34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10,807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10,807</w:t>
            </w:r>
          </w:p>
        </w:tc>
      </w:tr>
      <w:tr>
        <w:trPr>
          <w:trHeight w:val="210"/>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94,042,341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185,711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5,451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164,144</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480"/>
          </w:cols>
          <w:pgMar w:left="320" w:top="127" w:right="10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ACCEL ENTERTAINMENT, INC.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STOCKHOLDERS’ EQUITY (DEFICIT) - (Continued)</w:t>
      </w:r>
    </w:p>
    <w:p>
      <w:pPr>
        <w:spacing w:after="0" w:line="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w:t>
      </w:r>
    </w:p>
    <w:p>
      <w:pPr>
        <w:spacing w:after="0" w:line="395" w:lineRule="exact"/>
        <w:rPr>
          <w:sz w:val="20"/>
          <w:szCs w:val="20"/>
          <w:color w:val="auto"/>
        </w:rPr>
      </w:pPr>
    </w:p>
    <w:tbl>
      <w:tblPr>
        <w:tblLayout w:type="fixed"/>
        <w:tblInd w:w="1240" w:type="dxa"/>
        <w:tblCellMar>
          <w:top w:w="0" w:type="dxa"/>
          <w:left w:w="0" w:type="dxa"/>
          <w:bottom w:w="0" w:type="dxa"/>
          <w:right w:w="0" w:type="dxa"/>
        </w:tblCellMar>
      </w:tblPr>
      <w:tr>
        <w:trPr>
          <w:trHeight w:val="204"/>
        </w:trPr>
        <w:tc>
          <w:tcPr>
            <w:tcW w:w="3560" w:type="dxa"/>
            <w:vAlign w:val="bottom"/>
          </w:tcPr>
          <w:p>
            <w:pPr>
              <w:ind w:left="20"/>
              <w:spacing w:after="0"/>
              <w:rPr>
                <w:sz w:val="20"/>
                <w:szCs w:val="20"/>
                <w:color w:val="auto"/>
              </w:rPr>
            </w:pPr>
            <w:r>
              <w:rPr>
                <w:rFonts w:ascii="Arial" w:cs="Arial" w:eastAsia="Arial" w:hAnsi="Arial"/>
                <w:sz w:val="16"/>
                <w:szCs w:val="16"/>
                <w:color w:val="auto"/>
              </w:rPr>
              <w:t>(In thousands, except shares)</w:t>
            </w:r>
          </w:p>
        </w:tc>
        <w:tc>
          <w:tcPr>
            <w:tcW w:w="1940" w:type="dxa"/>
            <w:vAlign w:val="bottom"/>
            <w:gridSpan w:val="5"/>
          </w:tcPr>
          <w:p>
            <w:pPr>
              <w:ind w:left="620"/>
              <w:spacing w:after="0"/>
              <w:rPr>
                <w:sz w:val="20"/>
                <w:szCs w:val="20"/>
                <w:color w:val="auto"/>
              </w:rPr>
            </w:pPr>
            <w:r>
              <w:rPr>
                <w:rFonts w:ascii="Arial" w:cs="Arial" w:eastAsia="Arial" w:hAnsi="Arial"/>
                <w:sz w:val="14"/>
                <w:szCs w:val="14"/>
                <w:color w:val="auto"/>
              </w:rPr>
              <w:t>Class A-1</w:t>
            </w:r>
          </w:p>
        </w:tc>
        <w:tc>
          <w:tcPr>
            <w:tcW w:w="10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Additional</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29"/>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1800" w:type="dxa"/>
            <w:vAlign w:val="bottom"/>
            <w:tcBorders>
              <w:bottom w:val="single" w:sz="8" w:color="auto"/>
            </w:tcBorders>
            <w:gridSpan w:val="4"/>
          </w:tcPr>
          <w:p>
            <w:pPr>
              <w:jc w:val="right"/>
              <w:ind w:right="389"/>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Paid-In</w:t>
            </w: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8"/>
                <w:szCs w:val="18"/>
                <w:color w:val="auto"/>
              </w:rPr>
            </w:pPr>
          </w:p>
        </w:tc>
        <w:tc>
          <w:tcPr>
            <w:tcW w:w="1060" w:type="dxa"/>
            <w:vAlign w:val="bottom"/>
          </w:tcPr>
          <w:p>
            <w:pPr>
              <w:jc w:val="center"/>
              <w:ind w:right="49"/>
              <w:spacing w:after="0"/>
              <w:rPr>
                <w:sz w:val="20"/>
                <w:szCs w:val="20"/>
                <w:color w:val="auto"/>
              </w:rPr>
            </w:pPr>
            <w:r>
              <w:rPr>
                <w:rFonts w:ascii="Arial" w:cs="Arial" w:eastAsia="Arial" w:hAnsi="Arial"/>
                <w:sz w:val="14"/>
                <w:szCs w:val="14"/>
                <w:color w:val="auto"/>
                <w:w w:val="92"/>
              </w:rPr>
              <w:t>Stockholders’</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Capital</w:t>
            </w:r>
          </w:p>
        </w:tc>
        <w:tc>
          <w:tcPr>
            <w:tcW w:w="10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Deficit</w:t>
            </w:r>
          </w:p>
        </w:tc>
        <w:tc>
          <w:tcPr>
            <w:tcW w:w="100" w:type="dxa"/>
            <w:vAlign w:val="bottom"/>
          </w:tcPr>
          <w:p>
            <w:pPr>
              <w:spacing w:after="0"/>
              <w:rPr>
                <w:sz w:val="16"/>
                <w:szCs w:val="16"/>
                <w:color w:val="auto"/>
              </w:rPr>
            </w:pPr>
          </w:p>
        </w:tc>
        <w:tc>
          <w:tcPr>
            <w:tcW w:w="1060" w:type="dxa"/>
            <w:vAlign w:val="bottom"/>
          </w:tcPr>
          <w:p>
            <w:pPr>
              <w:jc w:val="center"/>
              <w:ind w:right="49"/>
              <w:spacing w:after="0"/>
              <w:rPr>
                <w:sz w:val="20"/>
                <w:szCs w:val="20"/>
                <w:color w:val="auto"/>
              </w:rPr>
            </w:pPr>
            <w:r>
              <w:rPr>
                <w:rFonts w:ascii="Arial" w:cs="Arial" w:eastAsia="Arial" w:hAnsi="Arial"/>
                <w:sz w:val="14"/>
                <w:szCs w:val="14"/>
                <w:color w:val="auto"/>
                <w:w w:val="98"/>
              </w:rPr>
              <w:t>Equity (Deficit)</w:t>
            </w:r>
          </w:p>
        </w:tc>
        <w:tc>
          <w:tcPr>
            <w:tcW w:w="0" w:type="dxa"/>
            <w:vAlign w:val="bottom"/>
          </w:tcPr>
          <w:p>
            <w:pPr>
              <w:spacing w:after="0"/>
              <w:rPr>
                <w:sz w:val="1"/>
                <w:szCs w:val="1"/>
                <w:color w:val="auto"/>
              </w:rPr>
            </w:pPr>
          </w:p>
        </w:tc>
      </w:tr>
      <w:tr>
        <w:trPr>
          <w:trHeight w:val="198"/>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2020 [as restated]</w:t>
            </w:r>
          </w:p>
        </w:tc>
        <w:tc>
          <w:tcPr>
            <w:tcW w:w="8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76,637,470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8,352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(51,370)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(43,010)</w:t>
            </w:r>
          </w:p>
        </w:tc>
        <w:tc>
          <w:tcPr>
            <w:tcW w:w="0" w:type="dxa"/>
            <w:vAlign w:val="bottom"/>
          </w:tcPr>
          <w:p>
            <w:pPr>
              <w:spacing w:after="0"/>
              <w:rPr>
                <w:sz w:val="1"/>
                <w:szCs w:val="1"/>
                <w:color w:val="auto"/>
              </w:rPr>
            </w:pPr>
          </w:p>
        </w:tc>
      </w:tr>
      <w:tr>
        <w:trPr>
          <w:trHeight w:val="133"/>
        </w:trPr>
        <w:tc>
          <w:tcPr>
            <w:tcW w:w="3560" w:type="dxa"/>
            <w:vAlign w:val="bottom"/>
          </w:tcPr>
          <w:p>
            <w:pPr>
              <w:ind w:left="20"/>
              <w:spacing w:after="0" w:line="133" w:lineRule="exact"/>
              <w:rPr>
                <w:sz w:val="20"/>
                <w:szCs w:val="20"/>
                <w:color w:val="auto"/>
              </w:rPr>
            </w:pPr>
            <w:r>
              <w:rPr>
                <w:rFonts w:ascii="Arial" w:cs="Arial" w:eastAsia="Arial" w:hAnsi="Arial"/>
                <w:sz w:val="14"/>
                <w:szCs w:val="14"/>
                <w:color w:val="auto"/>
              </w:rPr>
              <w:t>Conversion of Class A-2 Common Stock to Class A-1</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1,596,636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19,160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vMerge w:val="restart"/>
          </w:tcPr>
          <w:p>
            <w:pPr>
              <w:jc w:val="right"/>
              <w:ind w:right="9"/>
              <w:spacing w:after="0"/>
              <w:rPr>
                <w:sz w:val="20"/>
                <w:szCs w:val="20"/>
                <w:color w:val="auto"/>
              </w:rPr>
            </w:pPr>
            <w:r>
              <w:rPr>
                <w:rFonts w:ascii="Arial" w:cs="Arial" w:eastAsia="Arial" w:hAnsi="Arial"/>
                <w:sz w:val="14"/>
                <w:szCs w:val="14"/>
                <w:color w:val="auto"/>
              </w:rPr>
              <w:t>19,160</w:t>
            </w:r>
          </w:p>
        </w:tc>
        <w:tc>
          <w:tcPr>
            <w:tcW w:w="0" w:type="dxa"/>
            <w:vAlign w:val="bottom"/>
          </w:tcPr>
          <w:p>
            <w:pPr>
              <w:spacing w:after="0"/>
              <w:rPr>
                <w:sz w:val="1"/>
                <w:szCs w:val="1"/>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207"/>
        </w:trPr>
        <w:tc>
          <w:tcPr>
            <w:tcW w:w="3560" w:type="dxa"/>
            <w:vAlign w:val="bottom"/>
          </w:tcPr>
          <w:p>
            <w:pPr>
              <w:ind w:left="20"/>
              <w:spacing w:after="0"/>
              <w:rPr>
                <w:sz w:val="20"/>
                <w:szCs w:val="20"/>
                <w:color w:val="auto"/>
              </w:rPr>
            </w:pPr>
            <w:r>
              <w:rPr>
                <w:rFonts w:ascii="Arial" w:cs="Arial" w:eastAsia="Arial" w:hAnsi="Arial"/>
                <w:sz w:val="14"/>
                <w:szCs w:val="14"/>
                <w:color w:val="auto"/>
              </w:rPr>
              <w:t>Net income [as restated]</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48,043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48,043</w:t>
            </w:r>
          </w:p>
        </w:tc>
        <w:tc>
          <w:tcPr>
            <w:tcW w:w="0" w:type="dxa"/>
            <w:vAlign w:val="bottom"/>
          </w:tcPr>
          <w:p>
            <w:pPr>
              <w:spacing w:after="0"/>
              <w:rPr>
                <w:sz w:val="1"/>
                <w:szCs w:val="1"/>
                <w:color w:val="auto"/>
              </w:rPr>
            </w:pPr>
          </w:p>
        </w:tc>
      </w:tr>
      <w:tr>
        <w:trPr>
          <w:trHeight w:val="192"/>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2020 [as restated]</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78,234,106</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28,572</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25,253</w:t>
            </w:r>
          </w:p>
        </w:tc>
        <w:tc>
          <w:tcPr>
            <w:tcW w:w="0" w:type="dxa"/>
            <w:vAlign w:val="bottom"/>
          </w:tcPr>
          <w:p>
            <w:pPr>
              <w:spacing w:after="0"/>
              <w:rPr>
                <w:sz w:val="1"/>
                <w:szCs w:val="1"/>
                <w:color w:val="auto"/>
              </w:rPr>
            </w:pPr>
          </w:p>
        </w:tc>
      </w:tr>
      <w:tr>
        <w:trPr>
          <w:trHeight w:val="192"/>
        </w:trPr>
        <w:tc>
          <w:tcPr>
            <w:tcW w:w="3560" w:type="dxa"/>
            <w:vAlign w:val="bottom"/>
          </w:tcPr>
          <w:p>
            <w:pPr>
              <w:ind w:left="20"/>
              <w:spacing w:after="0"/>
              <w:rPr>
                <w:sz w:val="20"/>
                <w:szCs w:val="20"/>
                <w:color w:val="auto"/>
              </w:rPr>
            </w:pPr>
            <w:r>
              <w:rPr>
                <w:rFonts w:ascii="Arial" w:cs="Arial" w:eastAsia="Arial" w:hAnsi="Arial"/>
                <w:sz w:val="14"/>
                <w:szCs w:val="14"/>
                <w:color w:val="auto"/>
              </w:rPr>
              <w:t>Exercise of common stock options</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148,299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359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207"/>
        </w:trPr>
        <w:tc>
          <w:tcPr>
            <w:tcW w:w="3560" w:type="dxa"/>
            <w:vAlign w:val="bottom"/>
          </w:tcPr>
          <w:p>
            <w:pPr>
              <w:ind w:left="20"/>
              <w:spacing w:after="0"/>
              <w:rPr>
                <w:sz w:val="20"/>
                <w:szCs w:val="20"/>
                <w:color w:val="auto"/>
              </w:rPr>
            </w:pPr>
            <w:r>
              <w:rPr>
                <w:rFonts w:ascii="Arial" w:cs="Arial" w:eastAsia="Arial" w:hAnsi="Arial"/>
                <w:sz w:val="14"/>
                <w:szCs w:val="14"/>
                <w:color w:val="auto"/>
              </w:rPr>
              <w:t>Net loss [as restated]</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(46,768)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(46,768)</w:t>
            </w:r>
          </w:p>
        </w:tc>
        <w:tc>
          <w:tcPr>
            <w:tcW w:w="0" w:type="dxa"/>
            <w:vAlign w:val="bottom"/>
          </w:tcPr>
          <w:p>
            <w:pPr>
              <w:spacing w:after="0"/>
              <w:rPr>
                <w:sz w:val="1"/>
                <w:szCs w:val="1"/>
                <w:color w:val="auto"/>
              </w:rPr>
            </w:pPr>
          </w:p>
        </w:tc>
      </w:tr>
      <w:tr>
        <w:trPr>
          <w:trHeight w:val="192"/>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 [as restated]</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78,382,405</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30,258</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(50,095)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(19,829)</w:t>
            </w:r>
          </w:p>
        </w:tc>
        <w:tc>
          <w:tcPr>
            <w:tcW w:w="0" w:type="dxa"/>
            <w:vAlign w:val="bottom"/>
          </w:tcPr>
          <w:p>
            <w:pPr>
              <w:spacing w:after="0"/>
              <w:rPr>
                <w:sz w:val="1"/>
                <w:szCs w:val="1"/>
                <w:color w:val="auto"/>
              </w:rPr>
            </w:pPr>
          </w:p>
        </w:tc>
      </w:tr>
      <w:tr>
        <w:trPr>
          <w:trHeight w:val="192"/>
        </w:trPr>
        <w:tc>
          <w:tcPr>
            <w:tcW w:w="3560" w:type="dxa"/>
            <w:vAlign w:val="bottom"/>
          </w:tcPr>
          <w:p>
            <w:pPr>
              <w:ind w:left="20"/>
              <w:spacing w:after="0"/>
              <w:rPr>
                <w:sz w:val="20"/>
                <w:szCs w:val="20"/>
                <w:color w:val="auto"/>
              </w:rPr>
            </w:pPr>
            <w:r>
              <w:rPr>
                <w:rFonts w:ascii="Arial" w:cs="Arial" w:eastAsia="Arial" w:hAnsi="Arial"/>
                <w:sz w:val="14"/>
                <w:szCs w:val="14"/>
                <w:color w:val="auto"/>
              </w:rPr>
              <w:t>Exercise of common stock options</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181,208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405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warrants</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3560" w:type="dxa"/>
            <w:vAlign w:val="bottom"/>
          </w:tcPr>
          <w:p>
            <w:pPr>
              <w:ind w:left="20"/>
              <w:spacing w:after="0"/>
              <w:rPr>
                <w:sz w:val="20"/>
                <w:szCs w:val="20"/>
                <w:color w:val="auto"/>
              </w:rPr>
            </w:pPr>
            <w:r>
              <w:rPr>
                <w:rFonts w:ascii="Arial" w:cs="Arial" w:eastAsia="Arial" w:hAnsi="Arial"/>
                <w:sz w:val="14"/>
                <w:szCs w:val="14"/>
                <w:color w:val="auto"/>
              </w:rPr>
              <w:t>Exchange of warrants for common stock</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5,581,890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54,471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54,471</w:t>
            </w: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1,668</w:t>
            </w:r>
          </w:p>
        </w:tc>
        <w:tc>
          <w:tcPr>
            <w:tcW w:w="0" w:type="dxa"/>
            <w:vAlign w:val="bottom"/>
          </w:tcPr>
          <w:p>
            <w:pPr>
              <w:spacing w:after="0"/>
              <w:rPr>
                <w:sz w:val="1"/>
                <w:szCs w:val="1"/>
                <w:color w:val="auto"/>
              </w:rPr>
            </w:pPr>
          </w:p>
        </w:tc>
      </w:tr>
      <w:tr>
        <w:trPr>
          <w:trHeight w:val="207"/>
        </w:trPr>
        <w:tc>
          <w:tcPr>
            <w:tcW w:w="356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8,000,000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78,714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78,715</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[as restated]</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6,835</w:t>
            </w:r>
          </w:p>
        </w:tc>
        <w:tc>
          <w:tcPr>
            <w:tcW w:w="0" w:type="dxa"/>
            <w:vAlign w:val="bottom"/>
          </w:tcPr>
          <w:p>
            <w:pPr>
              <w:spacing w:after="0"/>
              <w:rPr>
                <w:sz w:val="1"/>
                <w:szCs w:val="1"/>
                <w:color w:val="auto"/>
              </w:rPr>
            </w:pPr>
          </w:p>
        </w:tc>
      </w:tr>
      <w:tr>
        <w:trPr>
          <w:trHeight w:val="185"/>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2020 [as restated]</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92,146,013</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165,520</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(43,260)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122,269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See Note 2 for impact of restatement</w:t>
      </w:r>
    </w:p>
    <w:p>
      <w:pPr>
        <w:spacing w:after="0" w:line="231"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1320" w:right="1960"/>
        <w:spacing w:after="0" w:line="222" w:lineRule="auto"/>
        <w:rPr>
          <w:sz w:val="20"/>
          <w:szCs w:val="20"/>
          <w:color w:val="auto"/>
        </w:rPr>
      </w:pPr>
      <w:r>
        <w:rPr>
          <w:rFonts w:ascii="Arial" w:cs="Arial" w:eastAsia="Arial" w:hAnsi="Arial"/>
          <w:sz w:val="18"/>
          <w:szCs w:val="18"/>
          <w:b w:val="1"/>
          <w:bCs w:val="1"/>
          <w:color w:val="auto"/>
        </w:rPr>
        <w:t>ACCEL ENTERTAINMENT, INC. CONDENSED CONSOLIDATED STATEMENTS OF CASH FLOWS (Unaudited)</w:t>
      </w:r>
    </w:p>
    <w:p>
      <w:pPr>
        <w:spacing w:after="0" w:line="1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6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4"/>
                <w:szCs w:val="14"/>
                <w:color w:val="auto"/>
              </w:rPr>
            </w:pPr>
          </w:p>
        </w:tc>
        <w:tc>
          <w:tcPr>
            <w:tcW w:w="2320" w:type="dxa"/>
            <w:vAlign w:val="bottom"/>
            <w:gridSpan w:val="4"/>
          </w:tcPr>
          <w:p>
            <w:pPr>
              <w:jc w:val="right"/>
              <w:ind w:right="62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664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78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6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1"/>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w w:val="95"/>
              </w:rPr>
              <w:t>(As Restated)</w:t>
            </w:r>
          </w:p>
        </w:tc>
        <w:tc>
          <w:tcPr>
            <w:tcW w:w="0" w:type="dxa"/>
            <w:vAlign w:val="bottom"/>
          </w:tcPr>
          <w:p>
            <w:pPr>
              <w:spacing w:after="0"/>
              <w:rPr>
                <w:sz w:val="1"/>
                <w:szCs w:val="1"/>
                <w:color w:val="auto"/>
              </w:rPr>
            </w:pPr>
          </w:p>
        </w:tc>
      </w:tr>
      <w:tr>
        <w:trPr>
          <w:trHeight w:val="188"/>
        </w:trPr>
        <w:tc>
          <w:tcPr>
            <w:tcW w:w="6640" w:type="dxa"/>
            <w:vAlign w:val="bottom"/>
          </w:tcPr>
          <w:p>
            <w:pPr>
              <w:ind w:left="46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24,753</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8,110</w:t>
            </w: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40" w:type="dxa"/>
            <w:vAlign w:val="bottom"/>
          </w:tcPr>
          <w:p>
            <w:pPr>
              <w:ind w:left="860"/>
              <w:spacing w:after="0"/>
              <w:rPr>
                <w:sz w:val="20"/>
                <w:szCs w:val="20"/>
                <w:color w:val="auto"/>
              </w:rPr>
            </w:pPr>
            <w:r>
              <w:rPr>
                <w:rFonts w:ascii="Arial" w:cs="Arial" w:eastAsia="Arial" w:hAnsi="Arial"/>
                <w:sz w:val="14"/>
                <w:szCs w:val="14"/>
                <w:color w:val="auto"/>
              </w:rPr>
              <w:t>Depreciation and amortization of property and equipment</w:t>
            </w: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18,820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15,299</w:t>
            </w: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Amortization of route and customer acquisition costs and location contracts acquired</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18,489</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16,778</w:t>
            </w:r>
          </w:p>
        </w:tc>
        <w:tc>
          <w:tcPr>
            <w:tcW w:w="0" w:type="dxa"/>
            <w:vAlign w:val="bottom"/>
          </w:tcPr>
          <w:p>
            <w:pPr>
              <w:spacing w:after="0"/>
              <w:rPr>
                <w:sz w:val="1"/>
                <w:szCs w:val="1"/>
                <w:color w:val="auto"/>
              </w:rPr>
            </w:pPr>
          </w:p>
        </w:tc>
      </w:tr>
      <w:tr>
        <w:trPr>
          <w:trHeight w:val="188"/>
        </w:trPr>
        <w:tc>
          <w:tcPr>
            <w:tcW w:w="6640" w:type="dxa"/>
            <w:vAlign w:val="bottom"/>
          </w:tcPr>
          <w:p>
            <w:pPr>
              <w:ind w:left="860"/>
              <w:spacing w:after="0"/>
              <w:rPr>
                <w:sz w:val="20"/>
                <w:szCs w:val="20"/>
                <w:color w:val="auto"/>
              </w:rPr>
            </w:pPr>
            <w:r>
              <w:rPr>
                <w:rFonts w:ascii="Arial" w:cs="Arial" w:eastAsia="Arial" w:hAnsi="Arial"/>
                <w:sz w:val="14"/>
                <w:szCs w:val="14"/>
                <w:color w:val="auto"/>
              </w:rPr>
              <w:t>Amortization of debt issuance costs</w:t>
            </w: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1,514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1,414</w:t>
            </w: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Loss (gain) on change in fair value of contingent earnout shares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6,867</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(6,633)</w:t>
            </w:r>
          </w:p>
        </w:tc>
        <w:tc>
          <w:tcPr>
            <w:tcW w:w="0" w:type="dxa"/>
            <w:vAlign w:val="bottom"/>
          </w:tcPr>
          <w:p>
            <w:pPr>
              <w:spacing w:after="0"/>
              <w:rPr>
                <w:sz w:val="1"/>
                <w:szCs w:val="1"/>
                <w:color w:val="auto"/>
              </w:rPr>
            </w:pPr>
          </w:p>
        </w:tc>
      </w:tr>
      <w:tr>
        <w:trPr>
          <w:trHeight w:val="188"/>
        </w:trPr>
        <w:tc>
          <w:tcPr>
            <w:tcW w:w="6640" w:type="dxa"/>
            <w:vAlign w:val="bottom"/>
          </w:tcPr>
          <w:p>
            <w:pPr>
              <w:ind w:left="860"/>
              <w:spacing w:after="0"/>
              <w:rPr>
                <w:sz w:val="20"/>
                <w:szCs w:val="20"/>
                <w:color w:val="auto"/>
              </w:rPr>
            </w:pPr>
            <w:r>
              <w:rPr>
                <w:rFonts w:ascii="Arial" w:cs="Arial" w:eastAsia="Arial" w:hAnsi="Arial"/>
                <w:sz w:val="14"/>
                <w:szCs w:val="14"/>
                <w:color w:val="auto"/>
              </w:rPr>
              <w:t>Gain on change in fair value of warrants</w:t>
            </w:r>
          </w:p>
        </w:tc>
        <w:tc>
          <w:tcPr>
            <w:tcW w:w="28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(12,574)</w:t>
            </w: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Stock-based compensation</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4,707</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4,055</w:t>
            </w:r>
          </w:p>
        </w:tc>
        <w:tc>
          <w:tcPr>
            <w:tcW w:w="0" w:type="dxa"/>
            <w:vAlign w:val="bottom"/>
          </w:tcPr>
          <w:p>
            <w:pPr>
              <w:spacing w:after="0"/>
              <w:rPr>
                <w:sz w:val="1"/>
                <w:szCs w:val="1"/>
                <w:color w:val="auto"/>
              </w:rPr>
            </w:pPr>
          </w:p>
        </w:tc>
      </w:tr>
      <w:tr>
        <w:trPr>
          <w:trHeight w:val="188"/>
        </w:trPr>
        <w:tc>
          <w:tcPr>
            <w:tcW w:w="6640" w:type="dxa"/>
            <w:vAlign w:val="bottom"/>
          </w:tcPr>
          <w:p>
            <w:pPr>
              <w:ind w:left="860"/>
              <w:spacing w:after="0"/>
              <w:rPr>
                <w:sz w:val="20"/>
                <w:szCs w:val="20"/>
                <w:color w:val="auto"/>
              </w:rPr>
            </w:pPr>
            <w:r>
              <w:rPr>
                <w:rFonts w:ascii="Arial" w:cs="Arial" w:eastAsia="Arial" w:hAnsi="Arial"/>
                <w:sz w:val="14"/>
                <w:szCs w:val="14"/>
                <w:color w:val="auto"/>
              </w:rPr>
              <w:t>(Gain) loss on disposal of property and equipment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shd w:val="clear" w:color="auto" w:fill="CCEEFF"/>
          </w:tcPr>
          <w:p>
            <w:pPr>
              <w:ind w:left="860"/>
              <w:spacing w:after="0" w:line="133" w:lineRule="exact"/>
              <w:rPr>
                <w:sz w:val="20"/>
                <w:szCs w:val="20"/>
                <w:color w:val="auto"/>
              </w:rPr>
            </w:pPr>
            <w:r>
              <w:rPr>
                <w:rFonts w:ascii="Arial" w:cs="Arial" w:eastAsia="Arial" w:hAnsi="Arial"/>
                <w:sz w:val="14"/>
                <w:szCs w:val="14"/>
                <w:color w:val="auto"/>
                <w:w w:val="91"/>
              </w:rPr>
              <w:t>Net loss on write-off of route and customer acquisition costs and route and customer acquisition costs</w:t>
            </w: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326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payable</w:t>
            </w: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40" w:type="dxa"/>
            <w:vAlign w:val="bottom"/>
          </w:tcPr>
          <w:p>
            <w:pPr>
              <w:ind w:left="860"/>
              <w:spacing w:after="0"/>
              <w:rPr>
                <w:sz w:val="20"/>
                <w:szCs w:val="20"/>
                <w:color w:val="auto"/>
              </w:rPr>
            </w:pPr>
            <w:r>
              <w:rPr>
                <w:rFonts w:ascii="Arial" w:cs="Arial" w:eastAsia="Arial" w:hAnsi="Arial"/>
                <w:sz w:val="14"/>
                <w:szCs w:val="14"/>
                <w:color w:val="auto"/>
              </w:rPr>
              <w:t>Remeasurement of contingent consideration</w:t>
            </w: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3,679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(2,233)</w:t>
            </w: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6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Payments on consideration payable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w:t>
            </w:r>
          </w:p>
        </w:tc>
        <w:tc>
          <w:tcPr>
            <w:tcW w:w="0" w:type="dxa"/>
            <w:vAlign w:val="bottom"/>
          </w:tcPr>
          <w:p>
            <w:pPr>
              <w:spacing w:after="0"/>
              <w:rPr>
                <w:sz w:val="1"/>
                <w:szCs w:val="1"/>
                <w:color w:val="auto"/>
              </w:rPr>
            </w:pPr>
          </w:p>
        </w:tc>
      </w:tr>
      <w:tr>
        <w:trPr>
          <w:trHeight w:val="133"/>
        </w:trPr>
        <w:tc>
          <w:tcPr>
            <w:tcW w:w="6640" w:type="dxa"/>
            <w:vAlign w:val="bottom"/>
          </w:tcPr>
          <w:p>
            <w:pPr>
              <w:ind w:left="860"/>
              <w:spacing w:after="0" w:line="133" w:lineRule="exact"/>
              <w:rPr>
                <w:sz w:val="20"/>
                <w:szCs w:val="20"/>
                <w:color w:val="auto"/>
              </w:rPr>
            </w:pPr>
            <w:r>
              <w:rPr>
                <w:rFonts w:ascii="Arial" w:cs="Arial" w:eastAsia="Arial" w:hAnsi="Arial"/>
                <w:sz w:val="14"/>
                <w:szCs w:val="14"/>
                <w:color w:val="auto"/>
                <w:w w:val="93"/>
              </w:rPr>
              <w:t>Accretion of interest on route and customer acquisition costs payable, contingent consideration, and</w:t>
            </w:r>
          </w:p>
        </w:tc>
        <w:tc>
          <w:tcPr>
            <w:tcW w:w="280" w:type="dxa"/>
            <w:vAlign w:val="bottom"/>
          </w:tcPr>
          <w:p>
            <w:pPr>
              <w:spacing w:after="0"/>
              <w:rPr>
                <w:sz w:val="11"/>
                <w:szCs w:val="11"/>
                <w:color w:val="auto"/>
              </w:rPr>
            </w:pP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color w:val="auto"/>
              </w:rPr>
              <w:t>1,904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183"/>
        </w:trPr>
        <w:tc>
          <w:tcPr>
            <w:tcW w:w="6640" w:type="dxa"/>
            <w:vAlign w:val="bottom"/>
          </w:tcPr>
          <w:p>
            <w:pPr>
              <w:ind w:left="1020"/>
              <w:spacing w:after="0"/>
              <w:rPr>
                <w:sz w:val="20"/>
                <w:szCs w:val="20"/>
                <w:color w:val="auto"/>
              </w:rPr>
            </w:pPr>
            <w:r>
              <w:rPr>
                <w:rFonts w:ascii="Arial" w:cs="Arial" w:eastAsia="Arial" w:hAnsi="Arial"/>
                <w:sz w:val="14"/>
                <w:szCs w:val="14"/>
                <w:color w:val="auto"/>
              </w:rPr>
              <w:t>contingent stock consideration</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Deferred income taxes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6,186</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(11,788)</w:t>
            </w:r>
          </w:p>
        </w:tc>
        <w:tc>
          <w:tcPr>
            <w:tcW w:w="0" w:type="dxa"/>
            <w:vAlign w:val="bottom"/>
          </w:tcPr>
          <w:p>
            <w:pPr>
              <w:spacing w:after="0"/>
              <w:rPr>
                <w:sz w:val="1"/>
                <w:szCs w:val="1"/>
                <w:color w:val="auto"/>
              </w:rPr>
            </w:pPr>
          </w:p>
        </w:tc>
      </w:tr>
      <w:tr>
        <w:trPr>
          <w:trHeight w:val="188"/>
        </w:trPr>
        <w:tc>
          <w:tcPr>
            <w:tcW w:w="6640" w:type="dxa"/>
            <w:vAlign w:val="bottom"/>
          </w:tcPr>
          <w:p>
            <w:pPr>
              <w:ind w:left="86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(3,421)</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0" w:type="dxa"/>
            <w:vAlign w:val="bottom"/>
          </w:tcPr>
          <w:p>
            <w:pPr>
              <w:spacing w:after="0"/>
              <w:rPr>
                <w:sz w:val="1"/>
                <w:szCs w:val="1"/>
                <w:color w:val="auto"/>
              </w:rPr>
            </w:pPr>
          </w:p>
        </w:tc>
      </w:tr>
      <w:tr>
        <w:trPr>
          <w:trHeight w:val="207"/>
        </w:trPr>
        <w:tc>
          <w:tcPr>
            <w:tcW w:w="6640" w:type="dxa"/>
            <w:vAlign w:val="bottom"/>
          </w:tcPr>
          <w:p>
            <w:pPr>
              <w:ind w:left="1300"/>
              <w:spacing w:after="0"/>
              <w:rPr>
                <w:sz w:val="20"/>
                <w:szCs w:val="20"/>
                <w:color w:val="auto"/>
              </w:rPr>
            </w:pPr>
            <w:r>
              <w:rPr>
                <w:rFonts w:ascii="Arial" w:cs="Arial" w:eastAsia="Arial" w:hAnsi="Arial"/>
                <w:sz w:val="14"/>
                <w:szCs w:val="14"/>
                <w:color w:val="auto"/>
              </w:rPr>
              <w:t>Income taxes receivable</w:t>
            </w:r>
          </w:p>
        </w:tc>
        <w:tc>
          <w:tcPr>
            <w:tcW w:w="28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2,618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6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4"/>
                <w:szCs w:val="14"/>
                <w:color w:val="auto"/>
              </w:rPr>
              <w:t>Route and customer acquisition costs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88"/>
        </w:trPr>
        <w:tc>
          <w:tcPr>
            <w:tcW w:w="6640" w:type="dxa"/>
            <w:vAlign w:val="bottom"/>
          </w:tcPr>
          <w:p>
            <w:pPr>
              <w:ind w:left="1300"/>
              <w:spacing w:after="0"/>
              <w:rPr>
                <w:sz w:val="20"/>
                <w:szCs w:val="20"/>
                <w:color w:val="auto"/>
              </w:rPr>
            </w:pPr>
            <w:r>
              <w:rPr>
                <w:rFonts w:ascii="Arial" w:cs="Arial" w:eastAsia="Arial" w:hAnsi="Arial"/>
                <w:sz w:val="14"/>
                <w:szCs w:val="14"/>
                <w:color w:val="auto"/>
              </w:rPr>
              <w:t>Route and customer acquisition costs payable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4"/>
                <w:szCs w:val="14"/>
                <w:color w:val="auto"/>
              </w:rPr>
              <w:t>Accounts payable and accrued expenses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(4,677)</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(5,662)</w:t>
            </w:r>
          </w:p>
        </w:tc>
        <w:tc>
          <w:tcPr>
            <w:tcW w:w="0" w:type="dxa"/>
            <w:vAlign w:val="bottom"/>
          </w:tcPr>
          <w:p>
            <w:pPr>
              <w:spacing w:after="0"/>
              <w:rPr>
                <w:sz w:val="1"/>
                <w:szCs w:val="1"/>
                <w:color w:val="auto"/>
              </w:rPr>
            </w:pPr>
          </w:p>
        </w:tc>
      </w:tr>
      <w:tr>
        <w:trPr>
          <w:trHeight w:val="188"/>
        </w:trPr>
        <w:tc>
          <w:tcPr>
            <w:tcW w:w="6640" w:type="dxa"/>
            <w:vAlign w:val="bottom"/>
          </w:tcPr>
          <w:p>
            <w:pPr>
              <w:ind w:left="1300"/>
              <w:spacing w:after="0"/>
              <w:rPr>
                <w:sz w:val="20"/>
                <w:szCs w:val="20"/>
                <w:color w:val="auto"/>
              </w:rPr>
            </w:pPr>
            <w:r>
              <w:rPr>
                <w:rFonts w:ascii="Arial" w:cs="Arial" w:eastAsia="Arial" w:hAnsi="Arial"/>
                <w:sz w:val="14"/>
                <w:szCs w:val="14"/>
                <w:color w:val="auto"/>
              </w:rPr>
              <w:t>Accrued compensation and related expenses</w:t>
            </w: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1,826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1"/>
        </w:trPr>
        <w:tc>
          <w:tcPr>
            <w:tcW w:w="6640" w:type="dxa"/>
            <w:vAlign w:val="bottom"/>
          </w:tcPr>
          <w:p>
            <w:pPr>
              <w:ind w:left="1740"/>
              <w:spacing w:after="0"/>
              <w:rPr>
                <w:sz w:val="20"/>
                <w:szCs w:val="20"/>
                <w:color w:val="auto"/>
              </w:rPr>
            </w:pPr>
            <w:r>
              <w:rPr>
                <w:rFonts w:ascii="Arial" w:cs="Arial" w:eastAsia="Arial" w:hAnsi="Arial"/>
                <w:sz w:val="14"/>
                <w:szCs w:val="14"/>
                <w:b w:val="1"/>
                <w:bCs w:val="1"/>
                <w:color w:val="auto"/>
              </w:rPr>
              <w:t>Net cash provided by operating activities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80,262</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24"/>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40" w:type="dxa"/>
            <w:vAlign w:val="bottom"/>
          </w:tcPr>
          <w:p>
            <w:pPr>
              <w:ind w:left="46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(18,767)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(17,656)</w:t>
            </w: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Proceeds from the sale of property and equipment</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806</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7"/>
        </w:trPr>
        <w:tc>
          <w:tcPr>
            <w:tcW w:w="664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Business and asset acquisitions, net of cash acquired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(5,611)</w:t>
            </w:r>
          </w:p>
        </w:tc>
        <w:tc>
          <w:tcPr>
            <w:tcW w:w="0" w:type="dxa"/>
            <w:vAlign w:val="bottom"/>
          </w:tcPr>
          <w:p>
            <w:pPr>
              <w:spacing w:after="0"/>
              <w:rPr>
                <w:sz w:val="1"/>
                <w:szCs w:val="1"/>
                <w:color w:val="auto"/>
              </w:rPr>
            </w:pPr>
          </w:p>
        </w:tc>
      </w:tr>
      <w:tr>
        <w:trPr>
          <w:trHeight w:val="211"/>
        </w:trPr>
        <w:tc>
          <w:tcPr>
            <w:tcW w:w="664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4"/>
                <w:szCs w:val="14"/>
                <w:b w:val="1"/>
                <w:bCs w:val="1"/>
                <w:color w:val="auto"/>
              </w:rPr>
              <w:t>Net cash used in investing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(21,220)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(23,148)</w:t>
            </w:r>
          </w:p>
        </w:tc>
        <w:tc>
          <w:tcPr>
            <w:tcW w:w="0" w:type="dxa"/>
            <w:vAlign w:val="bottom"/>
          </w:tcPr>
          <w:p>
            <w:pPr>
              <w:spacing w:after="0"/>
              <w:rPr>
                <w:sz w:val="1"/>
                <w:szCs w:val="1"/>
                <w:color w:val="auto"/>
              </w:rPr>
            </w:pPr>
          </w:p>
        </w:tc>
      </w:tr>
      <w:tr>
        <w:trPr>
          <w:trHeight w:val="168"/>
        </w:trPr>
        <w:tc>
          <w:tcPr>
            <w:tcW w:w="66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Payments on term loan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207"/>
        </w:trPr>
        <w:tc>
          <w:tcPr>
            <w:tcW w:w="6640" w:type="dxa"/>
            <w:vAlign w:val="bottom"/>
          </w:tcPr>
          <w:p>
            <w:pPr>
              <w:ind w:left="460"/>
              <w:spacing w:after="0"/>
              <w:rPr>
                <w:sz w:val="20"/>
                <w:szCs w:val="20"/>
                <w:color w:val="auto"/>
              </w:rPr>
            </w:pPr>
            <w:r>
              <w:rPr>
                <w:rFonts w:ascii="Arial" w:cs="Arial" w:eastAsia="Arial" w:hAnsi="Arial"/>
                <w:sz w:val="14"/>
                <w:szCs w:val="14"/>
                <w:color w:val="auto"/>
              </w:rPr>
              <w:t>Proceeds from delayed draw term loans</w:t>
            </w:r>
          </w:p>
        </w:tc>
        <w:tc>
          <w:tcPr>
            <w:tcW w:w="2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65,000</w:t>
            </w: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Payments on delayed draw term loans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w:t>
            </w:r>
          </w:p>
        </w:tc>
        <w:tc>
          <w:tcPr>
            <w:tcW w:w="0" w:type="dxa"/>
            <w:vAlign w:val="bottom"/>
          </w:tcPr>
          <w:p>
            <w:pPr>
              <w:spacing w:after="0"/>
              <w:rPr>
                <w:sz w:val="1"/>
                <w:szCs w:val="1"/>
                <w:color w:val="auto"/>
              </w:rPr>
            </w:pPr>
          </w:p>
        </w:tc>
      </w:tr>
      <w:tr>
        <w:trPr>
          <w:trHeight w:val="207"/>
        </w:trPr>
        <w:tc>
          <w:tcPr>
            <w:tcW w:w="6640" w:type="dxa"/>
            <w:vAlign w:val="bottom"/>
          </w:tcPr>
          <w:p>
            <w:pPr>
              <w:ind w:left="460"/>
              <w:spacing w:after="0"/>
              <w:rPr>
                <w:sz w:val="20"/>
                <w:szCs w:val="20"/>
                <w:color w:val="auto"/>
              </w:rPr>
            </w:pPr>
            <w:r>
              <w:rPr>
                <w:rFonts w:ascii="Arial" w:cs="Arial" w:eastAsia="Arial" w:hAnsi="Arial"/>
                <w:sz w:val="14"/>
                <w:szCs w:val="14"/>
                <w:color w:val="auto"/>
              </w:rPr>
              <w:t>Proceeds from line of credit</w:t>
            </w:r>
          </w:p>
        </w:tc>
        <w:tc>
          <w:tcPr>
            <w:tcW w:w="28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47,000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49,000</w:t>
            </w: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Payments on line of credit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(102,500)</w:t>
            </w:r>
          </w:p>
        </w:tc>
        <w:tc>
          <w:tcPr>
            <w:tcW w:w="0" w:type="dxa"/>
            <w:vAlign w:val="bottom"/>
          </w:tcPr>
          <w:p>
            <w:pPr>
              <w:spacing w:after="0"/>
              <w:rPr>
                <w:sz w:val="1"/>
                <w:szCs w:val="1"/>
                <w:color w:val="auto"/>
              </w:rPr>
            </w:pPr>
          </w:p>
        </w:tc>
      </w:tr>
      <w:tr>
        <w:trPr>
          <w:trHeight w:val="207"/>
        </w:trPr>
        <w:tc>
          <w:tcPr>
            <w:tcW w:w="6640" w:type="dxa"/>
            <w:vAlign w:val="bottom"/>
          </w:tcPr>
          <w:p>
            <w:pPr>
              <w:ind w:left="460"/>
              <w:spacing w:after="0"/>
              <w:rPr>
                <w:sz w:val="20"/>
                <w:szCs w:val="20"/>
                <w:color w:val="auto"/>
              </w:rPr>
            </w:pPr>
            <w:r>
              <w:rPr>
                <w:rFonts w:ascii="Arial" w:cs="Arial" w:eastAsia="Arial" w:hAnsi="Arial"/>
                <w:sz w:val="14"/>
                <w:szCs w:val="14"/>
                <w:color w:val="auto"/>
              </w:rPr>
              <w:t>Payments for debt issuance costs</w:t>
            </w:r>
          </w:p>
        </w:tc>
        <w:tc>
          <w:tcPr>
            <w:tcW w:w="2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Proceeds from issuance of common stock, net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78,714</w:t>
            </w:r>
          </w:p>
        </w:tc>
        <w:tc>
          <w:tcPr>
            <w:tcW w:w="0" w:type="dxa"/>
            <w:vAlign w:val="bottom"/>
          </w:tcPr>
          <w:p>
            <w:pPr>
              <w:spacing w:after="0"/>
              <w:rPr>
                <w:sz w:val="1"/>
                <w:szCs w:val="1"/>
                <w:color w:val="auto"/>
              </w:rPr>
            </w:pPr>
          </w:p>
        </w:tc>
      </w:tr>
      <w:tr>
        <w:trPr>
          <w:trHeight w:val="207"/>
        </w:trPr>
        <w:tc>
          <w:tcPr>
            <w:tcW w:w="6640" w:type="dxa"/>
            <w:vAlign w:val="bottom"/>
          </w:tcPr>
          <w:p>
            <w:pPr>
              <w:ind w:left="460"/>
              <w:spacing w:after="0"/>
              <w:rPr>
                <w:sz w:val="20"/>
                <w:szCs w:val="20"/>
                <w:color w:val="auto"/>
              </w:rPr>
            </w:pPr>
            <w:r>
              <w:rPr>
                <w:rFonts w:ascii="Arial" w:cs="Arial" w:eastAsia="Arial" w:hAnsi="Arial"/>
                <w:sz w:val="14"/>
                <w:szCs w:val="14"/>
                <w:color w:val="auto"/>
              </w:rPr>
              <w:t>Proceeds from exercise of stock options and warrants</w:t>
            </w:r>
          </w:p>
        </w:tc>
        <w:tc>
          <w:tcPr>
            <w:tcW w:w="28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1,455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Payments on consideration payable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(4,650)</w:t>
            </w:r>
          </w:p>
        </w:tc>
        <w:tc>
          <w:tcPr>
            <w:tcW w:w="0" w:type="dxa"/>
            <w:vAlign w:val="bottom"/>
          </w:tcPr>
          <w:p>
            <w:pPr>
              <w:spacing w:after="0"/>
              <w:rPr>
                <w:sz w:val="1"/>
                <w:szCs w:val="1"/>
                <w:color w:val="auto"/>
              </w:rPr>
            </w:pPr>
          </w:p>
        </w:tc>
      </w:tr>
      <w:tr>
        <w:trPr>
          <w:trHeight w:val="187"/>
        </w:trPr>
        <w:tc>
          <w:tcPr>
            <w:tcW w:w="6640" w:type="dxa"/>
            <w:vAlign w:val="bottom"/>
            <w:tcBorders>
              <w:bottom w:val="single" w:sz="8" w:color="CCEEFF"/>
            </w:tcBorders>
          </w:tcPr>
          <w:p>
            <w:pPr>
              <w:ind w:left="17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(13,610)</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72,735</w:t>
            </w:r>
          </w:p>
        </w:tc>
        <w:tc>
          <w:tcPr>
            <w:tcW w:w="0" w:type="dxa"/>
            <w:vAlign w:val="bottom"/>
          </w:tcPr>
          <w:p>
            <w:pPr>
              <w:spacing w:after="0"/>
              <w:rPr>
                <w:sz w:val="1"/>
                <w:szCs w:val="1"/>
                <w:color w:val="auto"/>
              </w:rPr>
            </w:pPr>
          </w:p>
        </w:tc>
      </w:tr>
      <w:tr>
        <w:trPr>
          <w:trHeight w:val="198"/>
        </w:trPr>
        <w:tc>
          <w:tcPr>
            <w:tcW w:w="6640" w:type="dxa"/>
            <w:vAlign w:val="bottom"/>
            <w:shd w:val="clear" w:color="auto" w:fill="CCEEFF"/>
          </w:tcPr>
          <w:p>
            <w:pPr>
              <w:ind w:left="1740"/>
              <w:spacing w:after="0"/>
              <w:rPr>
                <w:sz w:val="20"/>
                <w:szCs w:val="20"/>
                <w:color w:val="auto"/>
              </w:rPr>
            </w:pPr>
            <w:r>
              <w:rPr>
                <w:rFonts w:ascii="Arial" w:cs="Arial" w:eastAsia="Arial" w:hAnsi="Arial"/>
                <w:sz w:val="14"/>
                <w:szCs w:val="14"/>
                <w:b w:val="1"/>
                <w:bCs w:val="1"/>
                <w:color w:val="auto"/>
              </w:rPr>
              <w:t>Net increase in cash and cash equivalents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45,432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53,705</w:t>
            </w:r>
          </w:p>
        </w:tc>
        <w:tc>
          <w:tcPr>
            <w:tcW w:w="0" w:type="dxa"/>
            <w:vAlign w:val="bottom"/>
          </w:tcPr>
          <w:p>
            <w:pPr>
              <w:spacing w:after="0"/>
              <w:rPr>
                <w:sz w:val="1"/>
                <w:szCs w:val="1"/>
                <w:color w:val="auto"/>
              </w:rPr>
            </w:pPr>
          </w:p>
        </w:tc>
      </w:tr>
      <w:tr>
        <w:trPr>
          <w:trHeight w:val="188"/>
        </w:trPr>
        <w:tc>
          <w:tcPr>
            <w:tcW w:w="66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Beginning of period</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134,451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125,403</w:t>
            </w:r>
          </w:p>
        </w:tc>
        <w:tc>
          <w:tcPr>
            <w:tcW w:w="0" w:type="dxa"/>
            <w:vAlign w:val="bottom"/>
          </w:tcPr>
          <w:p>
            <w:pPr>
              <w:spacing w:after="0"/>
              <w:rPr>
                <w:sz w:val="1"/>
                <w:szCs w:val="1"/>
                <w:color w:val="auto"/>
              </w:rPr>
            </w:pPr>
          </w:p>
        </w:tc>
      </w:tr>
      <w:tr>
        <w:trPr>
          <w:trHeight w:val="206"/>
        </w:trPr>
        <w:tc>
          <w:tcPr>
            <w:tcW w:w="6640" w:type="dxa"/>
            <w:vAlign w:val="bottom"/>
          </w:tcPr>
          <w:p>
            <w:pPr>
              <w:ind w:left="460"/>
              <w:spacing w:after="0"/>
              <w:rPr>
                <w:sz w:val="20"/>
                <w:szCs w:val="20"/>
                <w:color w:val="auto"/>
              </w:rPr>
            </w:pPr>
            <w:r>
              <w:rPr>
                <w:rFonts w:ascii="Arial" w:cs="Arial" w:eastAsia="Arial" w:hAnsi="Arial"/>
                <w:sz w:val="14"/>
                <w:szCs w:val="14"/>
                <w:color w:val="auto"/>
              </w:rPr>
              <w:t>End of period</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179,883</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179,108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40"/>
          </w:cols>
          <w:pgMar w:left="320" w:top="127" w:right="1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ACCEL ENTERTAINMENT, INC.</w:t>
      </w:r>
    </w:p>
    <w:p>
      <w:pPr>
        <w:jc w:val="center"/>
        <w:ind w:right="-999"/>
        <w:spacing w:after="0" w:line="200" w:lineRule="auto"/>
        <w:rPr>
          <w:sz w:val="20"/>
          <w:szCs w:val="20"/>
          <w:color w:val="auto"/>
        </w:rPr>
      </w:pPr>
      <w:r>
        <w:rPr>
          <w:rFonts w:ascii="Arial" w:cs="Arial" w:eastAsia="Arial" w:hAnsi="Arial"/>
          <w:sz w:val="18"/>
          <w:szCs w:val="18"/>
          <w:b w:val="1"/>
          <w:bCs w:val="1"/>
          <w:color w:val="auto"/>
        </w:rPr>
        <w:t>CONDENSED CONSOLIDATED STATEMENTS OF CASH FLOWS - (Continued)</w:t>
      </w:r>
    </w:p>
    <w:p>
      <w:pPr>
        <w:jc w:val="center"/>
        <w:ind w:right="-9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2540</wp:posOffset>
            </wp:positionV>
            <wp:extent cx="5869305" cy="16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9305" cy="160020"/>
                    </a:xfrm>
                    <a:prstGeom prst="rect">
                      <a:avLst/>
                    </a:prstGeom>
                    <a:noFill/>
                  </pic:spPr>
                </pic:pic>
              </a:graphicData>
            </a:graphic>
          </wp:anchor>
        </w:drawing>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Supplemental disclosures of cash flow information:</w:t>
      </w:r>
    </w:p>
    <w:p>
      <w:pPr>
        <w:spacing w:after="0" w:line="91" w:lineRule="exact"/>
        <w:rPr>
          <w:sz w:val="20"/>
          <w:szCs w:val="20"/>
          <w:color w:val="auto"/>
        </w:rPr>
      </w:pPr>
    </w:p>
    <w:tbl>
      <w:tblPr>
        <w:tblLayout w:type="fixed"/>
        <w:tblInd w:w="1000" w:type="dxa"/>
        <w:tblCellMar>
          <w:top w:w="0" w:type="dxa"/>
          <w:left w:w="0" w:type="dxa"/>
          <w:bottom w:w="0" w:type="dxa"/>
          <w:right w:w="0" w:type="dxa"/>
        </w:tblCellMar>
      </w:tblPr>
      <w:tr>
        <w:trPr>
          <w:trHeight w:val="180"/>
        </w:trPr>
        <w:tc>
          <w:tcPr>
            <w:tcW w:w="6620" w:type="dxa"/>
            <w:vAlign w:val="bottom"/>
          </w:tcPr>
          <w:p>
            <w:pPr>
              <w:ind w:left="460"/>
              <w:spacing w:after="0"/>
              <w:rPr>
                <w:sz w:val="20"/>
                <w:szCs w:val="20"/>
                <w:color w:val="auto"/>
              </w:rPr>
            </w:pPr>
            <w:r>
              <w:rPr>
                <w:rFonts w:ascii="Arial" w:cs="Arial" w:eastAsia="Arial" w:hAnsi="Arial"/>
                <w:sz w:val="14"/>
                <w:szCs w:val="14"/>
                <w:color w:val="auto"/>
              </w:rPr>
              <w:t>Cash payments for:</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6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Interest</w:t>
            </w:r>
          </w:p>
        </w:tc>
        <w:tc>
          <w:tcPr>
            <w:tcW w:w="48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8,818</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9,803</w:t>
            </w:r>
          </w:p>
        </w:tc>
      </w:tr>
      <w:tr>
        <w:trPr>
          <w:trHeight w:val="228"/>
        </w:trPr>
        <w:tc>
          <w:tcPr>
            <w:tcW w:w="6620" w:type="dxa"/>
            <w:vAlign w:val="bottom"/>
          </w:tcPr>
          <w:p>
            <w:pPr>
              <w:ind w:left="860"/>
              <w:spacing w:after="0"/>
              <w:rPr>
                <w:sz w:val="20"/>
                <w:szCs w:val="20"/>
                <w:color w:val="auto"/>
              </w:rPr>
            </w:pPr>
            <w:r>
              <w:rPr>
                <w:rFonts w:ascii="Arial" w:cs="Arial" w:eastAsia="Arial" w:hAnsi="Arial"/>
                <w:sz w:val="14"/>
                <w:szCs w:val="14"/>
                <w:color w:val="auto"/>
              </w:rPr>
              <w:t>Income taxes</w:t>
            </w: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6,307</w:t>
            </w:r>
          </w:p>
        </w:tc>
        <w:tc>
          <w:tcPr>
            <w:tcW w:w="140" w:type="dxa"/>
            <w:vAlign w:val="bottom"/>
          </w:tcPr>
          <w:p>
            <w:pPr>
              <w:spacing w:after="0"/>
              <w:rPr>
                <w:sz w:val="19"/>
                <w:szCs w:val="19"/>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6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schedules of noncash investing and financing activities:</w:t>
            </w: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28"/>
        </w:trPr>
        <w:tc>
          <w:tcPr>
            <w:tcW w:w="6620" w:type="dxa"/>
            <w:vAlign w:val="bottom"/>
          </w:tcPr>
          <w:p>
            <w:pPr>
              <w:ind w:left="460"/>
              <w:spacing w:after="0"/>
              <w:rPr>
                <w:sz w:val="20"/>
                <w:szCs w:val="20"/>
                <w:color w:val="auto"/>
              </w:rPr>
            </w:pPr>
            <w:r>
              <w:rPr>
                <w:rFonts w:ascii="Arial" w:cs="Arial" w:eastAsia="Arial" w:hAnsi="Arial"/>
                <w:sz w:val="14"/>
                <w:szCs w:val="14"/>
                <w:color w:val="auto"/>
              </w:rPr>
              <w:t>Purchases of property and equipment in accounts payable and accrued liabilities</w:t>
            </w: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4,202</w:t>
            </w:r>
          </w:p>
        </w:tc>
        <w:tc>
          <w:tcPr>
            <w:tcW w:w="140" w:type="dxa"/>
            <w:vAlign w:val="bottom"/>
          </w:tcPr>
          <w:p>
            <w:pPr>
              <w:spacing w:after="0"/>
              <w:rPr>
                <w:sz w:val="19"/>
                <w:szCs w:val="19"/>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7,097</w:t>
            </w:r>
          </w:p>
        </w:tc>
      </w:tr>
      <w:tr>
        <w:trPr>
          <w:trHeight w:val="24"/>
        </w:trPr>
        <w:tc>
          <w:tcPr>
            <w:tcW w:w="6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2"/>
        </w:trPr>
        <w:tc>
          <w:tcPr>
            <w:tcW w:w="66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Common stock offering costs in accounts payable and accrued liabilities</w:t>
            </w: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w:t>
            </w:r>
          </w:p>
        </w:tc>
      </w:tr>
      <w:tr>
        <w:trPr>
          <w:trHeight w:val="228"/>
        </w:trPr>
        <w:tc>
          <w:tcPr>
            <w:tcW w:w="6620" w:type="dxa"/>
            <w:vAlign w:val="bottom"/>
          </w:tcPr>
          <w:p>
            <w:pPr>
              <w:ind w:left="460"/>
              <w:spacing w:after="0"/>
              <w:rPr>
                <w:sz w:val="20"/>
                <w:szCs w:val="20"/>
                <w:color w:val="auto"/>
              </w:rPr>
            </w:pPr>
            <w:r>
              <w:rPr>
                <w:rFonts w:ascii="Arial" w:cs="Arial" w:eastAsia="Arial" w:hAnsi="Arial"/>
                <w:sz w:val="14"/>
                <w:szCs w:val="14"/>
                <w:color w:val="auto"/>
              </w:rPr>
              <w:t>Conversion of contingent earnout shares</w:t>
            </w: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19,160</w:t>
            </w:r>
          </w:p>
        </w:tc>
      </w:tr>
      <w:tr>
        <w:trPr>
          <w:trHeight w:val="24"/>
        </w:trPr>
        <w:tc>
          <w:tcPr>
            <w:tcW w:w="6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Acquisition of businesses and assets:</w:t>
            </w: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28"/>
        </w:trPr>
        <w:tc>
          <w:tcPr>
            <w:tcW w:w="6620" w:type="dxa"/>
            <w:vAlign w:val="bottom"/>
          </w:tcPr>
          <w:p>
            <w:pPr>
              <w:ind w:left="460"/>
              <w:spacing w:after="0"/>
              <w:rPr>
                <w:sz w:val="20"/>
                <w:szCs w:val="20"/>
                <w:color w:val="auto"/>
              </w:rPr>
            </w:pPr>
            <w:r>
              <w:rPr>
                <w:rFonts w:ascii="Arial" w:cs="Arial" w:eastAsia="Arial" w:hAnsi="Arial"/>
                <w:sz w:val="14"/>
                <w:szCs w:val="14"/>
                <w:color w:val="auto"/>
              </w:rPr>
              <w:t>Total identifiable net assets acquired</w:t>
            </w: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3,364</w:t>
            </w:r>
          </w:p>
        </w:tc>
        <w:tc>
          <w:tcPr>
            <w:tcW w:w="140" w:type="dxa"/>
            <w:vAlign w:val="bottom"/>
          </w:tcPr>
          <w:p>
            <w:pPr>
              <w:spacing w:after="0"/>
              <w:rPr>
                <w:sz w:val="19"/>
                <w:szCs w:val="19"/>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7,563</w:t>
            </w:r>
          </w:p>
        </w:tc>
      </w:tr>
      <w:tr>
        <w:trPr>
          <w:trHeight w:val="24"/>
        </w:trPr>
        <w:tc>
          <w:tcPr>
            <w:tcW w:w="6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Less cash acquired</w:t>
            </w: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228"/>
        </w:trPr>
        <w:tc>
          <w:tcPr>
            <w:tcW w:w="6620" w:type="dxa"/>
            <w:vAlign w:val="bottom"/>
          </w:tcPr>
          <w:p>
            <w:pPr>
              <w:ind w:left="460"/>
              <w:spacing w:after="0"/>
              <w:rPr>
                <w:sz w:val="20"/>
                <w:szCs w:val="20"/>
                <w:color w:val="auto"/>
              </w:rPr>
            </w:pPr>
            <w:r>
              <w:rPr>
                <w:rFonts w:ascii="Arial" w:cs="Arial" w:eastAsia="Arial" w:hAnsi="Arial"/>
                <w:sz w:val="14"/>
                <w:szCs w:val="14"/>
                <w:color w:val="auto"/>
              </w:rPr>
              <w:t>Less consideration payable</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(1,740)</w:t>
            </w:r>
          </w:p>
        </w:tc>
      </w:tr>
      <w:tr>
        <w:trPr>
          <w:trHeight w:val="24"/>
        </w:trPr>
        <w:tc>
          <w:tcPr>
            <w:tcW w:w="6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purchase price</w:t>
            </w: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3,259</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ind w:right="-999"/>
        <w:spacing w:after="0"/>
        <w:rPr>
          <w:sz w:val="20"/>
          <w:szCs w:val="20"/>
          <w:color w:val="auto"/>
        </w:rPr>
      </w:pPr>
      <w:r>
        <w:rPr>
          <w:rFonts w:ascii="Arial" w:cs="Arial" w:eastAsia="Arial" w:hAnsi="Arial"/>
          <w:sz w:val="18"/>
          <w:szCs w:val="18"/>
          <w:color w:val="auto"/>
        </w:rPr>
        <w:t>See Note 2 for impact of restatement</w:t>
      </w:r>
    </w:p>
    <w:p>
      <w:pPr>
        <w:spacing w:after="0" w:line="218"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40"/>
          </w:cols>
          <w:pgMar w:left="320" w:top="127" w:right="1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ACCEL ENTERTAINMENT,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84" w:lineRule="exact"/>
        <w:rPr>
          <w:sz w:val="20"/>
          <w:szCs w:val="20"/>
          <w:color w:val="auto"/>
        </w:rPr>
      </w:pPr>
    </w:p>
    <w:p>
      <w:pPr>
        <w:jc w:val="both"/>
        <w:ind w:firstLine="319"/>
        <w:spacing w:after="0" w:line="360" w:lineRule="auto"/>
        <w:rPr>
          <w:sz w:val="20"/>
          <w:szCs w:val="20"/>
          <w:color w:val="auto"/>
        </w:rPr>
      </w:pPr>
      <w:r>
        <w:rPr>
          <w:rFonts w:ascii="Arial" w:cs="Arial" w:eastAsia="Arial" w:hAnsi="Arial"/>
          <w:sz w:val="15"/>
          <w:szCs w:val="15"/>
          <w:color w:val="auto"/>
        </w:rPr>
        <w:t>Accel Entertainment, Inc.'s (and together with its subsidiaries, the “Company”) wholly owned subsidiary, Accel Entertainment Gaming LLC, is a terminal operator licensed by the State of Illinois Gaming Board (“IGB”) since March 15, 2012. Its terminal operator license allows the Company to install and operate video gaming terminals (“VGTs”) in licensed video gaming locations throughout the State of Illinois as approved by individual municipalities. The Company also operates redemption terminals, which also function as automated teller machines (“ATMs”) at its licensed video gaming locations, and amusement equipment at certain locations. The Illinois terminal operator license, which is not transferable or assignable, requires compliance with applicable regulations and the license is renewable annually unless sooner cancelled or terminated. In July 2020, the Georgia Lottery Corporation approved one of the Company's consolidated subsidiaries as a licensed operator, or Master Licensee, which allows the Company to install and operate coin operated amusement machines for commercial use by the public for play throughout the State of Georgia. The Company also holds a license from the Pennsylvania Gaming Control Board. The Company is subject to various federal, state and local laws and regulations in addition to gaming regulations.</w:t>
      </w:r>
    </w:p>
    <w:p>
      <w:pPr>
        <w:spacing w:after="0" w:line="75"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The Company operates 13,384 and 11,597 video gaming terminals across 2,549 and 2,363 locations in the State of Illinois as of September 30, 2021 and 2020, respectively.</w:t>
      </w:r>
    </w:p>
    <w:p>
      <w:pPr>
        <w:spacing w:after="0" w:line="126" w:lineRule="exact"/>
        <w:rPr>
          <w:sz w:val="20"/>
          <w:szCs w:val="20"/>
          <w:color w:val="auto"/>
        </w:rPr>
      </w:pPr>
    </w:p>
    <w:p>
      <w:pPr>
        <w:jc w:val="both"/>
        <w:ind w:firstLine="319"/>
        <w:spacing w:after="0" w:line="374" w:lineRule="auto"/>
        <w:rPr>
          <w:sz w:val="20"/>
          <w:szCs w:val="20"/>
          <w:color w:val="auto"/>
        </w:rPr>
      </w:pPr>
      <w:r>
        <w:rPr>
          <w:rFonts w:ascii="Arial" w:cs="Arial" w:eastAsia="Arial" w:hAnsi="Arial"/>
          <w:sz w:val="15"/>
          <w:szCs w:val="15"/>
          <w:color w:val="auto"/>
        </w:rPr>
        <w:t>The Company is an emerging growth company (“EGC”) under the Jumpstart Our Business Startups Act of 2012 (“JOBS Act”) following the consummation of a reverse recapitalization that occurred on November 20, 2019. The Company has elected to use this extended transition period for complying with new or revised accounting standards pursuant to Section 107(b) of the JOBS Act and as a result of this election, its financial statements may not be comparable to companies that comply with public company effective dates. The Company expects to remain an EGC until December 31, 2022.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the Condensed Consolidated Financial Statements</w:t>
      </w:r>
    </w:p>
    <w:p>
      <w:pPr>
        <w:spacing w:after="0" w:line="211" w:lineRule="exact"/>
        <w:rPr>
          <w:sz w:val="20"/>
          <w:szCs w:val="20"/>
          <w:color w:val="auto"/>
        </w:rPr>
      </w:pPr>
    </w:p>
    <w:p>
      <w:pPr>
        <w:jc w:val="both"/>
        <w:ind w:firstLine="319"/>
        <w:spacing w:after="0" w:line="357" w:lineRule="auto"/>
        <w:rPr>
          <w:sz w:val="20"/>
          <w:szCs w:val="20"/>
          <w:color w:val="auto"/>
        </w:rPr>
      </w:pPr>
      <w:r>
        <w:rPr>
          <w:rFonts w:ascii="Arial" w:cs="Arial" w:eastAsia="Arial" w:hAnsi="Arial"/>
          <w:sz w:val="15"/>
          <w:szCs w:val="15"/>
          <w:color w:val="auto"/>
        </w:rPr>
        <w:t>In response to the initial COVID-19 outbreak, the IGB made the decision to shut down all VGTs across the State of Illinois starting at 9:00 p.m. on March 16, 2020 and ultimately extended the shutdown through June 30, 2020. This temporary shutdown of Illinois video gaming impacted 106 of the 274 gaming days (or 39% of gaming days) during the nine months ended September 30, 2020. As a resurgence of COVID-19 occurred in the fall of 2020, the virus spread in every geographical region (currently 11 regions) in the State of Illinois. In response, the IGB suspended all video gaming operations across the entire state of Illinois starting at 11:01 PM on Thursday November 19, 2020. Video gaming operations resumed in certain regions of the state beginning on January 16, 2021, and fully resumed in all regions on January 23, 2021. Even though video gaming operations resumed across all regions, certain regions still had government-imposed restrictions that, among other things, limited hours of operation and restricted the number of patrons allowed within the licensed establishments. Given the staggered reopening by region in January of 2021, the temporary shutdown impacted, on average, 18 of the 273 gaming days (or 7% of gaming days) during the nine months ended September 30, 2021. In light of these events and their effect on the Company’s employees and licensed establishment partners, the Company took action to help mitigate the potential effects caused by the temporary cessation of operations. During the initial shutdown in 2020, the Company furloughed a significant portion of its employees and deferred certain payments to major vendors. Additionally, members of the Company's senior management decided to voluntarily forgo their base salaries until the resumption of video gaming operations. Beginning in early June 2020, the Company started reinstating employees from furlough in anticipation of resuming operations on July 1, 2020. During the second shutdown starting in November 2020, the Company furloughed idle staff as appropriate and deferred certain payments to major vendors.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As a result of these developments, the Company's revenues, results of operations and cash flows have been materially affected. The situation is changing and additional impacts from COVID-19 and its variant strains on the business and financial results may arise that the Company is not aware of currently and cannot reasonably anticipate.</w:t>
      </w:r>
    </w:p>
    <w:p>
      <w:pPr>
        <w:spacing w:after="0" w:line="135"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While the IGB has announced the resumption of all video gaming activities in all regions effective January 23, 2021, it is possible that it or the State of Illinois may order a shutdown by region (currently 11 regions), or a complete suspension of video gaming in the state, or institute stay-at-home, closure or other similar orders or measures in the future in response to a resurgence of COVID-19, particularly in light of variant strains of the virus, or other events. If this were to occur, the Company could recognize impairment losses which could be material.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8" w:lineRule="exact"/>
        <w:rPr>
          <w:sz w:val="20"/>
          <w:szCs w:val="20"/>
          <w:color w:val="auto"/>
        </w:rPr>
      </w:pPr>
    </w:p>
    <w:p>
      <w:pPr>
        <w:jc w:val="both"/>
        <w:spacing w:after="0" w:line="314"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 The condensed consolidated financial statements and accompanying notes were prepared in conformity with U.S.</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accepted accounting principles (“GAAP”) and the rules and regulations of the Securities and Exchange Commission (“SEC”). The condensed consolidated financial statements include the accounts of the Company and of its wholly owned subsidiaries. All significant intercompany balances and transactions have been eliminated in consolidation.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2020, as amended (the “Form 10-K”). In preparing our condensed consolidated financial statements, we applied the same significant accounting policies as described in Note 3 to the consolidated financial statements in the Form 10-K. Any significant changes to those accounting policies are discussed below. Interim results are not necessarily indicative of results for a full year.</w:t>
      </w:r>
    </w:p>
    <w:p>
      <w:pPr>
        <w:spacing w:after="0" w:line="99" w:lineRule="exact"/>
        <w:rPr>
          <w:sz w:val="20"/>
          <w:szCs w:val="20"/>
          <w:color w:val="auto"/>
        </w:rPr>
      </w:pPr>
    </w:p>
    <w:p>
      <w:pPr>
        <w:jc w:val="both"/>
        <w:spacing w:after="0" w:line="305" w:lineRule="auto"/>
        <w:rPr>
          <w:sz w:val="20"/>
          <w:szCs w:val="20"/>
          <w:color w:val="auto"/>
        </w:rPr>
      </w:pPr>
      <w:r>
        <w:rPr>
          <w:rFonts w:ascii="Arial" w:cs="Arial" w:eastAsia="Arial" w:hAnsi="Arial"/>
          <w:sz w:val="18"/>
          <w:szCs w:val="18"/>
          <w:b w:val="1"/>
          <w:bCs w:val="1"/>
          <w:color w:val="auto"/>
        </w:rPr>
        <w:t xml:space="preserve">Restatements of prior periods: </w:t>
      </w:r>
      <w:r>
        <w:rPr>
          <w:rFonts w:ascii="Arial" w:cs="Arial" w:eastAsia="Arial" w:hAnsi="Arial"/>
          <w:sz w:val="18"/>
          <w:szCs w:val="18"/>
          <w:color w:val="auto"/>
        </w:rPr>
        <w:t>The Company amended the condensed consolidated financial statements for the periods ended September 30, 2020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 ended December 31, 2020 in its previously filed Form 10-K. Please see Note 2 to the consolidated financial statements in the Form 10-K for the facts and circumstance on the restatements.</w:t>
      </w:r>
    </w:p>
    <w:p>
      <w:pPr>
        <w:spacing w:after="0" w:line="114"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Adopted accounting pronouncements</w:t>
      </w:r>
      <w:r>
        <w:rPr>
          <w:rFonts w:ascii="Arial" w:cs="Arial" w:eastAsia="Arial" w:hAnsi="Arial"/>
          <w:sz w:val="18"/>
          <w:szCs w:val="18"/>
          <w:color w:val="auto"/>
        </w:rPr>
        <w:t>: In December 2019, the Financial Accounting Standards Board (“FASB”) issued Accounting Standards Update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(“ASU”)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simplified the guidance by removing certain exceptions to the general principles and clarifying or amending existing guidance. ASU 2019-12 is effective for fiscal years beginning after December 15, 2021, and interim periods within fiscal years beginning after December 15, 2022. The Company early adopted the new standard in the second quarter of 2020 (effective January 1, 2020) on a prospective basis. The adoption of the new standard did not have a material impact on the Company's condensed consolidated financial statements.</w:t>
      </w:r>
    </w:p>
    <w:p>
      <w:pPr>
        <w:spacing w:after="0" w:line="123" w:lineRule="exact"/>
        <w:rPr>
          <w:sz w:val="20"/>
          <w:szCs w:val="20"/>
          <w:color w:val="auto"/>
        </w:rPr>
      </w:pPr>
    </w:p>
    <w:p>
      <w:pPr>
        <w:jc w:val="both"/>
        <w:spacing w:after="0" w:line="355" w:lineRule="auto"/>
        <w:rPr>
          <w:sz w:val="20"/>
          <w:szCs w:val="20"/>
          <w:color w:val="auto"/>
        </w:rPr>
      </w:pPr>
      <w:r>
        <w:rPr>
          <w:rFonts w:ascii="Arial" w:cs="Arial" w:eastAsia="Arial" w:hAnsi="Arial"/>
          <w:sz w:val="15"/>
          <w:szCs w:val="15"/>
          <w:b w:val="1"/>
          <w:bCs w:val="1"/>
          <w:color w:val="auto"/>
        </w:rPr>
        <w:t>Use of estimates</w:t>
      </w:r>
      <w:r>
        <w:rPr>
          <w:rFonts w:ascii="Arial" w:cs="Arial" w:eastAsia="Arial" w:hAnsi="Arial"/>
          <w:sz w:val="15"/>
          <w:szCs w:val="15"/>
          <w:color w:val="auto"/>
        </w:rPr>
        <w:t>: The preparation of condensed consolidated financial statements requires management to make estimates and assumptions that affect (i) the</w:t>
      </w:r>
      <w:r>
        <w:rPr>
          <w:rFonts w:ascii="Arial" w:cs="Arial" w:eastAsia="Arial" w:hAnsi="Arial"/>
          <w:sz w:val="15"/>
          <w:szCs w:val="15"/>
          <w:b w:val="1"/>
          <w:bCs w:val="1"/>
          <w:color w:val="auto"/>
        </w:rPr>
        <w:t xml:space="preserve"> </w:t>
      </w:r>
      <w:r>
        <w:rPr>
          <w:rFonts w:ascii="Arial" w:cs="Arial" w:eastAsia="Arial" w:hAnsi="Arial"/>
          <w:sz w:val="15"/>
          <w:szCs w:val="15"/>
          <w:color w:val="auto"/>
        </w:rPr>
        <w:t>reported amounts of assets and liabilities, (ii) disclosure of contingent assets and liabilities at the date of the condensed consolidated financial statements and</w:t>
      </w:r>
    </w:p>
    <w:p>
      <w:pPr>
        <w:jc w:val="both"/>
        <w:ind w:firstLine="6"/>
        <w:spacing w:after="0" w:line="316" w:lineRule="auto"/>
        <w:tabs>
          <w:tab w:leader="none" w:pos="33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acquisitions, the selection of useful lives for depreciable and amortizable assets in conjunction with business acquisitions, the valuation of level 3 investments, the valuation of contingent earnout shares and warrants, contingencies, and the expected term of share-based compensation awards and stock price volatility when computing share-based compensation expense. Actual results may differ from those estimates.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color w:val="auto"/>
        </w:rPr>
        <w:t>Segment information</w:t>
      </w:r>
      <w:r>
        <w:rPr>
          <w:rFonts w:ascii="Arial" w:cs="Arial" w:eastAsia="Arial" w:hAnsi="Arial"/>
          <w:sz w:val="18"/>
          <w:szCs w:val="18"/>
          <w:color w:val="auto"/>
        </w:rPr>
        <w:t>: The Company operates as a single operating segment. The Company’s chief operating decision maker (“CODM”) is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who has ultimate responsibility for the operating performance of the Company and the allocation of resources. The CODM assesses the Company’s performance and allocates resources based on consolidated results, and this is the only discrete financial information that is regularly reviewed by the CODM.</w:t>
      </w:r>
    </w:p>
    <w:p>
      <w:pPr>
        <w:spacing w:after="0" w:line="117" w:lineRule="exact"/>
        <w:rPr>
          <w:sz w:val="20"/>
          <w:szCs w:val="20"/>
          <w:color w:val="auto"/>
        </w:rPr>
      </w:pPr>
    </w:p>
    <w:p>
      <w:pPr>
        <w:jc w:val="both"/>
        <w:spacing w:after="0" w:line="315" w:lineRule="auto"/>
        <w:rPr>
          <w:sz w:val="20"/>
          <w:szCs w:val="20"/>
          <w:color w:val="auto"/>
        </w:rPr>
      </w:pPr>
      <w:r>
        <w:rPr>
          <w:rFonts w:ascii="Arial" w:cs="Arial" w:eastAsia="Arial" w:hAnsi="Arial"/>
          <w:sz w:val="17"/>
          <w:szCs w:val="17"/>
          <w:b w:val="1"/>
          <w:bCs w:val="1"/>
          <w:color w:val="auto"/>
        </w:rPr>
        <w:t>Recent accounting pronouncements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February 2016, the FASB issued ASU No. 2016-02,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color w:val="auto"/>
        </w:rPr>
        <w:t>. The guidance in this ASU supersedes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leasing guidance in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In July 2018, the FASB also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an optional transition method allowing the standard to be applied at the adoption date.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Based on its EGC status, the Company expects the new standard will be effective for the Company's fiscal year beginning after December 15, 2021.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assessing the impact of the standard on its condensed consolidated financial statements, as well as evaluating the impact from potential future acquisitions.</w:t>
      </w:r>
    </w:p>
    <w:p>
      <w:pPr>
        <w:spacing w:after="0" w:line="101" w:lineRule="exact"/>
        <w:rPr>
          <w:sz w:val="20"/>
          <w:szCs w:val="20"/>
          <w:color w:val="auto"/>
        </w:rPr>
      </w:pPr>
    </w:p>
    <w:p>
      <w:pPr>
        <w:jc w:val="both"/>
        <w:spacing w:after="0" w:line="312" w:lineRule="auto"/>
        <w:rPr>
          <w:sz w:val="20"/>
          <w:szCs w:val="20"/>
          <w:color w:val="auto"/>
        </w:rPr>
      </w:pPr>
      <w:r>
        <w:rPr>
          <w:rFonts w:ascii="Arial" w:cs="Arial" w:eastAsia="Arial" w:hAnsi="Arial"/>
          <w:sz w:val="18"/>
          <w:szCs w:val="18"/>
          <w:color w:val="auto"/>
        </w:rPr>
        <w:t>Other recently issued accounting standards or pronouncements have been excluded because they are either not relevant to the Company, or are not expected to have, or did not have, a material effect on its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Convertible Notes</w:t>
      </w:r>
    </w:p>
    <w:p>
      <w:pPr>
        <w:spacing w:after="0" w:line="197"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On July 19, 2019, the Company entered into an agreement to purchase up to $30.0 million in convertible promissory notes from another terminal operator that bear interest at 3% per annum. The Company has the option of converting the notes to common stock of the terminal operator prior to the maturity date. At closing, the Company purchased a $5.0 million convertible promissory note which is subordinated to the terminal operator’s credit facility and matures six months following the satisfaction of administrative conditions.</w:t>
      </w:r>
    </w:p>
    <w:p>
      <w:pPr>
        <w:spacing w:after="0" w:line="137"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On October 11, 2019, the Company purchased an additional $25.0 million convertible promissory note which is also subordinated to the terminal operator’s credit facility and, beginning on July 1, 2020, the balance of this note, if not previously converted, was payable in equal $1,000,000 monthly installments until all principal was repaid in full.</w:t>
      </w:r>
    </w:p>
    <w:p>
      <w:pPr>
        <w:spacing w:after="0" w:line="135" w:lineRule="exact"/>
        <w:rPr>
          <w:sz w:val="20"/>
          <w:szCs w:val="20"/>
          <w:color w:val="auto"/>
        </w:rPr>
      </w:pPr>
    </w:p>
    <w:p>
      <w:pPr>
        <w:jc w:val="both"/>
        <w:ind w:firstLine="319"/>
        <w:spacing w:after="0" w:line="386" w:lineRule="auto"/>
        <w:rPr>
          <w:sz w:val="20"/>
          <w:szCs w:val="20"/>
          <w:color w:val="auto"/>
        </w:rPr>
      </w:pPr>
      <w:r>
        <w:rPr>
          <w:rFonts w:ascii="Arial" w:cs="Arial" w:eastAsia="Arial" w:hAnsi="Arial"/>
          <w:sz w:val="15"/>
          <w:szCs w:val="15"/>
          <w:color w:val="auto"/>
        </w:rPr>
        <w:t>On July 30, 2020, the Company and the terminal operator entered into the Omnibus Amendment (the “Amendment”) to the original agreement to purchase convertible promissory notes from the terminal operator. The Amendment, among other things, extended the maturity date of the $5.0 million convertible promissory note and the beginning of the payback period for the $25.0 million convertible promissory note until December 31, 2020.</w:t>
      </w:r>
    </w:p>
    <w:p>
      <w:pPr>
        <w:spacing w:after="0" w:line="84" w:lineRule="exact"/>
        <w:rPr>
          <w:sz w:val="20"/>
          <w:szCs w:val="20"/>
          <w:color w:val="auto"/>
        </w:rPr>
      </w:pPr>
    </w:p>
    <w:p>
      <w:pPr>
        <w:jc w:val="both"/>
        <w:ind w:firstLine="319"/>
        <w:spacing w:after="0" w:line="297" w:lineRule="auto"/>
        <w:rPr>
          <w:sz w:val="20"/>
          <w:szCs w:val="20"/>
          <w:color w:val="auto"/>
        </w:rPr>
      </w:pPr>
      <w:r>
        <w:rPr>
          <w:rFonts w:ascii="Arial" w:cs="Arial" w:eastAsia="Arial" w:hAnsi="Arial"/>
          <w:sz w:val="18"/>
          <w:szCs w:val="18"/>
          <w:color w:val="auto"/>
        </w:rPr>
        <w:t>On March 9, 2021, the Company and the terminal operator entered into the Second Omnibus Amendment (the “Second Amendment”) to both of the convertible promissory notes and the agreement to purchase the convertible promissory notes. The Second Amendment, among other things, extends the December 31, 2020 maturity and conversion feature of the $5.0 million convertible promissory note to December 31, 2021, the maturity and conversion feature of the $25.0 million convertible promissory note to June 1, 2024 and the beginning of the payback period for the $25.0 million convertible promissory note from December 31, 2020 to January 1, 2022.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19"/>
        <w:spacing w:after="0" w:line="362" w:lineRule="auto"/>
        <w:rPr>
          <w:sz w:val="20"/>
          <w:szCs w:val="20"/>
          <w:color w:val="auto"/>
        </w:rPr>
      </w:pPr>
      <w:r>
        <w:rPr>
          <w:rFonts w:ascii="Arial" w:cs="Arial" w:eastAsia="Arial" w:hAnsi="Arial"/>
          <w:sz w:val="15"/>
          <w:szCs w:val="15"/>
          <w:color w:val="auto"/>
        </w:rPr>
        <w:t>On July 30, 2021, the Company provided notice to the terminal operator that it was exercising its rights under the $30.0 million aggregate principal amount of convertible promissory notes to convert the entire aggregate principal amount and accrued interest, which has an accounting fair market value of $39.3 million, into common stock of the terminal operator, subject to approval from the IGB to transfer the common stock to the Company and receipt of other customary closing deliverables. As of September 30, 2021, such approval remained pending. As a result, the Company continued to account for the convertible promissory notes as available for sale debt securities as of September 30, 2021. The parties are in ongoing discussions regarding the calculated ownership percentage of the terminal operator by the Company on an as-converted basis. As a result of the ongoing discussions between the parties, assumptions impacting the valuation of the convertible notes could change in the future and those changes could materially impact the valuation.</w:t>
      </w:r>
    </w:p>
    <w:p>
      <w:pPr>
        <w:spacing w:after="0" w:line="105"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The Company recognized within comprehensive income an unrealized loss of $0.3 million, net of income taxes, for the three months ended September 30, 2021 and an unrecognized gain of $5.4 million, net of income taxes, for the nine months ended September 30, 2021. For more information on how the Company determined the fair value of the convertible promissory notes, see Note 12.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consists of the following at September 30, 2021 and December 31, 2020 (in thousands):</w:t>
      </w:r>
    </w:p>
    <w:p>
      <w:pPr>
        <w:spacing w:after="0" w:line="140"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6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w:t>
            </w:r>
          </w:p>
        </w:tc>
      </w:tr>
      <w:tr>
        <w:trPr>
          <w:trHeight w:val="184"/>
        </w:trPr>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4"/>
        </w:trPr>
        <w:tc>
          <w:tcPr>
            <w:tcW w:w="6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9"/>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Gaming terminals and equipment</w:t>
            </w: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213,484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197,533</w:t>
            </w:r>
          </w:p>
        </w:tc>
      </w:tr>
      <w:tr>
        <w:trPr>
          <w:trHeight w:val="238"/>
        </w:trPr>
        <w:tc>
          <w:tcPr>
            <w:tcW w:w="6420" w:type="dxa"/>
            <w:vAlign w:val="bottom"/>
          </w:tcPr>
          <w:p>
            <w:pPr>
              <w:spacing w:after="0"/>
              <w:rPr>
                <w:sz w:val="20"/>
                <w:szCs w:val="20"/>
                <w:color w:val="auto"/>
              </w:rPr>
            </w:pPr>
            <w:r>
              <w:rPr>
                <w:rFonts w:ascii="Arial" w:cs="Arial" w:eastAsia="Arial" w:hAnsi="Arial"/>
                <w:sz w:val="18"/>
                <w:szCs w:val="18"/>
                <w:color w:val="auto"/>
              </w:rPr>
              <w:t>Amusement and other equipment</w:t>
            </w:r>
          </w:p>
        </w:tc>
        <w:tc>
          <w:tcPr>
            <w:tcW w:w="16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24,045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23,049</w:t>
            </w:r>
          </w:p>
        </w:tc>
      </w:tr>
      <w:tr>
        <w:trPr>
          <w:trHeight w:val="28"/>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r>
      <w:tr>
        <w:trPr>
          <w:trHeight w:val="238"/>
        </w:trPr>
        <w:tc>
          <w:tcPr>
            <w:tcW w:w="64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13,749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12,793</w:t>
            </w:r>
          </w:p>
        </w:tc>
      </w:tr>
      <w:tr>
        <w:trPr>
          <w:trHeight w:val="28"/>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38"/>
        </w:trPr>
        <w:tc>
          <w:tcPr>
            <w:tcW w:w="6420" w:type="dxa"/>
            <w:vAlign w:val="bottom"/>
          </w:tcPr>
          <w:p>
            <w:pPr>
              <w:spacing w:after="0"/>
              <w:rPr>
                <w:sz w:val="20"/>
                <w:szCs w:val="20"/>
                <w:color w:val="auto"/>
              </w:rPr>
            </w:pPr>
            <w:r>
              <w:rPr>
                <w:rFonts w:ascii="Arial" w:cs="Arial" w:eastAsia="Arial" w:hAnsi="Arial"/>
                <w:sz w:val="18"/>
                <w:szCs w:val="18"/>
                <w:color w:val="auto"/>
              </w:rPr>
              <w:t>Vehicles</w:t>
            </w:r>
          </w:p>
        </w:tc>
        <w:tc>
          <w:tcPr>
            <w:tcW w:w="16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10,825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9,430</w:t>
            </w:r>
          </w:p>
        </w:tc>
      </w:tr>
      <w:tr>
        <w:trPr>
          <w:trHeight w:val="28"/>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10,845</w:t>
            </w:r>
          </w:p>
        </w:tc>
      </w:tr>
      <w:tr>
        <w:trPr>
          <w:trHeight w:val="238"/>
        </w:trPr>
        <w:tc>
          <w:tcPr>
            <w:tcW w:w="6420" w:type="dxa"/>
            <w:vAlign w:val="bottom"/>
          </w:tcPr>
          <w:p>
            <w:pPr>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911</w:t>
            </w:r>
          </w:p>
        </w:tc>
      </w:tr>
      <w:tr>
        <w:trPr>
          <w:trHeight w:val="28"/>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6"/>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31"/>
        </w:trPr>
        <w:tc>
          <w:tcPr>
            <w:tcW w:w="64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281,970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259,680</w:t>
            </w:r>
          </w:p>
        </w:tc>
      </w:tr>
      <w:tr>
        <w:trPr>
          <w:trHeight w:val="28"/>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6"/>
        </w:trPr>
        <w:tc>
          <w:tcPr>
            <w:tcW w:w="6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(116,115)</w:t>
            </w:r>
          </w:p>
        </w:tc>
      </w:tr>
      <w:tr>
        <w:trPr>
          <w:trHeight w:val="258"/>
        </w:trPr>
        <w:tc>
          <w:tcPr>
            <w:tcW w:w="6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147,687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143,565</w:t>
            </w:r>
          </w:p>
        </w:tc>
      </w:tr>
      <w:tr>
        <w:trPr>
          <w:trHeight w:val="20"/>
        </w:trPr>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right="20" w:firstLine="319"/>
        <w:spacing w:after="0" w:line="302" w:lineRule="auto"/>
        <w:rPr>
          <w:sz w:val="20"/>
          <w:szCs w:val="20"/>
          <w:color w:val="auto"/>
        </w:rPr>
      </w:pPr>
      <w:r>
        <w:rPr>
          <w:rFonts w:ascii="Arial" w:cs="Arial" w:eastAsia="Arial" w:hAnsi="Arial"/>
          <w:sz w:val="18"/>
          <w:szCs w:val="18"/>
          <w:color w:val="auto"/>
        </w:rPr>
        <w:t>Depreciation and amortization of property and equipment amounted to $6.5 million and $18.8 million for the three and nine months ended September 30, 2021, respectively. In comparison, depreciation and amortization of property and equipment amounted to $5.4 million and $15.3 million for the three and nine months ended September 30, 2020,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Route and Customer Acquisition Costs</w:t>
      </w:r>
    </w:p>
    <w:p>
      <w:pPr>
        <w:spacing w:after="0" w:line="197" w:lineRule="exact"/>
        <w:rPr>
          <w:sz w:val="20"/>
          <w:szCs w:val="20"/>
          <w:color w:val="auto"/>
        </w:rPr>
      </w:pPr>
    </w:p>
    <w:p>
      <w:pPr>
        <w:jc w:val="both"/>
        <w:ind w:firstLine="319"/>
        <w:spacing w:after="0" w:line="314" w:lineRule="auto"/>
        <w:rPr>
          <w:sz w:val="20"/>
          <w:szCs w:val="20"/>
          <w:color w:val="auto"/>
        </w:rPr>
      </w:pPr>
      <w:r>
        <w:rPr>
          <w:rFonts w:ascii="Arial" w:cs="Arial" w:eastAsia="Arial" w:hAnsi="Arial"/>
          <w:sz w:val="17"/>
          <w:szCs w:val="17"/>
          <w:color w:val="auto"/>
        </w:rPr>
        <w:t>The Company enters into contracts with third parties and licensed video gaming locations throughout the State of Illinois that allow the Company to install and operate video gaming terminals. When video gaming operations commence, payments are due monthly or quarterly. Gross payments due, based on the number of live locations, were approximately $6.2 million and $6.4 million as of September 30, 2021 and December 31, 2020, respectively. Payments are due over varying terms of the individual agreements and are discounted at the Company’s incremental borrowing rate associated with its long-term debt at the time the contract is acquired. The net present value of payments due was $5.5 million and $5.7 million as of September 30, 2021 and December 31, 2020, respectively, of which approximately $2.0 million and $1.6 million is included in current liabilities in the accompanying condensed consolidated balance sheets as of September 30, 2021 and December 31, 2020, respectively. The route and customer acquisition cost asset was comprised of payments made on the contracts of $18.3 million and $17.7 million as of</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September 30, 2021 and December 31, 2020, respectively. The Company has upfront payments of commissions paid to the third parties for the acquisition of the customer contracts that are subject to a clawback provision if the customer cancels the contract prior to completion. The payments subject to a clawback were $1.5 million and $1.7 million as of September 30, 2021 and December 31, 2020, respectively.</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Route and customer acquisition costs consisted of the following at September 30, 2021 and December 31, 2020 (in thousands):</w:t>
      </w:r>
    </w:p>
    <w:p>
      <w:pPr>
        <w:spacing w:after="0" w:line="140"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16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December 31,</w:t>
            </w:r>
          </w:p>
        </w:tc>
      </w:tr>
      <w:tr>
        <w:trPr>
          <w:trHeight w:val="184"/>
        </w:trPr>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4"/>
        </w:trPr>
        <w:tc>
          <w:tcPr>
            <w:tcW w:w="6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9"/>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center"/>
              <w:ind w:left="419"/>
              <w:spacing w:after="0"/>
              <w:rPr>
                <w:sz w:val="20"/>
                <w:szCs w:val="20"/>
                <w:color w:val="auto"/>
              </w:rPr>
            </w:pPr>
            <w:r>
              <w:rPr>
                <w:rFonts w:ascii="Arial" w:cs="Arial" w:eastAsia="Arial" w:hAnsi="Arial"/>
                <w:sz w:val="18"/>
                <w:szCs w:val="18"/>
                <w:color w:val="auto"/>
                <w:w w:val="87"/>
              </w:rPr>
              <w:t>28,761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center"/>
              <w:ind w:left="419"/>
              <w:spacing w:after="0"/>
              <w:rPr>
                <w:sz w:val="20"/>
                <w:szCs w:val="20"/>
                <w:color w:val="auto"/>
              </w:rPr>
            </w:pPr>
            <w:r>
              <w:rPr>
                <w:rFonts w:ascii="Arial" w:cs="Arial" w:eastAsia="Arial" w:hAnsi="Arial"/>
                <w:sz w:val="18"/>
                <w:szCs w:val="18"/>
                <w:color w:val="auto"/>
                <w:w w:val="90"/>
              </w:rPr>
              <w:t>27,364</w:t>
            </w:r>
          </w:p>
        </w:tc>
      </w:tr>
      <w:tr>
        <w:trPr>
          <w:trHeight w:val="238"/>
        </w:trPr>
        <w:tc>
          <w:tcPr>
            <w:tcW w:w="64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20"/>
                <w:szCs w:val="20"/>
                <w:color w:val="auto"/>
              </w:rPr>
            </w:pPr>
          </w:p>
        </w:tc>
        <w:tc>
          <w:tcPr>
            <w:tcW w:w="1180" w:type="dxa"/>
            <w:vAlign w:val="bottom"/>
          </w:tcPr>
          <w:p>
            <w:pPr>
              <w:jc w:val="center"/>
              <w:ind w:left="379"/>
              <w:spacing w:after="0"/>
              <w:rPr>
                <w:sz w:val="20"/>
                <w:szCs w:val="20"/>
                <w:color w:val="auto"/>
              </w:rPr>
            </w:pPr>
            <w:r>
              <w:rPr>
                <w:rFonts w:ascii="Arial" w:cs="Arial" w:eastAsia="Arial" w:hAnsi="Arial"/>
                <w:sz w:val="18"/>
                <w:szCs w:val="18"/>
                <w:color w:val="auto"/>
                <w:w w:val="89"/>
              </w:rPr>
              <w:t>(13,103)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left="399"/>
              <w:spacing w:after="0"/>
              <w:rPr>
                <w:sz w:val="20"/>
                <w:szCs w:val="20"/>
                <w:color w:val="auto"/>
              </w:rPr>
            </w:pPr>
            <w:r>
              <w:rPr>
                <w:rFonts w:ascii="Arial" w:cs="Arial" w:eastAsia="Arial" w:hAnsi="Arial"/>
                <w:sz w:val="18"/>
                <w:szCs w:val="18"/>
                <w:color w:val="auto"/>
                <w:w w:val="89"/>
              </w:rPr>
              <w:t>(12,113)</w:t>
            </w:r>
          </w:p>
        </w:tc>
      </w:tr>
      <w:tr>
        <w:trPr>
          <w:trHeight w:val="28"/>
        </w:trPr>
        <w:tc>
          <w:tcPr>
            <w:tcW w:w="6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3"/>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Route and customer acquisition costs, net</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8"/>
                <w:szCs w:val="18"/>
                <w:color w:val="auto"/>
                <w:w w:val="87"/>
              </w:rPr>
              <w:t>15,658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8"/>
                <w:szCs w:val="18"/>
                <w:color w:val="auto"/>
                <w:w w:val="90"/>
              </w:rPr>
              <w:t>15,251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Amortization expense of route and customer acquisition costs was $0.5 million and $1.4 million for the three and nine months ended September 30, 2021, respectively. In comparison, amortization expense of route and customer acquisition costs was $0.5 million and $1.4 million for the three and nine months ended September 30, 2020,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Location Contracts Acquired</w:t>
      </w:r>
    </w:p>
    <w:p>
      <w:pPr>
        <w:spacing w:after="0" w:line="197"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Location contract assets acquired in business acquisitions are recorded at acquisition at fair value based on an income approach. Location contracts acquired consisted of the following at September 30, 2021 and December 31, 2020 (in thousands):</w:t>
      </w:r>
    </w:p>
    <w:p>
      <w:pPr>
        <w:spacing w:after="0" w:line="61"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3"/>
                <w:szCs w:val="13"/>
                <w:color w:val="auto"/>
              </w:rPr>
            </w:pPr>
          </w:p>
        </w:tc>
        <w:tc>
          <w:tcPr>
            <w:tcW w:w="116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December 31,</w:t>
            </w:r>
          </w:p>
        </w:tc>
      </w:tr>
      <w:tr>
        <w:trPr>
          <w:trHeight w:val="184"/>
        </w:trPr>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4"/>
        </w:trPr>
        <w:tc>
          <w:tcPr>
            <w:tcW w:w="6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9"/>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227,691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8"/>
              </w:rPr>
              <w:t>226,012</w:t>
            </w:r>
          </w:p>
        </w:tc>
      </w:tr>
      <w:tr>
        <w:trPr>
          <w:trHeight w:val="238"/>
        </w:trPr>
        <w:tc>
          <w:tcPr>
            <w:tcW w:w="64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20"/>
                <w:szCs w:val="20"/>
                <w:color w:val="auto"/>
              </w:rPr>
            </w:pPr>
          </w:p>
        </w:tc>
        <w:tc>
          <w:tcPr>
            <w:tcW w:w="1180" w:type="dxa"/>
            <w:vAlign w:val="bottom"/>
          </w:tcPr>
          <w:p>
            <w:pPr>
              <w:ind w:left="520"/>
              <w:spacing w:after="0"/>
              <w:rPr>
                <w:sz w:val="20"/>
                <w:szCs w:val="20"/>
                <w:color w:val="auto"/>
              </w:rPr>
            </w:pPr>
            <w:r>
              <w:rPr>
                <w:rFonts w:ascii="Arial" w:cs="Arial" w:eastAsia="Arial" w:hAnsi="Arial"/>
                <w:sz w:val="18"/>
                <w:szCs w:val="18"/>
                <w:color w:val="auto"/>
                <w:w w:val="95"/>
              </w:rPr>
              <w:t>(75,347)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ind w:left="520"/>
              <w:spacing w:after="0"/>
              <w:rPr>
                <w:sz w:val="20"/>
                <w:szCs w:val="20"/>
                <w:color w:val="auto"/>
              </w:rPr>
            </w:pPr>
            <w:r>
              <w:rPr>
                <w:rFonts w:ascii="Arial" w:cs="Arial" w:eastAsia="Arial" w:hAnsi="Arial"/>
                <w:sz w:val="18"/>
                <w:szCs w:val="18"/>
                <w:color w:val="auto"/>
                <w:w w:val="92"/>
              </w:rPr>
              <w:t>(58,278)</w:t>
            </w:r>
          </w:p>
        </w:tc>
      </w:tr>
      <w:tr>
        <w:trPr>
          <w:trHeight w:val="28"/>
        </w:trPr>
        <w:tc>
          <w:tcPr>
            <w:tcW w:w="6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3"/>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Location contracts acquired, net</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152,344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8"/>
              </w:rPr>
              <w:t>167,734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Amortization expense of location contracts acquired was $5.7 million and $17.1 million, for the three and nine months ended September 30, 2021, respectively. In comparison, amortization expense of location contracts acquired was $5.2 million and $15.4 million for the three and nine months ended September 30, 2020,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197"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 xml:space="preserve">The Company acquired various companies which were accounted for as a business combination using the acquisition method of accounting 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excess of the purchase price over the tangible and intangible assets acquired and liabilities assumed was recorded as goodwill of $45.8 million as of September 30, 2021 and December 31, 2020, of which $35.1 million was deductible for tax purposes as of September 30, 2021.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as of September 30, 2021 and December 31, 2020, consisted of the following (in thousands):</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13"/>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6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r>
      <w:tr>
        <w:trPr>
          <w:trHeight w:val="228"/>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Senior Secured Credit Facility:</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38"/>
        </w:trPr>
        <w:tc>
          <w:tcPr>
            <w:tcW w:w="6420" w:type="dxa"/>
            <w:vAlign w:val="bottom"/>
          </w:tcPr>
          <w:p>
            <w:pPr>
              <w:ind w:left="200"/>
              <w:spacing w:after="0"/>
              <w:rPr>
                <w:sz w:val="20"/>
                <w:szCs w:val="20"/>
                <w:color w:val="auto"/>
              </w:rPr>
            </w:pPr>
            <w:r>
              <w:rPr>
                <w:rFonts w:ascii="Arial" w:cs="Arial" w:eastAsia="Arial" w:hAnsi="Arial"/>
                <w:sz w:val="18"/>
                <w:szCs w:val="18"/>
                <w:color w:val="auto"/>
              </w:rPr>
              <w:t>Term Loan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219,000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228,000</w:t>
            </w:r>
          </w:p>
        </w:tc>
      </w:tr>
      <w:tr>
        <w:trPr>
          <w:trHeight w:val="28"/>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6"/>
        </w:trPr>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Delayed Draw Term Loan (DDTL)</w:t>
            </w: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114,875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119,562</w:t>
            </w:r>
          </w:p>
        </w:tc>
      </w:tr>
      <w:tr>
        <w:trPr>
          <w:trHeight w:val="231"/>
        </w:trPr>
        <w:tc>
          <w:tcPr>
            <w:tcW w:w="6420" w:type="dxa"/>
            <w:vAlign w:val="bottom"/>
          </w:tcPr>
          <w:p>
            <w:pPr>
              <w:ind w:left="520"/>
              <w:spacing w:after="0"/>
              <w:rPr>
                <w:sz w:val="20"/>
                <w:szCs w:val="20"/>
                <w:color w:val="auto"/>
              </w:rPr>
            </w:pPr>
            <w:r>
              <w:rPr>
                <w:rFonts w:ascii="Arial" w:cs="Arial" w:eastAsia="Arial" w:hAnsi="Arial"/>
                <w:sz w:val="18"/>
                <w:szCs w:val="18"/>
                <w:color w:val="auto"/>
              </w:rPr>
              <w:t>Total debt</w:t>
            </w:r>
          </w:p>
        </w:tc>
        <w:tc>
          <w:tcPr>
            <w:tcW w:w="12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333,875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347,562</w:t>
            </w:r>
          </w:p>
        </w:tc>
      </w:tr>
      <w:tr>
        <w:trPr>
          <w:trHeight w:val="28"/>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6"/>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Debt issuance costs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(7,421)</w:t>
            </w:r>
          </w:p>
        </w:tc>
      </w:tr>
      <w:tr>
        <w:trPr>
          <w:trHeight w:val="231"/>
        </w:trPr>
        <w:tc>
          <w:tcPr>
            <w:tcW w:w="6420" w:type="dxa"/>
            <w:vAlign w:val="bottom"/>
          </w:tcPr>
          <w:p>
            <w:pPr>
              <w:ind w:left="520"/>
              <w:spacing w:after="0"/>
              <w:rPr>
                <w:sz w:val="20"/>
                <w:szCs w:val="20"/>
                <w:color w:val="auto"/>
              </w:rPr>
            </w:pPr>
            <w:r>
              <w:rPr>
                <w:rFonts w:ascii="Arial" w:cs="Arial" w:eastAsia="Arial" w:hAnsi="Arial"/>
                <w:sz w:val="18"/>
                <w:szCs w:val="18"/>
                <w:color w:val="auto"/>
              </w:rPr>
              <w:t>Total debt, net of debt issuance costs</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327,967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340,141</w:t>
            </w:r>
          </w:p>
        </w:tc>
      </w:tr>
      <w:tr>
        <w:trPr>
          <w:trHeight w:val="28"/>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6"/>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(18,250)</w:t>
            </w:r>
          </w:p>
        </w:tc>
      </w:tr>
      <w:tr>
        <w:trPr>
          <w:trHeight w:val="231"/>
        </w:trPr>
        <w:tc>
          <w:tcPr>
            <w:tcW w:w="6420" w:type="dxa"/>
            <w:vAlign w:val="bottom"/>
          </w:tcPr>
          <w:p>
            <w:pPr>
              <w:ind w:left="520"/>
              <w:spacing w:after="0"/>
              <w:rPr>
                <w:sz w:val="20"/>
                <w:szCs w:val="20"/>
                <w:color w:val="auto"/>
              </w:rPr>
            </w:pPr>
            <w:r>
              <w:rPr>
                <w:rFonts w:ascii="Arial" w:cs="Arial" w:eastAsia="Arial" w:hAnsi="Arial"/>
                <w:sz w:val="18"/>
                <w:szCs w:val="18"/>
                <w:color w:val="auto"/>
              </w:rPr>
              <w:t>Total debt, net of current maturities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309,717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321,891</w:t>
            </w:r>
          </w:p>
        </w:tc>
      </w:tr>
      <w:tr>
        <w:trPr>
          <w:trHeight w:val="28"/>
        </w:trPr>
        <w:tc>
          <w:tcPr>
            <w:tcW w:w="6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Senior Secured Credit Facility</w:t>
      </w:r>
    </w:p>
    <w:p>
      <w:pPr>
        <w:spacing w:after="0" w:line="178"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On November 13, 2019, the Company entered into a credit agreement (the “Credit Agreement”) as borrower, with the Company and its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111" w:lineRule="exact"/>
        <w:rPr>
          <w:sz w:val="20"/>
          <w:szCs w:val="20"/>
          <w:color w:val="auto"/>
        </w:rPr>
      </w:pPr>
    </w:p>
    <w:p>
      <w:pPr>
        <w:ind w:left="640" w:hanging="315"/>
        <w:spacing w:after="0" w:line="312"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 million revolving credit facility, including a letter of credit facility with a $10.0 million sublimit and a swing line facility with a $10.0 million sublimit,</w:t>
      </w:r>
    </w:p>
    <w:p>
      <w:pPr>
        <w:spacing w:after="0" w:line="112"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$240.0 million initial term loan facility and</w:t>
      </w:r>
    </w:p>
    <w:p>
      <w:pPr>
        <w:spacing w:after="0" w:line="19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$125.0 million additional term loan facility.</w:t>
      </w:r>
    </w:p>
    <w:p>
      <w:pPr>
        <w:spacing w:after="0" w:line="205"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As a result of the COVID-19 pandemic and the temporary shutdown of its operations by the IGB, the Company borrowed $65 million on its delayed draw term loan in March 2020 to increase its cash position and help preserve its financial flexibility.</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2021, there remained approximately $100.0 million of availability under the Credit Agreement.</w:t>
      </w:r>
    </w:p>
    <w:p>
      <w:pPr>
        <w:spacing w:after="0" w:line="191" w:lineRule="exact"/>
        <w:rPr>
          <w:sz w:val="20"/>
          <w:szCs w:val="20"/>
          <w:color w:val="auto"/>
        </w:rPr>
      </w:pPr>
    </w:p>
    <w:p>
      <w:pPr>
        <w:jc w:val="both"/>
        <w:ind w:firstLine="319"/>
        <w:spacing w:after="0" w:line="374" w:lineRule="auto"/>
        <w:rPr>
          <w:sz w:val="20"/>
          <w:szCs w:val="20"/>
          <w:color w:val="auto"/>
        </w:rPr>
      </w:pPr>
      <w:r>
        <w:rPr>
          <w:rFonts w:ascii="Arial" w:cs="Arial" w:eastAsia="Arial" w:hAnsi="Arial"/>
          <w:sz w:val="15"/>
          <w:szCs w:val="15"/>
          <w:color w:val="auto"/>
        </w:rPr>
        <w:t>The obligations under the Credit Agreement are guaranteed by the Company and its wholly-owned domestic subsidiaries (collectively, the “Guarantors”), subject to certain exceptions. The obligations under the Credit Agreement are secured by substantially all of assets of the Guarantors, subject to certain exceptions. Certain future-formed or acquired wholly-owned domestic subsidiaries of the Company will also be required to guarantee the Credit Agreement and grant a security interest in substantially all of their assets, subject to certain exceptions, to secure the obligations under the Credit Agreement.</w:t>
      </w:r>
    </w:p>
    <w:p>
      <w:pPr>
        <w:spacing w:after="0" w:line="80" w:lineRule="exact"/>
        <w:rPr>
          <w:sz w:val="20"/>
          <w:szCs w:val="20"/>
          <w:color w:val="auto"/>
        </w:rPr>
      </w:pPr>
    </w:p>
    <w:p>
      <w:pPr>
        <w:jc w:val="both"/>
        <w:ind w:firstLine="319"/>
        <w:spacing w:after="0" w:line="362" w:lineRule="auto"/>
        <w:rPr>
          <w:sz w:val="20"/>
          <w:szCs w:val="20"/>
          <w:color w:val="auto"/>
        </w:rPr>
      </w:pPr>
      <w:r>
        <w:rPr>
          <w:rFonts w:ascii="Arial" w:cs="Arial" w:eastAsia="Arial" w:hAnsi="Arial"/>
          <w:sz w:val="15"/>
          <w:szCs w:val="15"/>
          <w:color w:val="auto"/>
        </w:rPr>
        <w:t>Borrowings under the Credit Agreement bear interest, at the Company’s option, at a rate per annum equal to either (a) the adjusted LIBOR rate (“LIBOR”) (which cannot be less than 0.5%)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plus the applicable LIBOR margin or (b) the alternative base rate (“ABR”) plus the applicable ABR margin. ABR is a fluctuating rate per annum equal to the highest of (i) the Federal Funds Effective Rate plus 1/2 of 1.0%, (ii) the prime rate announced from time to time by Capital One, National Association and (iii) LIBOR for a 1-month interest period on such day plus 1.0%. The Credit Agreement also includes provisions for determining a replacement rate when LIBOR is no longer available. As of September 30, 2021, the weighted-average interest rate was approximately 3.2%.</w:t>
      </w:r>
    </w:p>
    <w:p>
      <w:pPr>
        <w:spacing w:after="0" w:line="78"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Interest is payable quarterly in arrears for ABR loans, at the end of the applicable interest period for LIBOR loans (but not less frequently than quarterly) and upon the prepayment or maturity of the underlying loans. The Company is required to pay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commitment fee quarterly in arrears in respect of unused commitments under the revolving credit facility and the additional term loan facility.</w:t>
      </w:r>
    </w:p>
    <w:p>
      <w:pPr>
        <w:spacing w:after="0" w:line="178" w:lineRule="exact"/>
        <w:rPr>
          <w:sz w:val="20"/>
          <w:szCs w:val="20"/>
          <w:color w:val="auto"/>
        </w:rPr>
      </w:pPr>
    </w:p>
    <w:p>
      <w:pPr>
        <w:jc w:val="both"/>
        <w:ind w:firstLine="319"/>
        <w:spacing w:after="0" w:line="327" w:lineRule="auto"/>
        <w:rPr>
          <w:sz w:val="20"/>
          <w:szCs w:val="20"/>
          <w:color w:val="auto"/>
        </w:rPr>
      </w:pPr>
      <w:r>
        <w:rPr>
          <w:rFonts w:ascii="Arial" w:cs="Arial" w:eastAsia="Arial" w:hAnsi="Arial"/>
          <w:sz w:val="17"/>
          <w:szCs w:val="17"/>
          <w:color w:val="auto"/>
        </w:rPr>
        <w:t>The applicable LIBOR and ABR margins and the commitment fee rate are calculated based upon the first lien net leverage ratio of the Company and its restricted subsidiaries on a consolidated basis, as defined in the Credit Agreement. The revolving loans and term loans bear interest at either (a) ABR (150 bps floor) plus a margin of 1.75% or (b) LIBOR (50 bps floor) plus a margin of 2.75%, at the option of the Company.</w:t>
      </w:r>
    </w:p>
    <w:p>
      <w:pPr>
        <w:spacing w:after="0" w:line="104"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The additional term loan facility was available for borrowings until November 13, 2020. Each of the revolving loans and the term loans were originally scheduled to mature on November 13, 2024.</w:t>
      </w:r>
    </w:p>
    <w:p>
      <w:pPr>
        <w:spacing w:after="0" w:line="113"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The term loans and, once drawn, the additional term loans will amortize at an annual rate equal to approximately 5.00% per annum. Upon the consummation of certain non-ordinary course asset sales, the Company may be required to apply the net cash proceeds thereof to prepay outstanding term loans and additional term loans. The loans under the Credit Agreement may be prepaid without premium or penalty, subject to customary LIBOR “breakage” costs.</w:t>
      </w:r>
    </w:p>
    <w:p>
      <w:pPr>
        <w:spacing w:after="0" w:line="111" w:lineRule="exact"/>
        <w:rPr>
          <w:sz w:val="20"/>
          <w:szCs w:val="20"/>
          <w:color w:val="auto"/>
        </w:rPr>
      </w:pPr>
    </w:p>
    <w:p>
      <w:pPr>
        <w:jc w:val="both"/>
        <w:ind w:firstLine="319"/>
        <w:spacing w:after="0" w:line="422" w:lineRule="auto"/>
        <w:rPr>
          <w:sz w:val="20"/>
          <w:szCs w:val="20"/>
          <w:color w:val="auto"/>
        </w:rPr>
      </w:pPr>
      <w:r>
        <w:rPr>
          <w:rFonts w:ascii="Arial" w:cs="Arial" w:eastAsia="Arial" w:hAnsi="Arial"/>
          <w:sz w:val="15"/>
          <w:szCs w:val="15"/>
          <w:color w:val="auto"/>
        </w:rPr>
        <w:t>The Credit Agreement contains certain customary affirmative and negative covenants and events of default, and requires the Company and certain of its affiliates obligated under the Credit Agreement to make customary representations and warranties in connection with credit extensions thereunder.</w:t>
      </w:r>
    </w:p>
    <w:p>
      <w:pPr>
        <w:spacing w:after="0" w:line="44" w:lineRule="exact"/>
        <w:rPr>
          <w:sz w:val="20"/>
          <w:szCs w:val="20"/>
          <w:color w:val="auto"/>
        </w:rPr>
      </w:pPr>
    </w:p>
    <w:p>
      <w:pPr>
        <w:jc w:val="both"/>
        <w:ind w:firstLine="319"/>
        <w:spacing w:after="0" w:line="321" w:lineRule="auto"/>
        <w:rPr>
          <w:sz w:val="20"/>
          <w:szCs w:val="20"/>
          <w:color w:val="auto"/>
        </w:rPr>
      </w:pPr>
      <w:r>
        <w:rPr>
          <w:rFonts w:ascii="Arial" w:cs="Arial" w:eastAsia="Arial" w:hAnsi="Arial"/>
          <w:sz w:val="17"/>
          <w:szCs w:val="17"/>
          <w:color w:val="auto"/>
        </w:rPr>
        <w:t>In addition, the Credit Agreement requires the Company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the Company for which financial statements have been delivered pursuant to the Credit Agreement, subject to customary “equity cure” rights.</w:t>
      </w:r>
    </w:p>
    <w:p>
      <w:pPr>
        <w:spacing w:after="0" w:line="110"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111"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8"/>
          <w:szCs w:val="18"/>
          <w:color w:val="auto"/>
        </w:rPr>
        <w:t>Given the uncertainty of COVID-19 and the resulting potential impact to the gaming industry, as well as to provide additional financial flexibility, the Company and the other parties thereto amended the Credit Agreement on August 4, 2020 ("Amendment No. 1") to provide a waiver of financial covenant breach for the periods ended September 30, 2020 through March 31, 2021 of the First Lien Net Leverage Ratio and Fixed Charge Coverage Ratio (each as defined under the Credit Agreement). Amendment No. 1 also raised the floor for the adjusted LIBOR rate to 0.5% and the floor for the base rate to 1.50%. The Company incurred costs of $0.4 million associated with Amendment No. 1, of which $0.3 million was capitalized and is being amortized over the remaining life of the Credit Agreement.</w:t>
      </w:r>
    </w:p>
    <w:p>
      <w:pPr>
        <w:spacing w:after="0" w:line="142"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On October 22, 2021, the Company further amended the Credit Agreement to increase its borrowing capacity to $900 million. For more information on this amendment, see Note 19.</w:t>
      </w:r>
    </w:p>
    <w:p>
      <w:pPr>
        <w:spacing w:after="0" w:line="126"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The Company was in compliance with all debt covenants as of September 30, 2021. Given the Company's assumptions about the future impact of COVID-19 and its variant strains on the gaming industry, which could be materially different due to the inherent uncertainties of future restrictions on the industry, the Company expects to remain in compliance with all debt covenants for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Business and Asset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Business Acquisitions</w:t>
      </w:r>
    </w:p>
    <w:p>
      <w:pPr>
        <w:spacing w:after="0" w:line="205" w:lineRule="exact"/>
        <w:rPr>
          <w:sz w:val="20"/>
          <w:szCs w:val="20"/>
          <w:color w:val="auto"/>
        </w:rPr>
      </w:pPr>
    </w:p>
    <w:p>
      <w:pPr>
        <w:jc w:val="both"/>
        <w:ind w:firstLine="319"/>
        <w:spacing w:after="0" w:line="315" w:lineRule="auto"/>
        <w:rPr>
          <w:sz w:val="20"/>
          <w:szCs w:val="20"/>
          <w:color w:val="auto"/>
        </w:rPr>
      </w:pPr>
      <w:r>
        <w:rPr>
          <w:rFonts w:ascii="Arial" w:cs="Arial" w:eastAsia="Arial" w:hAnsi="Arial"/>
          <w:sz w:val="17"/>
          <w:szCs w:val="17"/>
          <w:color w:val="auto"/>
        </w:rPr>
        <w:t>On March 2, 2021, the Company announced that it had entered into a securities purchase agreement, to acquire Century Gaming, Inc. (“Century”). Century is Montana’s largest gaming operator and a leader in the Nevada gaming market with over 900 licensed establishments and more than 8,500 gaming terminals across both states. Pursuant to the purchase agreement, the Company will acquire all of the outstanding equity interests of Century in a cash and stock transaction valued at $140 million. The transaction was approved by the board of directors of each of the Company and Century, and is expected to close in the first half of 2022, subject to the satisfaction of customary closing conditions, including regulatory approvals from applicable gaming authorities. The transaction will be funded through a combination of the Company’s cash on hand and capacity under its existing credit facility, in addition to the issuance of approximately 450,000 shares of common stock.</w:t>
      </w:r>
    </w:p>
    <w:p>
      <w:pPr>
        <w:spacing w:after="0" w:line="130" w:lineRule="exact"/>
        <w:rPr>
          <w:sz w:val="20"/>
          <w:szCs w:val="20"/>
          <w:color w:val="auto"/>
        </w:rPr>
      </w:pPr>
    </w:p>
    <w:p>
      <w:pPr>
        <w:jc w:val="both"/>
        <w:ind w:firstLine="319"/>
        <w:spacing w:after="0" w:line="365" w:lineRule="auto"/>
        <w:rPr>
          <w:sz w:val="20"/>
          <w:szCs w:val="20"/>
          <w:color w:val="auto"/>
        </w:rPr>
      </w:pPr>
      <w:r>
        <w:rPr>
          <w:rFonts w:ascii="Arial" w:cs="Arial" w:eastAsia="Arial" w:hAnsi="Arial"/>
          <w:sz w:val="15"/>
          <w:szCs w:val="15"/>
          <w:color w:val="auto"/>
        </w:rPr>
        <w:t xml:space="preserve">On May 20, 2021, the Company acquired Island Games, Inc. (“Island”), a southern Georgia amusement operator and Master Licensee in the state of Georgia. The acquisition of Island adds 30 Georgia Coin Operated Amusement Machine (“COAM”) Class B locations to the Accel portfolio, including a total of 89 Class B COAM terminals. The total purchase price was approximately $2.9 million, of which the Company paid $2.8 million in cash at closing. The remaining $0.1 million of contingent consideration is to be paid in cash if certain operating metrics are achieved. The acquisition was accounted for as a business combination using the acquisition method of accounting in accordance with ASC Topic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("Topic 805"). The purchase price was allocated to the tangible assets and identifiable intangible assets acquired and liabilities assumed based upon their estimated fair values.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Business Acquisitions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American Video Gaming</w:t>
      </w:r>
    </w:p>
    <w:p>
      <w:pPr>
        <w:spacing w:after="0" w:line="205"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On December 30, 2020, the Company acquired American Video Gaming, LLC, a terminal operator licensed by the IGB, and Erickson Amusements, Inc. (collectively referred to as "AVG"). AVG had 267 VGTs in 49 licensed establishments. The Company completed this transaction in order to expand its presence within the State of Illinois.</w:t>
      </w:r>
    </w:p>
    <w:p>
      <w:pPr>
        <w:spacing w:after="0" w:line="135"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8"/>
          <w:szCs w:val="18"/>
          <w:color w:val="auto"/>
        </w:rPr>
        <w:t>The acquisition aggregate purchase consideration transferred totaled $32.0 million, which included i) cash paid at closing of $30.5 million and ii) contingent purchase consideration with an estimated fair value of $1.5 million. The contingent consideration potentially represents two installment payments, as follows i.) $0.9 million if the acquired locations meet certain base performance criteria and ii.) an additional $1.4 million if the acquired locations meet additional performance criteria. The estimated fair value of the contingent consideration was determined based on the Company’s expected probability of future payment, discounted using AVG’s weighted average cost of capital. The fair value of the contingent consideration is included within consideration payable on the condensed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19"/>
        <w:spacing w:after="0" w:line="321" w:lineRule="auto"/>
        <w:rPr>
          <w:sz w:val="20"/>
          <w:szCs w:val="20"/>
          <w:color w:val="auto"/>
        </w:rPr>
      </w:pPr>
      <w:r>
        <w:rPr>
          <w:rFonts w:ascii="Arial" w:cs="Arial" w:eastAsia="Arial" w:hAnsi="Arial"/>
          <w:sz w:val="17"/>
          <w:szCs w:val="17"/>
          <w:color w:val="auto"/>
        </w:rPr>
        <w:t>The acquisition was accounted for as a business combination using the acquisition method of accounting in accordance with Topic 805. The purchase price was allocated to the tangible assets and identifiable intangible assets acquired and liabilities assumed based upon their estimated fair values. The excess of the purchase price over the tangible and intangible assets acquired and liabilities assumed was recorded as goodwill. The Company's purchase price allocation was finalized at the end of 2020 and the AVG acquisition resulted in goodwill of $11.2 million.</w:t>
      </w:r>
    </w:p>
    <w:p>
      <w:pPr>
        <w:spacing w:after="0" w:line="123"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The condensed consolidated statements of operations and comprehensive income includes $12.6 million of revenue and $0.9 million of net income attributable to AVG for the nine months ended September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Tom's Amusements</w:t>
      </w:r>
    </w:p>
    <w:p>
      <w:pPr>
        <w:spacing w:after="0" w:line="205" w:lineRule="exact"/>
        <w:rPr>
          <w:sz w:val="20"/>
          <w:szCs w:val="20"/>
          <w:color w:val="auto"/>
        </w:rPr>
      </w:pPr>
    </w:p>
    <w:p>
      <w:pPr>
        <w:jc w:val="both"/>
        <w:ind w:firstLine="319"/>
        <w:spacing w:after="0" w:line="316" w:lineRule="auto"/>
        <w:rPr>
          <w:sz w:val="20"/>
          <w:szCs w:val="20"/>
          <w:color w:val="auto"/>
        </w:rPr>
      </w:pPr>
      <w:r>
        <w:rPr>
          <w:rFonts w:ascii="Arial" w:cs="Arial" w:eastAsia="Arial" w:hAnsi="Arial"/>
          <w:sz w:val="17"/>
          <w:szCs w:val="17"/>
          <w:color w:val="auto"/>
        </w:rPr>
        <w:t>On July 22, 2020 (the “Closing Date”), the Company acquired Tom’s Amusement Company, Inc., (“Tom's Amusements”) a southeastern U.S. gaming and amusement operator and Master Licensee in the state of Georgia. The total purchase price was $3.6 million, of which the Company paid $2.1 million in cash at closing. The remaining $1.5 million of contingent consideration payables are to be paid in cash on the 18-month and 24-month anniversaries of the Closing Date. The amount of each payment is $750,000 multiplied by a performance ratio. In addition, the Georgia Lottery Corporation approved Accel's operating subsidiary, Bulldog Gaming, LLC, as a Master Licensee, which allows the Company to install and operate coin operated amusement machines for commercial use by the public for play throughout the State of Georgia.</w:t>
      </w:r>
    </w:p>
    <w:p>
      <w:pPr>
        <w:spacing w:after="0" w:line="129"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The acquisition was accounted for as a business combination using the acquisition method of accounting in accordance with Topic 805. The purchase price of $3.6 million was allocated to the following assets: i) video game terminals and equipment totaling $1.6 million; ii) location contracts totaling $0.8 million; iii) indefinite-lived gaming license intangible asset of $1.0 million and; iv) cash of $0.2 million.</w:t>
      </w:r>
    </w:p>
    <w:p>
      <w:pPr>
        <w:spacing w:after="0" w:line="135"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The condensed consolidated statements of operations and comprehensive income includes $3.2 million of revenue and $2.8 million of net loss attributable to Tom's Amusements for the nine months ended September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Asset Acquisition</w:t>
      </w:r>
    </w:p>
    <w:p>
      <w:pPr>
        <w:spacing w:after="0" w:line="205" w:lineRule="exact"/>
        <w:rPr>
          <w:sz w:val="20"/>
          <w:szCs w:val="20"/>
          <w:color w:val="auto"/>
        </w:rPr>
      </w:pPr>
    </w:p>
    <w:p>
      <w:pPr>
        <w:jc w:val="both"/>
        <w:ind w:firstLine="319"/>
        <w:spacing w:after="0" w:line="297" w:lineRule="auto"/>
        <w:rPr>
          <w:sz w:val="20"/>
          <w:szCs w:val="20"/>
          <w:color w:val="auto"/>
        </w:rPr>
      </w:pPr>
      <w:r>
        <w:rPr>
          <w:rFonts w:ascii="Arial" w:cs="Arial" w:eastAsia="Arial" w:hAnsi="Arial"/>
          <w:sz w:val="18"/>
          <w:szCs w:val="18"/>
          <w:color w:val="auto"/>
        </w:rPr>
        <w:t>On August 6, 2020, pursuant to the terms of an asset purchase agreement, the Company purchased from Illinois Operators, Inc. terminal use agreements and equipment representing the operations of 13 licensed establishments. The Company has accounted for this transaction as an asset acquisition. The purchase consideration of $4.0 million consisted of: i) cash payment of $3.7 million paid at closing and; ii) deferred payment of $0.3 million which was paid 90-days from the closing date. The asset acquisition costs were allocated to the following assets: i) video game terminals and equipment totaling $0.6 million and; ii) location contracts totaling $3.4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205" w:lineRule="exact"/>
        <w:rPr>
          <w:sz w:val="20"/>
          <w:szCs w:val="20"/>
          <w:color w:val="auto"/>
        </w:rPr>
      </w:pPr>
    </w:p>
    <w:p>
      <w:pPr>
        <w:jc w:val="both"/>
        <w:ind w:firstLine="319"/>
        <w:spacing w:after="0" w:line="318" w:lineRule="auto"/>
        <w:rPr>
          <w:sz w:val="20"/>
          <w:szCs w:val="20"/>
          <w:color w:val="auto"/>
        </w:rPr>
      </w:pPr>
      <w:r>
        <w:rPr>
          <w:rFonts w:ascii="Arial" w:cs="Arial" w:eastAsia="Arial" w:hAnsi="Arial"/>
          <w:sz w:val="17"/>
          <w:szCs w:val="17"/>
          <w:color w:val="auto"/>
        </w:rPr>
        <w:t>The following unaudited pro forma consolidated financial information reflects the results of operations of the Company for the three and nine months ended September 30, 2020 as if the acquisitions of AVG and Tom's Amusements had occurred as of January 1, 2019, after giving effect to certain purchase accounting adjustments. These amounts are based on available financial information of the acquiree prior to the acquisition date and are not necessarily indicative of what Company’s operating results would have been had the acquisition actually taken place as of January 1, 2019. This unaudited pro forma information does not project revenues and net income post acquisition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16"/>
                <w:szCs w:val="16"/>
                <w:color w:val="auto"/>
              </w:rPr>
            </w:pPr>
          </w:p>
        </w:tc>
        <w:tc>
          <w:tcPr>
            <w:tcW w:w="416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r>
      <w:tr>
        <w:trPr>
          <w:trHeight w:val="212"/>
        </w:trPr>
        <w:tc>
          <w:tcPr>
            <w:tcW w:w="2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September 30, 2020</w:t>
            </w:r>
          </w:p>
        </w:tc>
        <w:tc>
          <w:tcPr>
            <w:tcW w:w="14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2020</w:t>
            </w:r>
          </w:p>
        </w:tc>
      </w:tr>
      <w:tr>
        <w:trPr>
          <w:trHeight w:val="24"/>
        </w:trPr>
        <w:tc>
          <w:tcPr>
            <w:tcW w:w="2760" w:type="dxa"/>
            <w:vAlign w:val="bottom"/>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r>
      <w:tr>
        <w:trPr>
          <w:trHeight w:val="239"/>
        </w:trPr>
        <w:tc>
          <w:tcPr>
            <w:tcW w:w="2760" w:type="dxa"/>
            <w:vAlign w:val="bottom"/>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138,895</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250,196</w:t>
            </w:r>
          </w:p>
        </w:tc>
        <w:tc>
          <w:tcPr>
            <w:tcW w:w="2760" w:type="dxa"/>
            <w:vAlign w:val="bottom"/>
          </w:tcPr>
          <w:p>
            <w:pPr>
              <w:spacing w:after="0"/>
              <w:rPr>
                <w:sz w:val="20"/>
                <w:szCs w:val="20"/>
                <w:color w:val="auto"/>
              </w:rPr>
            </w:pPr>
          </w:p>
        </w:tc>
      </w:tr>
      <w:tr>
        <w:trPr>
          <w:trHeight w:val="238"/>
        </w:trPr>
        <w:tc>
          <w:tcPr>
            <w:tcW w:w="276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6,628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8,514</w:t>
            </w:r>
          </w:p>
        </w:tc>
        <w:tc>
          <w:tcPr>
            <w:tcW w:w="2760" w:type="dxa"/>
            <w:vAlign w:val="bottom"/>
          </w:tcPr>
          <w:p>
            <w:pPr>
              <w:spacing w:after="0"/>
              <w:rPr>
                <w:sz w:val="20"/>
                <w:szCs w:val="20"/>
                <w:color w:val="auto"/>
              </w:rPr>
            </w:pPr>
          </w:p>
        </w:tc>
      </w:tr>
      <w:tr>
        <w:trPr>
          <w:trHeight w:val="903"/>
        </w:trPr>
        <w:tc>
          <w:tcPr>
            <w:tcW w:w="2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979"/>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14"/>
        </w:trPr>
        <w:tc>
          <w:tcPr>
            <w:tcW w:w="276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Consideration Payable</w:t>
      </w:r>
    </w:p>
    <w:p>
      <w:pPr>
        <w:spacing w:after="0" w:line="191" w:lineRule="exact"/>
        <w:rPr>
          <w:sz w:val="20"/>
          <w:szCs w:val="20"/>
          <w:color w:val="auto"/>
        </w:rPr>
      </w:pPr>
    </w:p>
    <w:p>
      <w:pPr>
        <w:jc w:val="both"/>
        <w:ind w:firstLine="319"/>
        <w:spacing w:after="0" w:line="368" w:lineRule="auto"/>
        <w:rPr>
          <w:sz w:val="20"/>
          <w:szCs w:val="20"/>
          <w:color w:val="auto"/>
        </w:rPr>
      </w:pPr>
      <w:r>
        <w:rPr>
          <w:rFonts w:ascii="Arial" w:cs="Arial" w:eastAsia="Arial" w:hAnsi="Arial"/>
          <w:sz w:val="15"/>
          <w:szCs w:val="15"/>
          <w:color w:val="auto"/>
        </w:rPr>
        <w:t>The Company has a contingent consideration payable related to certain locations, as defined in each respective acquisition agreement, which are placed into operation during a specified period after the acquisition date. The fair value of contingent consideration is included in the consideration payable on the condensed consolidated balance sheets as of September 30, 2021 and December 31, 2020. The contingent consideration accrued is measured at fair value on a recurring basis. The Company presents on its statement of cash flows, payments for consideration payable within 90-days in investing activities, payments after 90-days and up to the acquisition date fair value in financing activities, and payments in excess of the acquisition date fair value in operating activities.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Current and long-term portions of consideration payable consist of the following at September 30, 2021 and December 31, 2020 (in thousands):</w:t>
      </w:r>
    </w:p>
    <w:p>
      <w:pPr>
        <w:spacing w:after="0" w:line="166" w:lineRule="exact"/>
        <w:rPr>
          <w:sz w:val="20"/>
          <w:szCs w:val="20"/>
          <w:color w:val="auto"/>
        </w:rPr>
      </w:pPr>
    </w:p>
    <w:tbl>
      <w:tblPr>
        <w:tblLayout w:type="fixed"/>
        <w:tblInd w:w="158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December 31, 2020</w:t>
            </w:r>
          </w:p>
        </w:tc>
      </w:tr>
      <w:tr>
        <w:trPr>
          <w:trHeight w:val="192"/>
        </w:trPr>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Long-Term</w:t>
            </w:r>
          </w:p>
        </w:tc>
        <w:tc>
          <w:tcPr>
            <w:tcW w:w="2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6"/>
                <w:szCs w:val="16"/>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Long-Term</w:t>
            </w:r>
          </w:p>
        </w:tc>
      </w:tr>
      <w:tr>
        <w:trPr>
          <w:trHeight w:val="251"/>
        </w:trPr>
        <w:tc>
          <w:tcPr>
            <w:tcW w:w="31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TAV</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2,905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r>
      <w:tr>
        <w:trPr>
          <w:trHeight w:val="265"/>
        </w:trPr>
        <w:tc>
          <w:tcPr>
            <w:tcW w:w="3100" w:type="dxa"/>
            <w:vAlign w:val="bottom"/>
          </w:tcPr>
          <w:p>
            <w:pPr>
              <w:ind w:left="60"/>
              <w:spacing w:after="0"/>
              <w:rPr>
                <w:sz w:val="20"/>
                <w:szCs w:val="20"/>
                <w:color w:val="auto"/>
              </w:rPr>
            </w:pPr>
            <w:r>
              <w:rPr>
                <w:rFonts w:ascii="Arial" w:cs="Arial" w:eastAsia="Arial" w:hAnsi="Arial"/>
                <w:sz w:val="18"/>
                <w:szCs w:val="18"/>
                <w:color w:val="auto"/>
              </w:rPr>
              <w:t>Fair Share Gaming</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66"/>
        </w:trPr>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Family Amusement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r>
      <w:tr>
        <w:trPr>
          <w:trHeight w:val="265"/>
        </w:trPr>
        <w:tc>
          <w:tcPr>
            <w:tcW w:w="3100" w:type="dxa"/>
            <w:vAlign w:val="bottom"/>
          </w:tcPr>
          <w:p>
            <w:pPr>
              <w:ind w:left="60"/>
              <w:spacing w:after="0"/>
              <w:rPr>
                <w:sz w:val="20"/>
                <w:szCs w:val="20"/>
                <w:color w:val="auto"/>
              </w:rPr>
            </w:pPr>
            <w:r>
              <w:rPr>
                <w:rFonts w:ascii="Arial" w:cs="Arial" w:eastAsia="Arial" w:hAnsi="Arial"/>
                <w:sz w:val="18"/>
                <w:szCs w:val="18"/>
                <w:color w:val="auto"/>
              </w:rPr>
              <w:t>Skyhigh</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7,096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5,789</w:t>
            </w:r>
          </w:p>
        </w:tc>
      </w:tr>
      <w:tr>
        <w:trPr>
          <w:trHeight w:val="266"/>
        </w:trPr>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G3</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65"/>
        </w:trPr>
        <w:tc>
          <w:tcPr>
            <w:tcW w:w="3100" w:type="dxa"/>
            <w:vAlign w:val="bottom"/>
          </w:tcPr>
          <w:p>
            <w:pPr>
              <w:ind w:left="60"/>
              <w:spacing w:after="0"/>
              <w:rPr>
                <w:sz w:val="20"/>
                <w:szCs w:val="20"/>
                <w:color w:val="auto"/>
              </w:rPr>
            </w:pPr>
            <w:r>
              <w:rPr>
                <w:rFonts w:ascii="Arial" w:cs="Arial" w:eastAsia="Arial" w:hAnsi="Arial"/>
                <w:sz w:val="18"/>
                <w:szCs w:val="18"/>
                <w:color w:val="auto"/>
              </w:rPr>
              <w:t>Grand River</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5,755</w:t>
            </w:r>
          </w:p>
        </w:tc>
      </w:tr>
      <w:tr>
        <w:trPr>
          <w:trHeight w:val="266"/>
        </w:trPr>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IGS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3100" w:type="dxa"/>
            <w:vAlign w:val="bottom"/>
          </w:tcPr>
          <w:p>
            <w:pPr>
              <w:ind w:left="60"/>
              <w:spacing w:after="0"/>
              <w:rPr>
                <w:sz w:val="20"/>
                <w:szCs w:val="20"/>
                <w:color w:val="auto"/>
              </w:rPr>
            </w:pPr>
            <w:r>
              <w:rPr>
                <w:rFonts w:ascii="Arial" w:cs="Arial" w:eastAsia="Arial" w:hAnsi="Arial"/>
                <w:sz w:val="18"/>
                <w:szCs w:val="18"/>
                <w:color w:val="auto"/>
              </w:rPr>
              <w:t>Island</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Tom's Amusements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65"/>
        </w:trPr>
        <w:tc>
          <w:tcPr>
            <w:tcW w:w="3100" w:type="dxa"/>
            <w:vAlign w:val="bottom"/>
          </w:tcPr>
          <w:p>
            <w:pPr>
              <w:ind w:left="60"/>
              <w:spacing w:after="0"/>
              <w:rPr>
                <w:sz w:val="20"/>
                <w:szCs w:val="20"/>
                <w:color w:val="auto"/>
              </w:rPr>
            </w:pPr>
            <w:r>
              <w:rPr>
                <w:rFonts w:ascii="Arial" w:cs="Arial" w:eastAsia="Arial" w:hAnsi="Arial"/>
                <w:sz w:val="18"/>
                <w:szCs w:val="18"/>
                <w:color w:val="auto"/>
              </w:rPr>
              <w:t>AVG</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45"/>
        </w:trPr>
        <w:tc>
          <w:tcPr>
            <w:tcW w:w="3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20,943</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Contingent Earnout Share Liability</w:t>
      </w:r>
    </w:p>
    <w:p>
      <w:pPr>
        <w:spacing w:after="0" w:line="197" w:lineRule="exact"/>
        <w:rPr>
          <w:sz w:val="20"/>
          <w:szCs w:val="20"/>
          <w:color w:val="auto"/>
        </w:rPr>
      </w:pPr>
    </w:p>
    <w:p>
      <w:pPr>
        <w:jc w:val="both"/>
        <w:ind w:firstLine="398"/>
        <w:spacing w:after="0" w:line="297" w:lineRule="auto"/>
        <w:rPr>
          <w:sz w:val="20"/>
          <w:szCs w:val="20"/>
          <w:color w:val="auto"/>
        </w:rPr>
      </w:pPr>
      <w:r>
        <w:rPr>
          <w:rFonts w:ascii="Arial" w:cs="Arial" w:eastAsia="Arial" w:hAnsi="Arial"/>
          <w:sz w:val="18"/>
          <w:szCs w:val="18"/>
          <w:color w:val="222222"/>
        </w:rPr>
        <w:t>P</w:t>
      </w:r>
      <w:r>
        <w:rPr>
          <w:rFonts w:ascii="Arial" w:cs="Arial" w:eastAsia="Arial" w:hAnsi="Arial"/>
          <w:sz w:val="18"/>
          <w:szCs w:val="18"/>
          <w:color w:val="000000"/>
        </w:rPr>
        <w:t>ursuant to the terms of the Company’s Amended and Restated Certificate of Incorporation, the Company authorized and has available for issuance</w:t>
      </w:r>
      <w:r>
        <w:rPr>
          <w:rFonts w:ascii="Arial" w:cs="Arial" w:eastAsia="Arial" w:hAnsi="Arial"/>
          <w:sz w:val="18"/>
          <w:szCs w:val="18"/>
          <w:color w:val="222222"/>
        </w:rPr>
        <w:t xml:space="preserve"> </w:t>
      </w:r>
      <w:r>
        <w:rPr>
          <w:rFonts w:ascii="Arial" w:cs="Arial" w:eastAsia="Arial" w:hAnsi="Arial"/>
          <w:sz w:val="18"/>
          <w:szCs w:val="18"/>
          <w:color w:val="000000"/>
        </w:rPr>
        <w:t>10,000,000 shares of Class A-2 Common Stock. The holders of the Class A-2 Common Stock do not have voting rights and are not entitled to receive or participate in any dividends or distributions when and if declared from time to time. The Company concluded that the Class A-2 Common Stock should be reflected as a contingent earnout share liability due to the fact that such shares are not entitled to dividends, voting rights, or a stake in the Company in the case of liquidation.</w:t>
      </w:r>
    </w:p>
    <w:p>
      <w:pPr>
        <w:spacing w:after="0" w:line="140" w:lineRule="exact"/>
        <w:rPr>
          <w:sz w:val="20"/>
          <w:szCs w:val="20"/>
          <w:color w:val="auto"/>
        </w:rPr>
      </w:pPr>
    </w:p>
    <w:p>
      <w:pPr>
        <w:jc w:val="both"/>
        <w:ind w:firstLine="398"/>
        <w:spacing w:after="0" w:line="297" w:lineRule="auto"/>
        <w:rPr>
          <w:sz w:val="20"/>
          <w:szCs w:val="20"/>
          <w:color w:val="auto"/>
        </w:rPr>
      </w:pPr>
      <w:r>
        <w:rPr>
          <w:rFonts w:ascii="Arial" w:cs="Arial" w:eastAsia="Arial" w:hAnsi="Arial"/>
          <w:sz w:val="18"/>
          <w:szCs w:val="18"/>
          <w:color w:val="auto"/>
        </w:rPr>
        <w:t>In November of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following triggers:</w:t>
      </w:r>
    </w:p>
    <w:p>
      <w:pPr>
        <w:spacing w:after="0" w:line="140" w:lineRule="exact"/>
        <w:rPr>
          <w:sz w:val="20"/>
          <w:szCs w:val="20"/>
          <w:color w:val="auto"/>
        </w:rPr>
      </w:pPr>
    </w:p>
    <w:p>
      <w:pPr>
        <w:jc w:val="both"/>
        <w:ind w:left="640" w:hanging="315"/>
        <w:spacing w:after="0" w:line="321"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Tranche I, equal to 1,666,666 shares of Class A-2 Common Stock, will be exchanged for Class A-1 Common Stock if either (i) the EBITDA for the last twelve months (“LTM EBITDA”) of the Company (as determined pursuant to the Restricted Stock Agreement) as of December 31, 2021, March 31, 2022 or June 30, 2022 equals or exceeds $132 million or (ii) the closing sale price of Class A-1 Common Stock on the New York Stock Exchange (“NYSE”) equals or exceeds $12.00 for at least twenty trading days in any consecutive thirty trading day period;</w:t>
      </w:r>
    </w:p>
    <w:p>
      <w:pPr>
        <w:spacing w:after="0" w:line="122" w:lineRule="exact"/>
        <w:rPr>
          <w:rFonts w:ascii="Arial" w:cs="Arial" w:eastAsia="Arial" w:hAnsi="Arial"/>
          <w:sz w:val="17"/>
          <w:szCs w:val="17"/>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Tranche II, equal to 1,666,667 shares of Class A-2 Common Stock, will be exchanged for Class A-1 Common Stock if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40"/>
        <w:spacing w:after="0" w:line="302" w:lineRule="auto"/>
        <w:rPr>
          <w:sz w:val="20"/>
          <w:szCs w:val="20"/>
          <w:color w:val="auto"/>
        </w:rPr>
      </w:pPr>
      <w:r>
        <w:rPr>
          <w:rFonts w:ascii="Arial" w:cs="Arial" w:eastAsia="Arial" w:hAnsi="Arial"/>
          <w:sz w:val="18"/>
          <w:szCs w:val="18"/>
          <w:color w:val="auto"/>
        </w:rPr>
        <w:t>either (i) the LTM EBITDA of the Company (as determined pursuant to the Restricted Stock Agreement) as of December 31, 2022, March 31, 2023 or June 30, 2023 equals or exceeds $152 million or (ii) the closing sale price of Class A-1 Common Stock on the NYSE equals or exceeds $14.00 for at least twenty trading days in any consecutive thirty trading day period; and</w:t>
      </w:r>
    </w:p>
    <w:p>
      <w:pPr>
        <w:spacing w:after="0" w:line="135" w:lineRule="exact"/>
        <w:rPr>
          <w:sz w:val="20"/>
          <w:szCs w:val="20"/>
          <w:color w:val="auto"/>
        </w:rPr>
      </w:pPr>
    </w:p>
    <w:p>
      <w:pPr>
        <w:jc w:val="both"/>
        <w:ind w:left="640" w:hanging="315"/>
        <w:spacing w:after="0" w:line="299"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Tranche III, equal to 1,666,667 shares of Class A-2 Common Stock, will be exchanged for Class A-1 Common Stock if either (i) the LTM EBITDA of the Company (as determined pursuant to the Restricted Stock Agreement) as of December 31, 2023, March 31, 2024 or June 30, 2024 equals or exceeds $172 million or (ii) the closing sale price of Class A-1 Common Stock on the NYSE equals or exceeds $16.00 for at least twenty trading days in any consecutive thirty trading day period.</w:t>
      </w:r>
    </w:p>
    <w:p>
      <w:pPr>
        <w:spacing w:after="0" w:line="137" w:lineRule="exact"/>
        <w:rPr>
          <w:sz w:val="20"/>
          <w:szCs w:val="20"/>
          <w:color w:val="auto"/>
        </w:rPr>
      </w:pPr>
    </w:p>
    <w:p>
      <w:pPr>
        <w:jc w:val="both"/>
        <w:ind w:firstLine="319"/>
        <w:spacing w:after="0" w:line="374" w:lineRule="auto"/>
        <w:rPr>
          <w:sz w:val="20"/>
          <w:szCs w:val="20"/>
          <w:color w:val="auto"/>
        </w:rPr>
      </w:pPr>
      <w:r>
        <w:rPr>
          <w:rFonts w:ascii="Arial" w:cs="Arial" w:eastAsia="Arial" w:hAnsi="Arial"/>
          <w:sz w:val="15"/>
          <w:szCs w:val="15"/>
          <w:color w:val="auto"/>
        </w:rPr>
        <w:t>On January 14, 2020, the market condition for the settlement of Tranche I was satisfied. However, no stockholder is permitted to own more than 4.99% of the issued and outstanding Class A-1 Common Stock after the settlement unless obtaining required gaming approvals from the applicable gaming authorities. In connection with the settlement, no gaming approvals were obtained. In addition, no stockholder can receive a fractional share from a conversion. As a result, only 1,666,636 shares of the 1,666,666 shares of Class A-2 Common Stock were converted into Class A-1 Common Stock.</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Warrant Liability</w:t>
      </w:r>
    </w:p>
    <w:p>
      <w:pPr>
        <w:spacing w:after="0" w:line="197" w:lineRule="exact"/>
        <w:rPr>
          <w:sz w:val="20"/>
          <w:szCs w:val="20"/>
          <w:color w:val="auto"/>
        </w:rPr>
      </w:pPr>
    </w:p>
    <w:p>
      <w:pPr>
        <w:jc w:val="both"/>
        <w:ind w:firstLine="398"/>
        <w:spacing w:after="0" w:line="318" w:lineRule="auto"/>
        <w:rPr>
          <w:sz w:val="20"/>
          <w:szCs w:val="20"/>
          <w:color w:val="auto"/>
        </w:rPr>
      </w:pPr>
      <w:r>
        <w:rPr>
          <w:rFonts w:ascii="Arial" w:cs="Arial" w:eastAsia="Arial" w:hAnsi="Arial"/>
          <w:sz w:val="17"/>
          <w:szCs w:val="17"/>
          <w:color w:val="auto"/>
        </w:rPr>
        <w:t>In November 2019, 7,333,326 warrants to purchase shares of Class A-1 Common Stock were issued with other consideration prior to the reverse recapitalization (the “Private Placement Warrants”). As a part of the reverse recapitalization, 2,444,437 Private Placement Warrants were canceled and reissued under the same terms and conditions to Accel legacy stockholders. Each warrant expires five years from issuance and entitles the holder to purchase one share of Class A-1 Common Stock at an exercise price of $11.50 per share, subject to adjustments substantially similar to those applicable to the other outstanding warrants, at any time 30 days after the consummation of the reverse recapitalization.</w:t>
      </w:r>
    </w:p>
    <w:p>
      <w:pPr>
        <w:spacing w:after="0" w:line="126" w:lineRule="exact"/>
        <w:rPr>
          <w:sz w:val="20"/>
          <w:szCs w:val="20"/>
          <w:color w:val="auto"/>
        </w:rPr>
      </w:pPr>
    </w:p>
    <w:p>
      <w:pPr>
        <w:jc w:val="both"/>
        <w:ind w:firstLine="478"/>
        <w:spacing w:after="0" w:line="299" w:lineRule="auto"/>
        <w:rPr>
          <w:sz w:val="20"/>
          <w:szCs w:val="20"/>
          <w:color w:val="auto"/>
        </w:rPr>
      </w:pPr>
      <w:r>
        <w:rPr>
          <w:rFonts w:ascii="Arial" w:cs="Arial" w:eastAsia="Arial" w:hAnsi="Arial"/>
          <w:sz w:val="18"/>
          <w:szCs w:val="18"/>
          <w:color w:val="auto"/>
        </w:rPr>
        <w:t>In 2017, 15,000,000 warrants to purchase shares of Class A-1 Common Stock were issued in connection with the formation of TPG Pace Holdings (“Public Warrants”). Each warrant expires five years from issuance and entitles the holder to purchase one share of Class A-1 Common Stock at an exercise price of $11.50 per share, subject to adjustments substantially similar to those applicable to the other outstanding warrants, at any time 30 days after the consummation of the reverse recapitalization.</w:t>
      </w:r>
    </w:p>
    <w:p>
      <w:pPr>
        <w:spacing w:after="0" w:line="137" w:lineRule="exact"/>
        <w:rPr>
          <w:sz w:val="20"/>
          <w:szCs w:val="20"/>
          <w:color w:val="auto"/>
        </w:rPr>
      </w:pPr>
    </w:p>
    <w:p>
      <w:pPr>
        <w:jc w:val="both"/>
        <w:ind w:firstLine="478"/>
        <w:spacing w:after="0" w:line="302" w:lineRule="auto"/>
        <w:rPr>
          <w:sz w:val="20"/>
          <w:szCs w:val="20"/>
          <w:color w:val="auto"/>
        </w:rPr>
      </w:pPr>
      <w:r>
        <w:rPr>
          <w:rFonts w:ascii="Arial" w:cs="Arial" w:eastAsia="Arial" w:hAnsi="Arial"/>
          <w:sz w:val="18"/>
          <w:szCs w:val="18"/>
          <w:color w:val="auto"/>
        </w:rPr>
        <w:t>On July 14, 2020, the Company announced that it had commenced an exchange offer (the "Offer") to all holders of its outstanding warrants to receive 0.25 shares of Class A-1 Common Stock in exchange for each warrant tendered pursuant to the Offer. The Offer was open until 11:59 p.m., Eastern Standard Time, on August 11, 2020.</w:t>
      </w:r>
    </w:p>
    <w:p>
      <w:pPr>
        <w:spacing w:after="0" w:line="135" w:lineRule="exact"/>
        <w:rPr>
          <w:sz w:val="20"/>
          <w:szCs w:val="20"/>
          <w:color w:val="auto"/>
        </w:rPr>
      </w:pPr>
    </w:p>
    <w:p>
      <w:pPr>
        <w:jc w:val="both"/>
        <w:ind w:firstLine="478"/>
        <w:spacing w:after="0" w:line="362" w:lineRule="auto"/>
        <w:rPr>
          <w:sz w:val="20"/>
          <w:szCs w:val="20"/>
          <w:color w:val="auto"/>
        </w:rPr>
      </w:pPr>
      <w:r>
        <w:rPr>
          <w:rFonts w:ascii="Arial" w:cs="Arial" w:eastAsia="Arial" w:hAnsi="Arial"/>
          <w:sz w:val="15"/>
          <w:szCs w:val="15"/>
          <w:color w:val="auto"/>
        </w:rPr>
        <w:t>On July 16, 2020, the Company consummated the redemption of its Public Warrants. The Company exchanged each Public Warrant for 0.25 shares of the Company’s Class A-1 Common Stock and issued 3,784,416 shares of its Class A-1 Common Stock in exchange for the Public Warrants at settlement of the redemption. The exchange was an equitable exchange at fair value and was accounted for as a capital transaction. On July 22, 2020, the Company received written notice from the New York Stock Exchange (the “NYSE”) that the NYSE suspended trading in, and had determined to commence proceedings to delist, the Company’s Public Warrants to purchase shares of the Company’s Class A-1 Common Stock (ticker symbol ACEL.WS) from the NYSE. The delisting was a result of the failure of the Public Warrants to comply with the continued listing standard set forth in Section 802.01D of the NYSE Listed Company Manual which requires the Company to maintain at least 100 public holders of a listed security.</w:t>
      </w:r>
    </w:p>
    <w:p>
      <w:pPr>
        <w:spacing w:after="0" w:line="105" w:lineRule="exact"/>
        <w:rPr>
          <w:sz w:val="20"/>
          <w:szCs w:val="20"/>
          <w:color w:val="auto"/>
        </w:rPr>
      </w:pPr>
    </w:p>
    <w:p>
      <w:pPr>
        <w:jc w:val="both"/>
        <w:ind w:firstLine="478"/>
        <w:spacing w:after="0" w:line="302" w:lineRule="auto"/>
        <w:rPr>
          <w:sz w:val="20"/>
          <w:szCs w:val="20"/>
          <w:color w:val="auto"/>
        </w:rPr>
      </w:pPr>
      <w:r>
        <w:rPr>
          <w:rFonts w:ascii="Arial" w:cs="Arial" w:eastAsia="Arial" w:hAnsi="Arial"/>
          <w:sz w:val="18"/>
          <w:szCs w:val="18"/>
          <w:color w:val="auto"/>
        </w:rPr>
        <w:t>On August 14, 2020, 7,189,990 of the Private Placement Warrants were validly tendered representing approximately 99.93% of the total Private Placement Warrants outstanding. The Company accepted all such warrants and issued an aggregate of 1,797,474 shares of its Class A-1 Common Stock in exchange for the warrants tendered.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184" w:lineRule="exact"/>
        <w:rPr>
          <w:sz w:val="20"/>
          <w:szCs w:val="20"/>
          <w:color w:val="auto"/>
        </w:rPr>
      </w:pPr>
    </w:p>
    <w:p>
      <w:pPr>
        <w:jc w:val="both"/>
        <w:ind w:right="20" w:firstLine="319"/>
        <w:spacing w:after="0" w:line="422" w:lineRule="auto"/>
        <w:rPr>
          <w:sz w:val="20"/>
          <w:szCs w:val="20"/>
          <w:color w:val="auto"/>
        </w:rPr>
      </w:pPr>
      <w:r>
        <w:rPr>
          <w:rFonts w:ascii="Arial" w:cs="Arial" w:eastAsia="Arial" w:hAnsi="Arial"/>
          <w:sz w:val="15"/>
          <w:szCs w:val="15"/>
          <w:color w:val="auto"/>
        </w:rPr>
        <w:t xml:space="preserve">ASC Topic 820,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xml:space="preserve"> establishes a framework for measuring fair value and the corresponding disclosure requirements around fair value measurements. This topic applies to all financial instruments that are being measured and reported on a fair value basis.</w:t>
      </w:r>
    </w:p>
    <w:p>
      <w:pPr>
        <w:spacing w:after="0" w:line="31" w:lineRule="exact"/>
        <w:rPr>
          <w:sz w:val="20"/>
          <w:szCs w:val="20"/>
          <w:color w:val="auto"/>
        </w:rPr>
      </w:pPr>
    </w:p>
    <w:p>
      <w:pPr>
        <w:jc w:val="both"/>
        <w:ind w:firstLine="319"/>
        <w:spacing w:after="0" w:line="362" w:lineRule="auto"/>
        <w:rPr>
          <w:sz w:val="20"/>
          <w:szCs w:val="20"/>
          <w:color w:val="auto"/>
        </w:rPr>
      </w:pPr>
      <w:r>
        <w:rPr>
          <w:rFonts w:ascii="Arial" w:cs="Arial" w:eastAsia="Arial" w:hAnsi="Arial"/>
          <w:sz w:val="15"/>
          <w:szCs w:val="15"/>
          <w:color w:val="auto"/>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Level 1</w:t>
      </w:r>
      <w:r>
        <w:rPr>
          <w:rFonts w:ascii="Arial" w:cs="Arial" w:eastAsia="Arial" w:hAnsi="Arial"/>
          <w:sz w:val="15"/>
          <w:szCs w:val="15"/>
          <w:color w:val="auto"/>
          <w:highlight w:val="white"/>
        </w:rPr>
        <w:t>: Valuations for assets and liabilities traded in active exchange markets, such as the New York Stock Exchange. Level 1 also includes U.S.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Treasury and federal agency securities and federal agency mortgage-backed securities, which are traded by dealers or brokers in active markets.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Valuations are obtained from readily available pricing sources for market transactions involving identical assets or liabilities.</w:t>
      </w:r>
    </w:p>
    <w:p>
      <w:pPr>
        <w:spacing w:after="0" w:line="191" w:lineRule="exact"/>
        <w:rPr>
          <w:sz w:val="20"/>
          <w:szCs w:val="20"/>
          <w:color w:val="auto"/>
        </w:rPr>
      </w:pPr>
    </w:p>
    <w:p>
      <w:pPr>
        <w:jc w:val="both"/>
        <w:ind w:left="320"/>
        <w:spacing w:after="0" w:line="312"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highlight w:val="white"/>
        </w:rPr>
        <w:t>: Valuations for assets and liabilities traded in less active dealer or broker markets. Valuations are obtained from third-party pricing services for</w:t>
      </w:r>
      <w:r>
        <w:rPr>
          <w:rFonts w:ascii="Arial" w:cs="Arial" w:eastAsia="Arial" w:hAnsi="Arial"/>
          <w:sz w:val="18"/>
          <w:szCs w:val="18"/>
          <w:color w:val="auto"/>
        </w:rPr>
        <w:t xml:space="preserve"> identical or similar assets or liabilities.</w:t>
      </w:r>
    </w:p>
    <w:p>
      <w:pPr>
        <w:spacing w:after="0" w:line="99" w:lineRule="exact"/>
        <w:rPr>
          <w:sz w:val="20"/>
          <w:szCs w:val="20"/>
          <w:color w:val="auto"/>
        </w:rPr>
      </w:pPr>
    </w:p>
    <w:p>
      <w:pPr>
        <w:jc w:val="both"/>
        <w:ind w:left="320"/>
        <w:spacing w:after="0" w:line="302"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highlight w:val="white"/>
        </w:rPr>
        <w:t>: Valuations for assets and liabilities that are derived from other valuation methodologies, including option pricing models, discounted cash flow</w:t>
      </w:r>
      <w:r>
        <w:rPr>
          <w:rFonts w:ascii="Arial" w:cs="Arial" w:eastAsia="Arial" w:hAnsi="Arial"/>
          <w:sz w:val="18"/>
          <w:szCs w:val="18"/>
          <w:color w:val="auto"/>
        </w:rPr>
        <w:t xml:space="preserve"> models and similar techniques, and not based on market exchange, dealer, or broker traded transactions. Level 3 valuations incorporate certain assumptions and projections in determining the fair value assigned to such assets or liabilities.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w:t>
      </w:r>
    </w:p>
    <w:p>
      <w:pPr>
        <w:spacing w:after="0" w:line="20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following tables summarize the Company’s assets that are measured at fair value on a recurring basis (in thousands):</w:t>
      </w:r>
    </w:p>
    <w:p>
      <w:pPr>
        <w:spacing w:after="0" w:line="221"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20" w:type="dxa"/>
            <w:vAlign w:val="bottom"/>
            <w:gridSpan w:val="6"/>
          </w:tcPr>
          <w:p>
            <w:pPr>
              <w:jc w:val="center"/>
              <w:ind w:left="505"/>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720" w:type="dxa"/>
            <w:vAlign w:val="bottom"/>
          </w:tcPr>
          <w:p>
            <w:pPr>
              <w:spacing w:after="0"/>
              <w:rPr>
                <w:sz w:val="16"/>
                <w:szCs w:val="16"/>
                <w:color w:val="auto"/>
              </w:rPr>
            </w:pPr>
          </w:p>
        </w:tc>
      </w:tr>
      <w:tr>
        <w:trPr>
          <w:trHeight w:val="24"/>
        </w:trPr>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6"/>
        </w:trPr>
        <w:tc>
          <w:tcPr>
            <w:tcW w:w="2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Quoted Prices in</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59"/>
        </w:trPr>
        <w:tc>
          <w:tcPr>
            <w:tcW w:w="2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3"/>
          </w:tcPr>
          <w:p>
            <w:pPr>
              <w:jc w:val="center"/>
              <w:ind w:right="140"/>
              <w:spacing w:after="0" w:line="159" w:lineRule="exact"/>
              <w:rPr>
                <w:sz w:val="20"/>
                <w:szCs w:val="20"/>
                <w:color w:val="auto"/>
              </w:rPr>
            </w:pPr>
            <w:r>
              <w:rPr>
                <w:rFonts w:ascii="Arial" w:cs="Arial" w:eastAsia="Arial" w:hAnsi="Arial"/>
                <w:sz w:val="14"/>
                <w:szCs w:val="14"/>
                <w:b w:val="1"/>
                <w:bCs w:val="1"/>
                <w:color w:val="auto"/>
                <w:w w:val="93"/>
              </w:rPr>
              <w:t>Active Markets for</w:t>
            </w:r>
          </w:p>
        </w:tc>
        <w:tc>
          <w:tcPr>
            <w:tcW w:w="380" w:type="dxa"/>
            <w:vAlign w:val="bottom"/>
          </w:tcPr>
          <w:p>
            <w:pPr>
              <w:spacing w:after="0"/>
              <w:rPr>
                <w:sz w:val="13"/>
                <w:szCs w:val="13"/>
                <w:color w:val="auto"/>
              </w:rPr>
            </w:pPr>
          </w:p>
        </w:tc>
        <w:tc>
          <w:tcPr>
            <w:tcW w:w="13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Significant Other</w:t>
            </w:r>
          </w:p>
        </w:tc>
        <w:tc>
          <w:tcPr>
            <w:tcW w:w="1420" w:type="dxa"/>
            <w:vAlign w:val="bottom"/>
            <w:gridSpan w:val="2"/>
          </w:tcPr>
          <w:p>
            <w:pPr>
              <w:jc w:val="right"/>
              <w:ind w:right="171"/>
              <w:spacing w:after="0" w:line="159" w:lineRule="exact"/>
              <w:rPr>
                <w:sz w:val="20"/>
                <w:szCs w:val="20"/>
                <w:color w:val="auto"/>
              </w:rPr>
            </w:pPr>
            <w:r>
              <w:rPr>
                <w:rFonts w:ascii="Arial" w:cs="Arial" w:eastAsia="Arial" w:hAnsi="Arial"/>
                <w:sz w:val="14"/>
                <w:szCs w:val="14"/>
                <w:b w:val="1"/>
                <w:bCs w:val="1"/>
                <w:color w:val="auto"/>
              </w:rPr>
              <w:t>Significant</w:t>
            </w:r>
          </w:p>
        </w:tc>
      </w:tr>
      <w:tr>
        <w:trPr>
          <w:trHeight w:val="159"/>
        </w:trPr>
        <w:tc>
          <w:tcPr>
            <w:tcW w:w="2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89"/>
              </w:rPr>
              <w:t>September 30,</w:t>
            </w:r>
          </w:p>
        </w:tc>
        <w:tc>
          <w:tcPr>
            <w:tcW w:w="1760" w:type="dxa"/>
            <w:vAlign w:val="bottom"/>
            <w:gridSpan w:val="3"/>
          </w:tcPr>
          <w:p>
            <w:pPr>
              <w:jc w:val="center"/>
              <w:ind w:right="160"/>
              <w:spacing w:after="0" w:line="159" w:lineRule="exact"/>
              <w:rPr>
                <w:sz w:val="20"/>
                <w:szCs w:val="20"/>
                <w:color w:val="auto"/>
              </w:rPr>
            </w:pPr>
            <w:r>
              <w:rPr>
                <w:rFonts w:ascii="Arial" w:cs="Arial" w:eastAsia="Arial" w:hAnsi="Arial"/>
                <w:sz w:val="14"/>
                <w:szCs w:val="14"/>
                <w:b w:val="1"/>
                <w:bCs w:val="1"/>
                <w:color w:val="auto"/>
                <w:w w:val="90"/>
              </w:rPr>
              <w:t>Identical Assets</w:t>
            </w:r>
          </w:p>
        </w:tc>
        <w:tc>
          <w:tcPr>
            <w:tcW w:w="1740" w:type="dxa"/>
            <w:vAlign w:val="bottom"/>
            <w:gridSpan w:val="3"/>
          </w:tcPr>
          <w:p>
            <w:pPr>
              <w:jc w:val="center"/>
              <w:ind w:right="120"/>
              <w:spacing w:after="0" w:line="159" w:lineRule="exact"/>
              <w:rPr>
                <w:sz w:val="20"/>
                <w:szCs w:val="20"/>
                <w:color w:val="auto"/>
              </w:rPr>
            </w:pPr>
            <w:r>
              <w:rPr>
                <w:rFonts w:ascii="Arial" w:cs="Arial" w:eastAsia="Arial" w:hAnsi="Arial"/>
                <w:sz w:val="14"/>
                <w:szCs w:val="14"/>
                <w:b w:val="1"/>
                <w:bCs w:val="1"/>
                <w:color w:val="auto"/>
                <w:w w:val="92"/>
              </w:rPr>
              <w:t>Observable Inputs (Level</w:t>
            </w:r>
          </w:p>
        </w:tc>
        <w:tc>
          <w:tcPr>
            <w:tcW w:w="14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88"/>
              </w:rPr>
              <w:t>Unobservable</w:t>
            </w:r>
          </w:p>
        </w:tc>
      </w:tr>
      <w:tr>
        <w:trPr>
          <w:trHeight w:val="184"/>
        </w:trPr>
        <w:tc>
          <w:tcPr>
            <w:tcW w:w="2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(Level 1)</w:t>
            </w:r>
          </w:p>
        </w:tc>
        <w:tc>
          <w:tcPr>
            <w:tcW w:w="380" w:type="dxa"/>
            <w:vAlign w:val="bottom"/>
          </w:tcPr>
          <w:p>
            <w:pPr>
              <w:spacing w:after="0"/>
              <w:rPr>
                <w:sz w:val="16"/>
                <w:szCs w:val="16"/>
                <w:color w:val="auto"/>
              </w:rPr>
            </w:pPr>
          </w:p>
        </w:tc>
        <w:tc>
          <w:tcPr>
            <w:tcW w:w="1240" w:type="dxa"/>
            <w:vAlign w:val="bottom"/>
          </w:tcPr>
          <w:p>
            <w:pPr>
              <w:jc w:val="center"/>
              <w:ind w:right="323"/>
              <w:spacing w:after="0"/>
              <w:rPr>
                <w:sz w:val="20"/>
                <w:szCs w:val="20"/>
                <w:color w:val="auto"/>
              </w:rPr>
            </w:pPr>
            <w:r>
              <w:rPr>
                <w:rFonts w:ascii="Arial" w:cs="Arial" w:eastAsia="Arial" w:hAnsi="Arial"/>
                <w:sz w:val="14"/>
                <w:szCs w:val="14"/>
                <w:b w:val="1"/>
                <w:bCs w:val="1"/>
                <w:color w:val="auto"/>
                <w:w w:val="96"/>
              </w:rPr>
              <w:t>2)</w:t>
            </w:r>
          </w:p>
        </w:tc>
        <w:tc>
          <w:tcPr>
            <w:tcW w:w="12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Inputs (Level 3)</w:t>
            </w:r>
          </w:p>
        </w:tc>
      </w:tr>
      <w:tr>
        <w:trPr>
          <w:trHeight w:val="24"/>
        </w:trPr>
        <w:tc>
          <w:tcPr>
            <w:tcW w:w="2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6"/>
        </w:trPr>
        <w:tc>
          <w:tcPr>
            <w:tcW w:w="2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27"/>
        </w:trPr>
        <w:tc>
          <w:tcPr>
            <w:tcW w:w="2620" w:type="dxa"/>
            <w:vAlign w:val="bottom"/>
          </w:tcPr>
          <w:p>
            <w:pPr>
              <w:ind w:left="380"/>
              <w:spacing w:after="0"/>
              <w:rPr>
                <w:sz w:val="20"/>
                <w:szCs w:val="20"/>
                <w:color w:val="auto"/>
              </w:rPr>
            </w:pPr>
            <w:r>
              <w:rPr>
                <w:rFonts w:ascii="Arial" w:cs="Arial" w:eastAsia="Arial" w:hAnsi="Arial"/>
                <w:sz w:val="18"/>
                <w:szCs w:val="18"/>
                <w:color w:val="auto"/>
              </w:rPr>
              <w:t>Investment in convertible</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2620" w:type="dxa"/>
            <w:vAlign w:val="bottom"/>
          </w:tcPr>
          <w:p>
            <w:pPr>
              <w:ind w:left="140"/>
              <w:spacing w:after="0"/>
              <w:rPr>
                <w:sz w:val="20"/>
                <w:szCs w:val="20"/>
                <w:color w:val="auto"/>
              </w:rPr>
            </w:pPr>
            <w:r>
              <w:rPr>
                <w:rFonts w:ascii="Arial" w:cs="Arial" w:eastAsia="Arial" w:hAnsi="Arial"/>
                <w:sz w:val="18"/>
                <w:szCs w:val="18"/>
                <w:color w:val="auto"/>
              </w:rPr>
              <w:t>notes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
              <w:spacing w:after="0"/>
              <w:rPr>
                <w:sz w:val="20"/>
                <w:szCs w:val="20"/>
                <w:color w:val="auto"/>
              </w:rPr>
            </w:pPr>
            <w:r>
              <w:rPr>
                <w:rFonts w:ascii="Arial" w:cs="Arial" w:eastAsia="Arial" w:hAnsi="Arial"/>
                <w:sz w:val="18"/>
                <w:szCs w:val="18"/>
                <w:color w:val="auto"/>
              </w:rPr>
              <w:t>37,622</w:t>
            </w: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85"/>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37,622</w:t>
            </w:r>
          </w:p>
        </w:tc>
      </w:tr>
      <w:tr>
        <w:trPr>
          <w:trHeight w:val="495"/>
        </w:trPr>
        <w:tc>
          <w:tcPr>
            <w:tcW w:w="2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20" w:type="dxa"/>
            <w:vAlign w:val="bottom"/>
            <w:gridSpan w:val="6"/>
          </w:tcPr>
          <w:p>
            <w:pPr>
              <w:jc w:val="center"/>
              <w:ind w:left="505"/>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720" w:type="dxa"/>
            <w:vAlign w:val="bottom"/>
          </w:tcPr>
          <w:p>
            <w:pPr>
              <w:spacing w:after="0"/>
              <w:rPr>
                <w:sz w:val="24"/>
                <w:szCs w:val="24"/>
                <w:color w:val="auto"/>
              </w:rPr>
            </w:pPr>
          </w:p>
        </w:tc>
      </w:tr>
      <w:tr>
        <w:trPr>
          <w:trHeight w:val="24"/>
        </w:trPr>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6"/>
        </w:trPr>
        <w:tc>
          <w:tcPr>
            <w:tcW w:w="2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Quoted Prices in</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59"/>
        </w:trPr>
        <w:tc>
          <w:tcPr>
            <w:tcW w:w="2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3"/>
          </w:tcPr>
          <w:p>
            <w:pPr>
              <w:jc w:val="center"/>
              <w:ind w:right="140"/>
              <w:spacing w:after="0" w:line="159" w:lineRule="exact"/>
              <w:rPr>
                <w:sz w:val="20"/>
                <w:szCs w:val="20"/>
                <w:color w:val="auto"/>
              </w:rPr>
            </w:pPr>
            <w:r>
              <w:rPr>
                <w:rFonts w:ascii="Arial" w:cs="Arial" w:eastAsia="Arial" w:hAnsi="Arial"/>
                <w:sz w:val="14"/>
                <w:szCs w:val="14"/>
                <w:b w:val="1"/>
                <w:bCs w:val="1"/>
                <w:color w:val="auto"/>
                <w:w w:val="93"/>
              </w:rPr>
              <w:t>Active Markets for</w:t>
            </w:r>
          </w:p>
        </w:tc>
        <w:tc>
          <w:tcPr>
            <w:tcW w:w="380" w:type="dxa"/>
            <w:vAlign w:val="bottom"/>
          </w:tcPr>
          <w:p>
            <w:pPr>
              <w:spacing w:after="0"/>
              <w:rPr>
                <w:sz w:val="13"/>
                <w:szCs w:val="13"/>
                <w:color w:val="auto"/>
              </w:rPr>
            </w:pPr>
          </w:p>
        </w:tc>
        <w:tc>
          <w:tcPr>
            <w:tcW w:w="13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Significant Other</w:t>
            </w:r>
          </w:p>
        </w:tc>
        <w:tc>
          <w:tcPr>
            <w:tcW w:w="1420" w:type="dxa"/>
            <w:vAlign w:val="bottom"/>
            <w:gridSpan w:val="2"/>
          </w:tcPr>
          <w:p>
            <w:pPr>
              <w:jc w:val="right"/>
              <w:ind w:right="171"/>
              <w:spacing w:after="0" w:line="159" w:lineRule="exact"/>
              <w:rPr>
                <w:sz w:val="20"/>
                <w:szCs w:val="20"/>
                <w:color w:val="auto"/>
              </w:rPr>
            </w:pPr>
            <w:r>
              <w:rPr>
                <w:rFonts w:ascii="Arial" w:cs="Arial" w:eastAsia="Arial" w:hAnsi="Arial"/>
                <w:sz w:val="14"/>
                <w:szCs w:val="14"/>
                <w:b w:val="1"/>
                <w:bCs w:val="1"/>
                <w:color w:val="auto"/>
              </w:rPr>
              <w:t>Significant</w:t>
            </w:r>
          </w:p>
        </w:tc>
      </w:tr>
      <w:tr>
        <w:trPr>
          <w:trHeight w:val="159"/>
        </w:trPr>
        <w:tc>
          <w:tcPr>
            <w:tcW w:w="2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0"/>
              </w:rPr>
              <w:t>December 31,</w:t>
            </w:r>
          </w:p>
        </w:tc>
        <w:tc>
          <w:tcPr>
            <w:tcW w:w="1760" w:type="dxa"/>
            <w:vAlign w:val="bottom"/>
            <w:gridSpan w:val="3"/>
          </w:tcPr>
          <w:p>
            <w:pPr>
              <w:jc w:val="center"/>
              <w:ind w:right="140"/>
              <w:spacing w:after="0" w:line="159" w:lineRule="exact"/>
              <w:rPr>
                <w:sz w:val="20"/>
                <w:szCs w:val="20"/>
                <w:color w:val="auto"/>
              </w:rPr>
            </w:pPr>
            <w:r>
              <w:rPr>
                <w:rFonts w:ascii="Arial" w:cs="Arial" w:eastAsia="Arial" w:hAnsi="Arial"/>
                <w:sz w:val="14"/>
                <w:szCs w:val="14"/>
                <w:b w:val="1"/>
                <w:bCs w:val="1"/>
                <w:color w:val="auto"/>
                <w:w w:val="88"/>
              </w:rPr>
              <w:t>Identical Assets</w:t>
            </w:r>
          </w:p>
        </w:tc>
        <w:tc>
          <w:tcPr>
            <w:tcW w:w="1740" w:type="dxa"/>
            <w:vAlign w:val="bottom"/>
            <w:gridSpan w:val="3"/>
          </w:tcPr>
          <w:p>
            <w:pPr>
              <w:jc w:val="center"/>
              <w:ind w:right="120"/>
              <w:spacing w:after="0" w:line="159" w:lineRule="exact"/>
              <w:rPr>
                <w:sz w:val="20"/>
                <w:szCs w:val="20"/>
                <w:color w:val="auto"/>
              </w:rPr>
            </w:pPr>
            <w:r>
              <w:rPr>
                <w:rFonts w:ascii="Arial" w:cs="Arial" w:eastAsia="Arial" w:hAnsi="Arial"/>
                <w:sz w:val="14"/>
                <w:szCs w:val="14"/>
                <w:b w:val="1"/>
                <w:bCs w:val="1"/>
                <w:color w:val="auto"/>
                <w:w w:val="92"/>
              </w:rPr>
              <w:t>Observable Inputs (Level</w:t>
            </w:r>
          </w:p>
        </w:tc>
        <w:tc>
          <w:tcPr>
            <w:tcW w:w="14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88"/>
              </w:rPr>
              <w:t>Unobservable</w:t>
            </w:r>
          </w:p>
        </w:tc>
      </w:tr>
      <w:tr>
        <w:trPr>
          <w:trHeight w:val="184"/>
        </w:trPr>
        <w:tc>
          <w:tcPr>
            <w:tcW w:w="2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1)</w:t>
            </w:r>
          </w:p>
        </w:tc>
        <w:tc>
          <w:tcPr>
            <w:tcW w:w="380" w:type="dxa"/>
            <w:vAlign w:val="bottom"/>
          </w:tcPr>
          <w:p>
            <w:pPr>
              <w:spacing w:after="0"/>
              <w:rPr>
                <w:sz w:val="16"/>
                <w:szCs w:val="16"/>
                <w:color w:val="auto"/>
              </w:rPr>
            </w:pPr>
          </w:p>
        </w:tc>
        <w:tc>
          <w:tcPr>
            <w:tcW w:w="1240" w:type="dxa"/>
            <w:vAlign w:val="bottom"/>
          </w:tcPr>
          <w:p>
            <w:pPr>
              <w:jc w:val="center"/>
              <w:ind w:right="323"/>
              <w:spacing w:after="0"/>
              <w:rPr>
                <w:sz w:val="20"/>
                <w:szCs w:val="20"/>
                <w:color w:val="auto"/>
              </w:rPr>
            </w:pPr>
            <w:r>
              <w:rPr>
                <w:rFonts w:ascii="Arial" w:cs="Arial" w:eastAsia="Arial" w:hAnsi="Arial"/>
                <w:sz w:val="14"/>
                <w:szCs w:val="14"/>
                <w:b w:val="1"/>
                <w:bCs w:val="1"/>
                <w:color w:val="auto"/>
                <w:w w:val="96"/>
              </w:rPr>
              <w:t>2)</w:t>
            </w:r>
          </w:p>
        </w:tc>
        <w:tc>
          <w:tcPr>
            <w:tcW w:w="12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Inputs (Level 3)</w:t>
            </w:r>
          </w:p>
        </w:tc>
      </w:tr>
      <w:tr>
        <w:trPr>
          <w:trHeight w:val="24"/>
        </w:trPr>
        <w:tc>
          <w:tcPr>
            <w:tcW w:w="2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6"/>
        </w:trPr>
        <w:tc>
          <w:tcPr>
            <w:tcW w:w="2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27"/>
        </w:trPr>
        <w:tc>
          <w:tcPr>
            <w:tcW w:w="2620" w:type="dxa"/>
            <w:vAlign w:val="bottom"/>
          </w:tcPr>
          <w:p>
            <w:pPr>
              <w:ind w:left="380"/>
              <w:spacing w:after="0"/>
              <w:rPr>
                <w:sz w:val="20"/>
                <w:szCs w:val="20"/>
                <w:color w:val="auto"/>
              </w:rPr>
            </w:pPr>
            <w:r>
              <w:rPr>
                <w:rFonts w:ascii="Arial" w:cs="Arial" w:eastAsia="Arial" w:hAnsi="Arial"/>
                <w:sz w:val="18"/>
                <w:szCs w:val="18"/>
                <w:color w:val="auto"/>
              </w:rPr>
              <w:t>Investment in convertible</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0"/>
        </w:trPr>
        <w:tc>
          <w:tcPr>
            <w:tcW w:w="2620" w:type="dxa"/>
            <w:vAlign w:val="bottom"/>
          </w:tcPr>
          <w:p>
            <w:pPr>
              <w:ind w:left="140"/>
              <w:spacing w:after="0"/>
              <w:rPr>
                <w:sz w:val="20"/>
                <w:szCs w:val="20"/>
                <w:color w:val="auto"/>
              </w:rPr>
            </w:pPr>
            <w:r>
              <w:rPr>
                <w:rFonts w:ascii="Arial" w:cs="Arial" w:eastAsia="Arial" w:hAnsi="Arial"/>
                <w:sz w:val="18"/>
                <w:szCs w:val="18"/>
                <w:color w:val="auto"/>
              </w:rPr>
              <w:t>notes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
              <w:spacing w:after="0"/>
              <w:rPr>
                <w:sz w:val="20"/>
                <w:szCs w:val="20"/>
                <w:color w:val="auto"/>
              </w:rPr>
            </w:pPr>
            <w:r>
              <w:rPr>
                <w:rFonts w:ascii="Arial" w:cs="Arial" w:eastAsia="Arial" w:hAnsi="Arial"/>
                <w:sz w:val="18"/>
                <w:szCs w:val="18"/>
                <w:color w:val="auto"/>
              </w:rPr>
              <w:t>30,129</w:t>
            </w:r>
          </w:p>
        </w:tc>
        <w:tc>
          <w:tcPr>
            <w:tcW w:w="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85"/>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30,129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convertible notes</w:t>
      </w:r>
    </w:p>
    <w:p>
      <w:pPr>
        <w:spacing w:after="0" w:line="178" w:lineRule="exact"/>
        <w:rPr>
          <w:sz w:val="20"/>
          <w:szCs w:val="20"/>
          <w:color w:val="auto"/>
        </w:rPr>
      </w:pPr>
    </w:p>
    <w:p>
      <w:pPr>
        <w:jc w:val="both"/>
        <w:ind w:firstLine="319"/>
        <w:spacing w:after="0" w:line="295" w:lineRule="auto"/>
        <w:rPr>
          <w:sz w:val="20"/>
          <w:szCs w:val="20"/>
          <w:color w:val="auto"/>
        </w:rPr>
      </w:pPr>
      <w:r>
        <w:rPr>
          <w:rFonts w:ascii="Arial" w:cs="Arial" w:eastAsia="Arial" w:hAnsi="Arial"/>
          <w:sz w:val="18"/>
          <w:szCs w:val="18"/>
          <w:color w:val="auto"/>
        </w:rPr>
        <w:t>The Company engaged a third-party firm to assist it in determining the fair value of its investment in convertible notes. Given the pending regulatory approval on the transfer of equity interest, the fair value of the convertible notes was estimated using a probability-weighted approach. Assuming regulatory approval is received, the fair value of the convertible notes was estimated on an as-converted basis by multiplying the equity value of the terminal operator by the ownership percentage as calculated pursuant to the terms of the convertible note agreements. In the scenario where regulatory approval is not received, the fair value of the convertible notes was estimated using a discounted cash flow approach assuming the Company would request immediate redemption of the principal and accrued interest and the discount rate was estimated based on comparable public debt rates. The valuation of the Company's investment in convertible notes is considered to be a Level 3 fair value measurement as the significant inputs are unobservable and require significant judgment or estimation.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Liabilities measured at fair value</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summarizes the Company’s liabilities that are measured at fair value on a recurring basis (in thousands):</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80" w:type="dxa"/>
            <w:vAlign w:val="bottom"/>
            <w:gridSpan w:val="7"/>
          </w:tcPr>
          <w:p>
            <w:pPr>
              <w:ind w:left="540"/>
              <w:spacing w:after="0"/>
              <w:rPr>
                <w:sz w:val="20"/>
                <w:szCs w:val="20"/>
                <w:color w:val="auto"/>
              </w:rPr>
            </w:pPr>
            <w:r>
              <w:rPr>
                <w:rFonts w:ascii="Arial" w:cs="Arial" w:eastAsia="Arial" w:hAnsi="Arial"/>
                <w:sz w:val="14"/>
                <w:szCs w:val="14"/>
                <w:b w:val="1"/>
                <w:bCs w:val="1"/>
                <w:color w:val="auto"/>
              </w:rPr>
              <w:t>Fair Value Measurement at Reporting Date Using</w:t>
            </w:r>
          </w:p>
        </w:tc>
      </w:tr>
      <w:tr>
        <w:trPr>
          <w:trHeight w:val="24"/>
        </w:trPr>
        <w:tc>
          <w:tcPr>
            <w:tcW w:w="3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59"/>
        </w:trPr>
        <w:tc>
          <w:tcPr>
            <w:tcW w:w="3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3"/>
                <w:szCs w:val="13"/>
                <w:color w:val="auto"/>
              </w:rPr>
            </w:pPr>
          </w:p>
        </w:tc>
        <w:tc>
          <w:tcPr>
            <w:tcW w:w="138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3"/>
                <w:szCs w:val="13"/>
                <w:color w:val="auto"/>
              </w:rPr>
            </w:pPr>
          </w:p>
        </w:tc>
        <w:tc>
          <w:tcPr>
            <w:tcW w:w="1160" w:type="dxa"/>
            <w:vAlign w:val="bottom"/>
          </w:tcPr>
          <w:p>
            <w:pPr>
              <w:jc w:val="center"/>
              <w:ind w:right="59"/>
              <w:spacing w:after="0" w:line="159" w:lineRule="exact"/>
              <w:rPr>
                <w:sz w:val="20"/>
                <w:szCs w:val="20"/>
                <w:color w:val="auto"/>
              </w:rPr>
            </w:pPr>
            <w:r>
              <w:rPr>
                <w:rFonts w:ascii="Arial" w:cs="Arial" w:eastAsia="Arial" w:hAnsi="Arial"/>
                <w:sz w:val="14"/>
                <w:szCs w:val="14"/>
                <w:b w:val="1"/>
                <w:bCs w:val="1"/>
                <w:color w:val="auto"/>
                <w:w w:val="92"/>
              </w:rPr>
              <w:t>Significant</w:t>
            </w:r>
          </w:p>
        </w:tc>
      </w:tr>
      <w:tr>
        <w:trPr>
          <w:trHeight w:val="159"/>
        </w:trPr>
        <w:tc>
          <w:tcPr>
            <w:tcW w:w="3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3"/>
                <w:szCs w:val="13"/>
                <w:color w:val="auto"/>
              </w:rPr>
            </w:pPr>
          </w:p>
        </w:tc>
        <w:tc>
          <w:tcPr>
            <w:tcW w:w="138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1"/>
              </w:rPr>
              <w:t>Observable Inputs</w:t>
            </w:r>
          </w:p>
        </w:tc>
        <w:tc>
          <w:tcPr>
            <w:tcW w:w="140" w:type="dxa"/>
            <w:vAlign w:val="bottom"/>
          </w:tcPr>
          <w:p>
            <w:pPr>
              <w:spacing w:after="0"/>
              <w:rPr>
                <w:sz w:val="13"/>
                <w:szCs w:val="13"/>
                <w:color w:val="auto"/>
              </w:rPr>
            </w:pPr>
          </w:p>
        </w:tc>
        <w:tc>
          <w:tcPr>
            <w:tcW w:w="1160" w:type="dxa"/>
            <w:vAlign w:val="bottom"/>
          </w:tcPr>
          <w:p>
            <w:pPr>
              <w:jc w:val="center"/>
              <w:ind w:right="59"/>
              <w:spacing w:after="0" w:line="159" w:lineRule="exact"/>
              <w:rPr>
                <w:sz w:val="20"/>
                <w:szCs w:val="20"/>
                <w:color w:val="auto"/>
              </w:rPr>
            </w:pPr>
            <w:r>
              <w:rPr>
                <w:rFonts w:ascii="Arial" w:cs="Arial" w:eastAsia="Arial" w:hAnsi="Arial"/>
                <w:sz w:val="14"/>
                <w:szCs w:val="14"/>
                <w:b w:val="1"/>
                <w:bCs w:val="1"/>
                <w:color w:val="auto"/>
                <w:w w:val="88"/>
              </w:rPr>
              <w:t>Unobservable</w:t>
            </w:r>
          </w:p>
        </w:tc>
      </w:tr>
      <w:tr>
        <w:trPr>
          <w:trHeight w:val="184"/>
        </w:trPr>
        <w:tc>
          <w:tcPr>
            <w:tcW w:w="356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Inputs (Level 3)</w:t>
            </w:r>
          </w:p>
        </w:tc>
      </w:tr>
      <w:tr>
        <w:trPr>
          <w:trHeight w:val="24"/>
        </w:trPr>
        <w:tc>
          <w:tcPr>
            <w:tcW w:w="3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38"/>
        </w:trPr>
        <w:tc>
          <w:tcPr>
            <w:tcW w:w="356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21,319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21,319</w:t>
            </w:r>
          </w:p>
        </w:tc>
      </w:tr>
      <w:tr>
        <w:trPr>
          <w:trHeight w:val="28"/>
        </w:trPr>
        <w:tc>
          <w:tcPr>
            <w:tcW w:w="3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6"/>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Contingent earnout shares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39,936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3560" w:type="dxa"/>
            <w:vAlign w:val="bottom"/>
          </w:tcPr>
          <w:p>
            <w:pPr>
              <w:ind w:left="140"/>
              <w:spacing w:after="0"/>
              <w:rPr>
                <w:sz w:val="20"/>
                <w:szCs w:val="20"/>
                <w:color w:val="auto"/>
              </w:rPr>
            </w:pPr>
            <w:r>
              <w:rPr>
                <w:rFonts w:ascii="Arial" w:cs="Arial" w:eastAsia="Arial" w:hAnsi="Arial"/>
                <w:sz w:val="18"/>
                <w:szCs w:val="18"/>
                <w:color w:val="auto"/>
              </w:rPr>
              <w:t>Warrants</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3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8"/>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61,268</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39,949</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21,319</w:t>
            </w:r>
          </w:p>
        </w:tc>
      </w:tr>
      <w:tr>
        <w:trPr>
          <w:trHeight w:val="20"/>
        </w:trPr>
        <w:tc>
          <w:tcPr>
            <w:tcW w:w="3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r>
      <w:tr>
        <w:trPr>
          <w:trHeight w:val="281"/>
        </w:trPr>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7"/>
          </w:tcPr>
          <w:p>
            <w:pPr>
              <w:ind w:left="520"/>
              <w:spacing w:after="0"/>
              <w:rPr>
                <w:sz w:val="20"/>
                <w:szCs w:val="20"/>
                <w:color w:val="auto"/>
              </w:rPr>
            </w:pPr>
            <w:r>
              <w:rPr>
                <w:rFonts w:ascii="Arial" w:cs="Arial" w:eastAsia="Arial" w:hAnsi="Arial"/>
                <w:sz w:val="14"/>
                <w:szCs w:val="14"/>
                <w:b w:val="1"/>
                <w:bCs w:val="1"/>
                <w:color w:val="auto"/>
              </w:rPr>
              <w:t>Fair Value Measurement at Reporting Date Using</w:t>
            </w:r>
          </w:p>
        </w:tc>
      </w:tr>
      <w:tr>
        <w:trPr>
          <w:trHeight w:val="24"/>
        </w:trPr>
        <w:tc>
          <w:tcPr>
            <w:tcW w:w="3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59"/>
        </w:trPr>
        <w:tc>
          <w:tcPr>
            <w:tcW w:w="3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3"/>
          </w:tcPr>
          <w:p>
            <w:pPr>
              <w:jc w:val="center"/>
              <w:ind w:right="140"/>
              <w:spacing w:after="0" w:line="15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3"/>
                <w:szCs w:val="13"/>
                <w:color w:val="auto"/>
              </w:rPr>
            </w:pPr>
          </w:p>
        </w:tc>
        <w:tc>
          <w:tcPr>
            <w:tcW w:w="138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3"/>
                <w:szCs w:val="13"/>
                <w:color w:val="auto"/>
              </w:rPr>
            </w:pPr>
          </w:p>
        </w:tc>
        <w:tc>
          <w:tcPr>
            <w:tcW w:w="1160" w:type="dxa"/>
            <w:vAlign w:val="bottom"/>
          </w:tcPr>
          <w:p>
            <w:pPr>
              <w:jc w:val="center"/>
              <w:ind w:right="59"/>
              <w:spacing w:after="0" w:line="159" w:lineRule="exact"/>
              <w:rPr>
                <w:sz w:val="20"/>
                <w:szCs w:val="20"/>
                <w:color w:val="auto"/>
              </w:rPr>
            </w:pPr>
            <w:r>
              <w:rPr>
                <w:rFonts w:ascii="Arial" w:cs="Arial" w:eastAsia="Arial" w:hAnsi="Arial"/>
                <w:sz w:val="14"/>
                <w:szCs w:val="14"/>
                <w:b w:val="1"/>
                <w:bCs w:val="1"/>
                <w:color w:val="auto"/>
                <w:w w:val="92"/>
              </w:rPr>
              <w:t>Significant</w:t>
            </w:r>
          </w:p>
        </w:tc>
      </w:tr>
      <w:tr>
        <w:trPr>
          <w:trHeight w:val="159"/>
        </w:trPr>
        <w:tc>
          <w:tcPr>
            <w:tcW w:w="3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3"/>
                <w:szCs w:val="13"/>
                <w:color w:val="auto"/>
              </w:rPr>
            </w:pPr>
          </w:p>
        </w:tc>
        <w:tc>
          <w:tcPr>
            <w:tcW w:w="138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1"/>
              </w:rPr>
              <w:t>Observable Inputs</w:t>
            </w:r>
          </w:p>
        </w:tc>
        <w:tc>
          <w:tcPr>
            <w:tcW w:w="140" w:type="dxa"/>
            <w:vAlign w:val="bottom"/>
          </w:tcPr>
          <w:p>
            <w:pPr>
              <w:spacing w:after="0"/>
              <w:rPr>
                <w:sz w:val="13"/>
                <w:szCs w:val="13"/>
                <w:color w:val="auto"/>
              </w:rPr>
            </w:pPr>
          </w:p>
        </w:tc>
        <w:tc>
          <w:tcPr>
            <w:tcW w:w="1160" w:type="dxa"/>
            <w:vAlign w:val="bottom"/>
          </w:tcPr>
          <w:p>
            <w:pPr>
              <w:jc w:val="center"/>
              <w:ind w:right="59"/>
              <w:spacing w:after="0" w:line="159" w:lineRule="exact"/>
              <w:rPr>
                <w:sz w:val="20"/>
                <w:szCs w:val="20"/>
                <w:color w:val="auto"/>
              </w:rPr>
            </w:pPr>
            <w:r>
              <w:rPr>
                <w:rFonts w:ascii="Arial" w:cs="Arial" w:eastAsia="Arial" w:hAnsi="Arial"/>
                <w:sz w:val="14"/>
                <w:szCs w:val="14"/>
                <w:b w:val="1"/>
                <w:bCs w:val="1"/>
                <w:color w:val="auto"/>
                <w:w w:val="88"/>
              </w:rPr>
              <w:t>Unobservable</w:t>
            </w:r>
          </w:p>
        </w:tc>
      </w:tr>
      <w:tr>
        <w:trPr>
          <w:trHeight w:val="184"/>
        </w:trPr>
        <w:tc>
          <w:tcPr>
            <w:tcW w:w="356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Inputs (Level 3)</w:t>
            </w:r>
          </w:p>
        </w:tc>
      </w:tr>
      <w:tr>
        <w:trPr>
          <w:trHeight w:val="24"/>
        </w:trPr>
        <w:tc>
          <w:tcPr>
            <w:tcW w:w="3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38"/>
        </w:trPr>
        <w:tc>
          <w:tcPr>
            <w:tcW w:w="356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17,260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17,260</w:t>
            </w:r>
          </w:p>
        </w:tc>
      </w:tr>
      <w:tr>
        <w:trPr>
          <w:trHeight w:val="28"/>
        </w:trPr>
        <w:tc>
          <w:tcPr>
            <w:tcW w:w="3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6"/>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Contingent earnout shares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33,069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3560" w:type="dxa"/>
            <w:vAlign w:val="bottom"/>
          </w:tcPr>
          <w:p>
            <w:pPr>
              <w:ind w:left="140"/>
              <w:spacing w:after="0"/>
              <w:rPr>
                <w:sz w:val="20"/>
                <w:szCs w:val="20"/>
                <w:color w:val="auto"/>
              </w:rPr>
            </w:pPr>
            <w:r>
              <w:rPr>
                <w:rFonts w:ascii="Arial" w:cs="Arial" w:eastAsia="Arial" w:hAnsi="Arial"/>
                <w:sz w:val="18"/>
                <w:szCs w:val="18"/>
                <w:color w:val="auto"/>
              </w:rPr>
              <w:t>Warrants</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3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8"/>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33,082</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05" w:lineRule="exact"/>
        <w:rPr>
          <w:sz w:val="20"/>
          <w:szCs w:val="20"/>
          <w:color w:val="auto"/>
        </w:rPr>
      </w:pPr>
    </w:p>
    <w:p>
      <w:pPr>
        <w:jc w:val="both"/>
        <w:ind w:firstLine="319"/>
        <w:spacing w:after="0" w:line="316" w:lineRule="auto"/>
        <w:rPr>
          <w:sz w:val="20"/>
          <w:szCs w:val="20"/>
          <w:color w:val="auto"/>
        </w:rPr>
      </w:pPr>
      <w:r>
        <w:rPr>
          <w:rFonts w:ascii="Arial" w:cs="Arial" w:eastAsia="Arial" w:hAnsi="Arial"/>
          <w:sz w:val="17"/>
          <w:szCs w:val="17"/>
          <w:color w:val="auto"/>
        </w:rPr>
        <w:t>The Company uses a discounted cash flow analysis to determine the value of contingent consideration upon acquisition and updates this estimate on a recurring basis. The significant assumptions in the Company's cash flow analysis includes the probability adjusted projected revenues after state taxes, a discount rate as applicable to each acquisition, and the estimated number of locations that “go live” with the Company during the contingent consideration period. The valuation of the Company's contingent consideration is considered to be a Level 3 fair value measurement as the significant inputs are unobservable and require significant judgment or estimation. Changes in the fair value of contingent consideration liabilities are classified within other expenses, net on the accompanying condensed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earnout shares</w:t>
      </w:r>
    </w:p>
    <w:p>
      <w:pPr>
        <w:spacing w:after="0" w:line="205" w:lineRule="exact"/>
        <w:rPr>
          <w:sz w:val="20"/>
          <w:szCs w:val="20"/>
          <w:color w:val="auto"/>
        </w:rPr>
      </w:pPr>
    </w:p>
    <w:p>
      <w:pPr>
        <w:jc w:val="both"/>
        <w:ind w:firstLine="319"/>
        <w:spacing w:after="0" w:line="368" w:lineRule="auto"/>
        <w:rPr>
          <w:sz w:val="20"/>
          <w:szCs w:val="20"/>
          <w:color w:val="auto"/>
        </w:rPr>
      </w:pPr>
      <w:r>
        <w:rPr>
          <w:rFonts w:ascii="Arial" w:cs="Arial" w:eastAsia="Arial" w:hAnsi="Arial"/>
          <w:sz w:val="15"/>
          <w:szCs w:val="15"/>
          <w:color w:val="auto"/>
        </w:rPr>
        <w:t>The Company determined the fair value of the contingent earnout shares based on the market price of the Company's A-1 Common Stock. The liability, by tranche, is then stated at present value based on i) an interest rate derived from the Company's borrowing rate and the applicable risk-free rate and ii) an estimate on when it expects the contingent earnout shares to convert to A-1 Common Stock. The valuation of the Company's contingent consideration is considered to be a Level 2 fair value measurement. Changes in the fair value of contingent earnout shares are included within loss (gain) on change in fair value of contingent earnout shares on the accompanying condensed consolidated statements of operations and comprehensive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05" w:lineRule="exact"/>
        <w:rPr>
          <w:sz w:val="20"/>
          <w:szCs w:val="20"/>
          <w:color w:val="auto"/>
        </w:rPr>
      </w:pPr>
    </w:p>
    <w:p>
      <w:pPr>
        <w:jc w:val="both"/>
        <w:ind w:firstLine="319"/>
        <w:spacing w:after="0" w:line="316" w:lineRule="auto"/>
        <w:rPr>
          <w:sz w:val="20"/>
          <w:szCs w:val="20"/>
          <w:color w:val="auto"/>
        </w:rPr>
      </w:pPr>
      <w:r>
        <w:rPr>
          <w:rFonts w:ascii="Arial" w:cs="Arial" w:eastAsia="Arial" w:hAnsi="Arial"/>
          <w:sz w:val="17"/>
          <w:szCs w:val="17"/>
          <w:color w:val="auto"/>
        </w:rPr>
        <w:t>The Company determined the fair value of its Public Warrants based on their closing price (ticker symbol ACEL.WS) on the NYSE and is considered to be a Level 1 fair value measurement. The Company determined the fair value of its Private Placement Warrants by using the fair value of its Public Warrants and a Black-Scholes option-pricing model. The Black-Scholes option-pricing model requires inputs such as the fair value of the Company's A-1 Common Stock, the risk-free interest rate, expected term, expected dividend yield and expected volatility. The Company's valuation of its Private Placement Warrants is considered to be a Level 2 fair value measurement. Changes in the fair value of the warrants are included within gain on change in fair value of warrants on the accompanying condensed consolidated statements of operations and comprehensive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197"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222222"/>
        </w:rPr>
        <w:t>P</w:t>
      </w:r>
      <w:r>
        <w:rPr>
          <w:rFonts w:ascii="Arial" w:cs="Arial" w:eastAsia="Arial" w:hAnsi="Arial"/>
          <w:sz w:val="18"/>
          <w:szCs w:val="18"/>
          <w:color w:val="000000"/>
        </w:rPr>
        <w:t>ursuant to the terms of the Company’s Amended and Restated Certificate of Incorporation, the Company authorized and has available for issuance the</w:t>
      </w:r>
      <w:r>
        <w:rPr>
          <w:rFonts w:ascii="Arial" w:cs="Arial" w:eastAsia="Arial" w:hAnsi="Arial"/>
          <w:sz w:val="18"/>
          <w:szCs w:val="18"/>
          <w:color w:val="222222"/>
        </w:rPr>
        <w:t xml:space="preserve"> </w:t>
      </w:r>
      <w:r>
        <w:rPr>
          <w:rFonts w:ascii="Arial" w:cs="Arial" w:eastAsia="Arial" w:hAnsi="Arial"/>
          <w:sz w:val="18"/>
          <w:szCs w:val="18"/>
          <w:color w:val="000000"/>
        </w:rPr>
        <w:t>following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A-1 Common Stock</w:t>
      </w:r>
    </w:p>
    <w:p>
      <w:pPr>
        <w:spacing w:after="0" w:line="205" w:lineRule="exact"/>
        <w:rPr>
          <w:sz w:val="20"/>
          <w:szCs w:val="20"/>
          <w:color w:val="auto"/>
        </w:rPr>
      </w:pPr>
    </w:p>
    <w:p>
      <w:pPr>
        <w:jc w:val="both"/>
        <w:ind w:firstLine="319"/>
        <w:spacing w:after="0" w:line="422" w:lineRule="auto"/>
        <w:rPr>
          <w:sz w:val="20"/>
          <w:szCs w:val="20"/>
          <w:color w:val="auto"/>
        </w:rPr>
      </w:pPr>
      <w:r>
        <w:rPr>
          <w:rFonts w:ascii="Arial" w:cs="Arial" w:eastAsia="Arial" w:hAnsi="Arial"/>
          <w:sz w:val="15"/>
          <w:szCs w:val="15"/>
          <w:color w:val="auto"/>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w:t>
      </w:r>
    </w:p>
    <w:p>
      <w:pPr>
        <w:spacing w:after="0" w:line="57" w:lineRule="exact"/>
        <w:rPr>
          <w:sz w:val="20"/>
          <w:szCs w:val="20"/>
          <w:color w:val="auto"/>
        </w:rPr>
      </w:pPr>
    </w:p>
    <w:p>
      <w:pPr>
        <w:jc w:val="both"/>
        <w:ind w:firstLine="319"/>
        <w:spacing w:after="0" w:line="362" w:lineRule="auto"/>
        <w:rPr>
          <w:sz w:val="20"/>
          <w:szCs w:val="20"/>
          <w:color w:val="auto"/>
        </w:rPr>
      </w:pPr>
      <w:r>
        <w:rPr>
          <w:rFonts w:ascii="Arial" w:cs="Arial" w:eastAsia="Arial" w:hAnsi="Arial"/>
          <w:sz w:val="15"/>
          <w:szCs w:val="15"/>
          <w:color w:val="auto"/>
        </w:rPr>
        <w:t>On September 28, 2020, the Company completed an underwritten public offering (the “Offering”) of 8,000,000 shares of its Class A-1 Common Stock (par value $0.0001 per share) at a price of $10.50 per share for a total offering size of $84.0 million. The Company received net proceeds from the Offering of approximately $79.2 million (net of underwriting discounts and commissions). The Company incurred offering costs totaling $5.3 million which have been capitalized to additional paid-in capital. The Offering also granted the underwriters an option to purchase up to 1,200,000 additional shares of Class A-1 Common Stock at the public offering price of $10.50 less the underwriting discount, exercisable at any time within 30 days of September 23, 2020. In October 2020, the underwriters of the Offering partially exercised their option and purchased an additional 1,133,015 shares at a price of $10.50 per share, resulting in additional net proceeds to the Company of approximately $11.2 million (net of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Stock-based Compensation</w:t>
      </w:r>
    </w:p>
    <w:p>
      <w:pPr>
        <w:spacing w:after="0" w:line="197" w:lineRule="exact"/>
        <w:rPr>
          <w:sz w:val="20"/>
          <w:szCs w:val="20"/>
          <w:color w:val="auto"/>
        </w:rPr>
      </w:pPr>
    </w:p>
    <w:p>
      <w:pPr>
        <w:jc w:val="both"/>
        <w:ind w:firstLine="319"/>
        <w:spacing w:after="0" w:line="344" w:lineRule="auto"/>
        <w:rPr>
          <w:sz w:val="20"/>
          <w:szCs w:val="20"/>
          <w:color w:val="auto"/>
        </w:rPr>
      </w:pPr>
      <w:r>
        <w:rPr>
          <w:rFonts w:ascii="Arial" w:cs="Arial" w:eastAsia="Arial" w:hAnsi="Arial"/>
          <w:sz w:val="17"/>
          <w:szCs w:val="17"/>
          <w:color w:val="auto"/>
        </w:rPr>
        <w:t>The Company grants various types of stock-based compensation awards. The Company measures its stock-based compensation expense based on the grant date fair value of the award and recognizes the expense over the requisite service period for the respective award.</w:t>
      </w:r>
    </w:p>
    <w:p>
      <w:pPr>
        <w:spacing w:after="0" w:line="104" w:lineRule="exact"/>
        <w:rPr>
          <w:sz w:val="20"/>
          <w:szCs w:val="20"/>
          <w:color w:val="auto"/>
        </w:rPr>
      </w:pPr>
    </w:p>
    <w:p>
      <w:pPr>
        <w:jc w:val="both"/>
        <w:ind w:firstLine="319"/>
        <w:spacing w:after="0" w:line="321" w:lineRule="auto"/>
        <w:rPr>
          <w:sz w:val="20"/>
          <w:szCs w:val="20"/>
          <w:color w:val="auto"/>
        </w:rPr>
      </w:pPr>
      <w:r>
        <w:rPr>
          <w:rFonts w:ascii="Arial" w:cs="Arial" w:eastAsia="Arial" w:hAnsi="Arial"/>
          <w:sz w:val="17"/>
          <w:szCs w:val="17"/>
          <w:color w:val="auto"/>
        </w:rPr>
        <w:t>Under the Accel Entertainment, Inc. Long Term Incentive Plan, the Company granted 0.2 million stock options to eligible officers and employees of the Company during the first quarter of 2021, which shall vest over a period of 4 years. Also in the first quarter of 2021, the Company issued 0.4 million restricted stock units (“RSUs”) to the board of directors and certain employees, which shall vest over a period of 4 years for employees and a period of approximately 9 months for board of directors. The estimated grant date fair value of these options and RSUs totaled $5.6 million.</w:t>
      </w:r>
    </w:p>
    <w:p>
      <w:pPr>
        <w:spacing w:after="0" w:line="123" w:lineRule="exact"/>
        <w:rPr>
          <w:sz w:val="20"/>
          <w:szCs w:val="20"/>
          <w:color w:val="auto"/>
        </w:rPr>
      </w:pPr>
    </w:p>
    <w:p>
      <w:pPr>
        <w:jc w:val="both"/>
        <w:ind w:right="20" w:firstLine="319"/>
        <w:spacing w:after="0" w:line="344" w:lineRule="auto"/>
        <w:rPr>
          <w:sz w:val="20"/>
          <w:szCs w:val="20"/>
          <w:color w:val="auto"/>
        </w:rPr>
      </w:pPr>
      <w:r>
        <w:rPr>
          <w:rFonts w:ascii="Arial" w:cs="Arial" w:eastAsia="Arial" w:hAnsi="Arial"/>
          <w:sz w:val="17"/>
          <w:szCs w:val="17"/>
          <w:color w:val="auto"/>
        </w:rPr>
        <w:t>In the second quarter of 2021, the Company granted approximately 24,000 stock options and 41,000 RSUs to eligible officers and employees of the Company, which will vest over a period of 4 years. The estimated grant date fair value of these options and RSUs totaled $0.7 million.</w:t>
      </w:r>
    </w:p>
    <w:p>
      <w:pPr>
        <w:spacing w:after="0" w:line="104" w:lineRule="exact"/>
        <w:rPr>
          <w:sz w:val="20"/>
          <w:szCs w:val="20"/>
          <w:color w:val="auto"/>
        </w:rPr>
      </w:pPr>
    </w:p>
    <w:p>
      <w:pPr>
        <w:jc w:val="both"/>
        <w:ind w:firstLine="319"/>
        <w:spacing w:after="0" w:line="344" w:lineRule="auto"/>
        <w:rPr>
          <w:sz w:val="20"/>
          <w:szCs w:val="20"/>
          <w:color w:val="auto"/>
        </w:rPr>
      </w:pPr>
      <w:r>
        <w:rPr>
          <w:rFonts w:ascii="Arial" w:cs="Arial" w:eastAsia="Arial" w:hAnsi="Arial"/>
          <w:sz w:val="17"/>
          <w:szCs w:val="17"/>
          <w:color w:val="auto"/>
        </w:rPr>
        <w:t>In the third quarter of 2021, the Company granted approximately 10,000 stock options and 17,000 RSUs to eligible officers and employees of the Company, which will vest over a period of 4 years. The estimated grant date fair value of these options and RSUs totaled $0.3 million.</w:t>
      </w:r>
    </w:p>
    <w:p>
      <w:pPr>
        <w:spacing w:after="0" w:line="104"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Stock-based compensation expense, which pertains to the Company’s stock options and RSUs, was $1.0 million and $4.7 million for the three and nine months ended September 30, 2021. In comparison, stock-based compensation expense was $1.7 million and $4.1 million for the three and nine months ended September 30, 2020, respectively. Stock-based compensation expense is included within general and administrative expenses in the condensed consolidated statements of operations and other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97"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The Company recognized income tax expense of $3.9 million and $11.8 million for the three and nine months ended September 30, 2021, respectively. In comparison, the Company recognized an income tax benefit of $6.6 million and $11.8 million for the three and nine months ended September 30, 2020, respectively.</w:t>
      </w:r>
    </w:p>
    <w:p>
      <w:pPr>
        <w:spacing w:after="0" w:line="135" w:lineRule="exact"/>
        <w:rPr>
          <w:sz w:val="20"/>
          <w:szCs w:val="20"/>
          <w:color w:val="auto"/>
        </w:rPr>
      </w:pPr>
    </w:p>
    <w:p>
      <w:pPr>
        <w:jc w:val="both"/>
        <w:ind w:firstLine="319"/>
        <w:spacing w:after="0" w:line="314" w:lineRule="auto"/>
        <w:rPr>
          <w:sz w:val="20"/>
          <w:szCs w:val="20"/>
          <w:color w:val="auto"/>
        </w:rPr>
      </w:pPr>
      <w:r>
        <w:rPr>
          <w:rFonts w:ascii="Arial" w:cs="Arial" w:eastAsia="Arial" w:hAnsi="Arial"/>
          <w:sz w:val="17"/>
          <w:szCs w:val="17"/>
          <w:color w:val="auto"/>
        </w:rPr>
        <w:t>The Company calculates its provision for (benefit from) income taxes during interim reporting periods by applying an estimate of the annual effective tax rate to its year-to-date pretax book income or loss. The effective tax rate (income taxes as a percentage of income before income taxes) was 26.7% and 32.2% for the three and nine months ended September 30, 2021, respectively. In comparison, the Company’s effective income tax rate was (2,736.1)% and 320.5% for the three and nine months ended September 30, 2020, respectively. The Company’s effective income tax rate can vary from period to period depending on, among other factors, the amount of permanent tax adjustments and discrete items. In the third quarter of 2020, the Company filed its federal and state income tax returns and identified certain favorable return-to-provision adjustments, primarily the deductibility of employee and officer compensation costs and transaction costs, following the engagement of specialized tax technical expertise resulting in a change in estimate relative to the Company's best estimate used in the preparation of the 2019 income tax provision. The Company recorded this change in estimate and related income tax benefit of $8 million in the three and nine months ended September 30, 2020.</w:t>
      </w:r>
    </w:p>
    <w:p>
      <w:pPr>
        <w:spacing w:after="0" w:line="129" w:lineRule="exact"/>
        <w:rPr>
          <w:sz w:val="20"/>
          <w:szCs w:val="20"/>
          <w:color w:val="auto"/>
        </w:rPr>
      </w:pPr>
    </w:p>
    <w:p>
      <w:pPr>
        <w:jc w:val="both"/>
        <w:ind w:firstLine="319"/>
        <w:spacing w:after="0" w:line="297"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and authorized more than $2 trillion to battle COVID-19 and its economic effects, including immediate cash relief for individual citizens, loan programs for small business, support for hospitals and other medical providers, and various types of economic relief for impacted businesses and industries. The Company was eligible for certain credits of the relief programs under the CARES Act and has recorded a receivable of $1.1 million on its condensed consolidated balance sheets. The Company will continue to monitor the situation and evaluate any additional future legislation.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97"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spacing w:after="0" w:line="137" w:lineRule="exact"/>
        <w:rPr>
          <w:sz w:val="20"/>
          <w:szCs w:val="20"/>
          <w:color w:val="auto"/>
        </w:rPr>
      </w:pPr>
    </w:p>
    <w:p>
      <w:pPr>
        <w:jc w:val="both"/>
        <w:ind w:firstLine="239"/>
        <w:spacing w:after="0" w:line="302" w:lineRule="auto"/>
        <w:rPr>
          <w:sz w:val="20"/>
          <w:szCs w:val="20"/>
          <w:color w:val="auto"/>
        </w:rPr>
      </w:pPr>
      <w:r>
        <w:rPr>
          <w:rFonts w:ascii="Arial" w:cs="Arial" w:eastAsia="Arial" w:hAnsi="Arial"/>
          <w:sz w:val="18"/>
          <w:szCs w:val="18"/>
          <w:color w:val="auto"/>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spacing w:after="0" w:line="135" w:lineRule="exact"/>
        <w:rPr>
          <w:sz w:val="20"/>
          <w:szCs w:val="20"/>
          <w:color w:val="auto"/>
        </w:rPr>
      </w:pPr>
    </w:p>
    <w:p>
      <w:pPr>
        <w:jc w:val="both"/>
        <w:ind w:firstLine="319"/>
        <w:spacing w:after="0" w:line="295" w:lineRule="auto"/>
        <w:rPr>
          <w:sz w:val="20"/>
          <w:szCs w:val="20"/>
          <w:color w:val="auto"/>
        </w:rPr>
      </w:pPr>
      <w:r>
        <w:rPr>
          <w:rFonts w:ascii="Arial" w:cs="Arial" w:eastAsia="Arial" w:hAnsi="Arial"/>
          <w:sz w:val="18"/>
          <w:szCs w:val="18"/>
          <w:color w:val="auto"/>
        </w:rPr>
        <w:t>On August 21, 2012, one of the Company’s operating subsidiaries entered into certain agreements with Jason Rowell (“Rowell”), a member of Action Gaming LLC (“Action Gaming”), which was an unlicensed terminal operator that had exclusive rights to place and operate VGTs within a number of establishments, including the Defendant Establishments. Under agreements with Rowell, the Company agreed to pay him for each licensed establishment which decided to enter into exclusive location agreements with the Company. In late August and early September 2012, each of the Defendant Establishments signed separate location agreements with the Company, purporting to grant it the exclusive right to operate VGTs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Illinois Gaming Board (“IGB”).</w:t>
      </w:r>
    </w:p>
    <w:p>
      <w:pPr>
        <w:spacing w:after="0" w:line="143" w:lineRule="exact"/>
        <w:rPr>
          <w:sz w:val="20"/>
          <w:szCs w:val="20"/>
          <w:color w:val="auto"/>
        </w:rPr>
      </w:pPr>
    </w:p>
    <w:p>
      <w:pPr>
        <w:jc w:val="both"/>
        <w:ind w:firstLine="319"/>
        <w:spacing w:after="0" w:line="365" w:lineRule="auto"/>
        <w:rPr>
          <w:sz w:val="20"/>
          <w:szCs w:val="20"/>
          <w:color w:val="auto"/>
        </w:rPr>
      </w:pPr>
      <w:r>
        <w:rPr>
          <w:rFonts w:ascii="Arial" w:cs="Arial" w:eastAsia="Arial" w:hAnsi="Arial"/>
          <w:sz w:val="15"/>
          <w:szCs w:val="15"/>
          <w:color w:val="auto"/>
        </w:rPr>
        <w:t>Action Gaming, J&amp;J, and other parties, collectively, the Plaintiffs, filed a complaint against the Company, Rowell, and other parties in the Circuit Court of Cook County (the “Circuit Court”), on August 31, 2012, as amended on November 1, 2012, December 19, 2012, and October 3, 2013, alleging, among other things, that the Company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spacing w:after="0" w:line="99" w:lineRule="exact"/>
        <w:rPr>
          <w:sz w:val="20"/>
          <w:szCs w:val="20"/>
          <w:color w:val="auto"/>
        </w:rPr>
      </w:pPr>
    </w:p>
    <w:p>
      <w:pPr>
        <w:jc w:val="both"/>
        <w:ind w:firstLine="319"/>
        <w:spacing w:after="0" w:line="313" w:lineRule="auto"/>
        <w:rPr>
          <w:sz w:val="20"/>
          <w:szCs w:val="20"/>
          <w:color w:val="auto"/>
        </w:rPr>
      </w:pPr>
      <w:r>
        <w:rPr>
          <w:rFonts w:ascii="Arial" w:cs="Arial" w:eastAsia="Arial" w:hAnsi="Arial"/>
          <w:sz w:val="17"/>
          <w:szCs w:val="17"/>
          <w:color w:val="auto"/>
        </w:rPr>
        <w:t>From 2013 to 2015, the Plaintiffs filed additional claims, including J&amp;J Ventures Gaming, LLC et al. v. Wild, Inc. (“Wild”), in various circuit courts seeking declaratory judgements with a number of establishments, including each of the Defendant Establishments, requesting declarations that, among other things, J&amp;J held the exclusive right to operate VGTs at each of the Defendant Establishments as a result of the J&amp;J Assigned Agreements. The Company was granted leave to intervene in all 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w:t>
      </w:r>
      <w:r>
        <w:rPr>
          <w:rFonts w:ascii="Arial" w:cs="Arial" w:eastAsia="Arial" w:hAnsi="Arial"/>
          <w:sz w:val="17"/>
          <w:szCs w:val="17"/>
          <w:i w:val="1"/>
          <w:iCs w:val="1"/>
          <w:color w:val="auto"/>
        </w:rPr>
        <w:t>,</w:t>
      </w:r>
      <w:r>
        <w:rPr>
          <w:rFonts w:ascii="Arial" w:cs="Arial" w:eastAsia="Arial" w:hAnsi="Arial"/>
          <w:sz w:val="17"/>
          <w:szCs w:val="17"/>
          <w:color w:val="auto"/>
        </w:rPr>
        <w:t xml:space="preserve"> affirming the District Court’s decision vacating the circuit courts’ judgments for lack of subject matter jurisdiction and dismissing the appeals, determining that the IGB has exclusive jurisdiction to decide the validity and enforceability of VGT use agreements.</w:t>
      </w:r>
    </w:p>
    <w:p>
      <w:pPr>
        <w:spacing w:after="0" w:line="131"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Between May 2017 and September 2017, both the Company and J&amp;J filed petitions with the IGB seeking adjudication of the rights of the parties and the validity of the use agreements. Those petitions were recently adjudicated by the IGB, largely in Accel’s favor, and J&amp;J has filed a new lawsuit to challenge the IGB’s rulings. The Company does not have a present estimate regarding the potential damages, if any, that could potentially be awarded in this litigation and, accordingly, have established no</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reserves relating to such matters. There are also petitions pending with the IGB which could lead to the Company obtaining new locations.</w:t>
      </w:r>
    </w:p>
    <w:p>
      <w:pPr>
        <w:spacing w:after="0" w:line="205" w:lineRule="exact"/>
        <w:rPr>
          <w:sz w:val="20"/>
          <w:szCs w:val="20"/>
          <w:color w:val="auto"/>
        </w:rPr>
      </w:pPr>
    </w:p>
    <w:p>
      <w:pPr>
        <w:jc w:val="both"/>
        <w:ind w:firstLine="319"/>
        <w:spacing w:after="0" w:line="362" w:lineRule="auto"/>
        <w:rPr>
          <w:sz w:val="20"/>
          <w:szCs w:val="20"/>
          <w:color w:val="auto"/>
        </w:rPr>
      </w:pPr>
      <w:r>
        <w:rPr>
          <w:rFonts w:ascii="Arial" w:cs="Arial" w:eastAsia="Arial" w:hAnsi="Arial"/>
          <w:sz w:val="15"/>
          <w:szCs w:val="15"/>
          <w:color w:val="auto"/>
        </w:rPr>
        <w:t>On October 7, 2019, the Company filed a lawsuit in the Circuit Court of Cook County against Jason Rowell and other parties related to Mr. Rowell’s breaches of his non-compete agreement with the Company. The Company alleged that Mr. Rowell and a competitor were working together to interfere with the Company’s customer relationships. On November 7, 2019, Mr. Rowell filed a lawsuit in the Circuit Court of Cook County against the Company alleging that he had not received certain equity interests in the Company to which he was allegedly entitled under his agreement. The Company has answered the complaint and asserted a counterclaim, and intends to defend itself against the allegations. Mr. Rowell's claims and the Company's claims are both being litigated in this lawsuit, while the original lawsuit remains pending against the other defendants. The Company does not have a present estimate regarding the potential damages, nor does it believe any payment of damages is probable, and, accordingly, has established no reserves relating to these matters.</w:t>
      </w:r>
    </w:p>
    <w:p>
      <w:pPr>
        <w:spacing w:after="0" w:line="105" w:lineRule="exact"/>
        <w:rPr>
          <w:sz w:val="20"/>
          <w:szCs w:val="20"/>
          <w:color w:val="auto"/>
        </w:rPr>
      </w:pPr>
    </w:p>
    <w:p>
      <w:pPr>
        <w:jc w:val="both"/>
        <w:ind w:firstLine="319"/>
        <w:spacing w:after="0" w:line="321" w:lineRule="auto"/>
        <w:rPr>
          <w:sz w:val="20"/>
          <w:szCs w:val="20"/>
          <w:color w:val="auto"/>
        </w:rPr>
      </w:pPr>
      <w:r>
        <w:rPr>
          <w:rFonts w:ascii="Arial" w:cs="Arial" w:eastAsia="Arial" w:hAnsi="Arial"/>
          <w:sz w:val="17"/>
          <w:szCs w:val="17"/>
          <w:color w:val="auto"/>
        </w:rPr>
        <w:t>On July 2, 2019, Illinois Gaming Investors, LLC filed a lawsuit against the Company. The lawsuit alleges that a current employee of the Company violated his non-competition agreement with Illinois Gaming Investors, LLC, and together with the Company, wrongfully solicited prohibited licensed video gaming locations. The lawsuit on its face seeks damages of $10.0 million. The parties are engaging in discovery. The Company is in the process of defending this lawsuit, and has not accrued any amounts as losses related to this suit are not probable or reasonably estimable.</w:t>
      </w:r>
    </w:p>
    <w:p>
      <w:pPr>
        <w:spacing w:after="0" w:line="123" w:lineRule="exact"/>
        <w:rPr>
          <w:sz w:val="20"/>
          <w:szCs w:val="20"/>
          <w:color w:val="auto"/>
        </w:rPr>
      </w:pPr>
    </w:p>
    <w:p>
      <w:pPr>
        <w:jc w:val="both"/>
        <w:ind w:firstLine="319"/>
        <w:spacing w:after="0" w:line="297" w:lineRule="auto"/>
        <w:rPr>
          <w:sz w:val="20"/>
          <w:szCs w:val="20"/>
          <w:color w:val="auto"/>
        </w:rPr>
      </w:pPr>
      <w:r>
        <w:rPr>
          <w:rFonts w:ascii="Arial" w:cs="Arial" w:eastAsia="Arial" w:hAnsi="Arial"/>
          <w:sz w:val="18"/>
          <w:szCs w:val="18"/>
          <w:color w:val="auto"/>
        </w:rPr>
        <w:t>On December 18, 2020, the Company received a disciplinary complaint from the IGB alleging violations of the Video Gaming Act and the IGB’s Adopted Rules for Video Gaming. The disciplinary complaint seeks to fine the Company in the amount of $5 million. The Company filed its initial answer to the IGB’s complaint on January 11, 2021 and have begun the administrative hearing process. The Company intends to vigorously defend itself against the allegations in the complaint and denies any allegations of wrongdoing. The Company has not accrued any amounts related to this complaint as losses are not probable or reasonably estimable.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Related-Party Transactions</w:t>
      </w:r>
    </w:p>
    <w:p>
      <w:pPr>
        <w:spacing w:after="0" w:line="197"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Subsequent to the Company's acquisition of certain assets of Fair Share Gaming, LLC (“Fair Share”), G3 Gaming, LLC (“G3”), Tom's Amusements and AVG, the sellers became employees of the Company.</w:t>
      </w:r>
    </w:p>
    <w:p>
      <w:pPr>
        <w:spacing w:after="0" w:line="126"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Consideration payable to the Fair Share seller was $2.2 million and $1.6 million as of September 30, 2021 and December 31, 2020, respectively. Payments to the Fair Share seller under the acquisition agreement were $0.7 million and $0.6 million during the nine months ended September 30, 2021 and 2020, respectively.</w:t>
      </w:r>
    </w:p>
    <w:p>
      <w:pPr>
        <w:spacing w:after="0" w:line="135"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Consideration payable to the G3 sellers was $0.6 million and $0.5 million as of September 30, 2021 and December 31, 2020, respectively. Payments to the G3 sellers under the acquisition agreement were $2.5 million during the nine months ended September 30, 2020. There were no payments to the G3 sellers during the nine months ended September 30, 2021.</w:t>
      </w:r>
    </w:p>
    <w:p>
      <w:pPr>
        <w:spacing w:after="0" w:line="135"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Consideration payable to the Tom's Amusements seller was $1.5 million as of both September 30, 2021 and December 31, 2020. There were no payments to the Tom's Amusements seller during the nine months ended September 30, 2021.</w:t>
      </w:r>
    </w:p>
    <w:p>
      <w:pPr>
        <w:spacing w:after="0" w:line="126"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Consideration payable to the AVG seller was $2.7 million and $1.5 million as of September 30, 2021 and December 31, 2020, respectively. There were no payments to the AVG seller during the nine months ended September 30, 2021.</w:t>
      </w:r>
    </w:p>
    <w:p>
      <w:pPr>
        <w:spacing w:after="0" w:line="126" w:lineRule="exact"/>
        <w:rPr>
          <w:sz w:val="20"/>
          <w:szCs w:val="20"/>
          <w:color w:val="auto"/>
        </w:rPr>
      </w:pPr>
    </w:p>
    <w:p>
      <w:pPr>
        <w:jc w:val="both"/>
        <w:ind w:firstLine="319"/>
        <w:spacing w:after="0" w:line="386" w:lineRule="auto"/>
        <w:rPr>
          <w:sz w:val="20"/>
          <w:szCs w:val="20"/>
          <w:color w:val="auto"/>
        </w:rPr>
      </w:pPr>
      <w:r>
        <w:rPr>
          <w:rFonts w:ascii="Arial" w:cs="Arial" w:eastAsia="Arial" w:hAnsi="Arial"/>
          <w:sz w:val="15"/>
          <w:szCs w:val="15"/>
          <w:color w:val="auto"/>
        </w:rPr>
        <w:t>The Company engaged Much Shelist, P.C. (“Much Shelist”), as its legal counsel for general legal and business matters. An attorney at Much Shelist is a related party to management of the Company. Accel paid Much Shelist $0.1 million for both the nine months ended September 30, 2021 and 2020. These payments were included in general and administrative expenses within the condensed consolidated statements of operations and comprehensive income.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19"/>
        <w:spacing w:after="0" w:line="297" w:lineRule="auto"/>
        <w:rPr>
          <w:sz w:val="20"/>
          <w:szCs w:val="20"/>
          <w:color w:val="auto"/>
        </w:rPr>
      </w:pPr>
      <w:r>
        <w:rPr>
          <w:rFonts w:ascii="Arial" w:cs="Arial" w:eastAsia="Arial" w:hAnsi="Arial"/>
          <w:sz w:val="18"/>
          <w:szCs w:val="18"/>
          <w:color w:val="auto"/>
        </w:rPr>
        <w:t>The Company completed an underwritten public offering of 8,000,000 shares of its Class A-1 Common Stock, pursuant to the terms of an Underwriting Agreement, dated September 23, 2020, with Goldman Sachs &amp; Co. LLC and J.P. Morgan Securities LLC, as representatives of the several underwriters named therein. The Raine Group, which employs a director of the Company, Gordon Rubenstein, was part of the underwriting group and was paid fees totaling $0.2 million (5.5% of underwriting fee (4.5% of $84 million)). These payments were capitalized to additional paid-in-capital on the condensed consolidated statements of stockholders' equity (deficit).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Earnings Per Share</w:t>
      </w:r>
    </w:p>
    <w:p>
      <w:pPr>
        <w:spacing w:after="0" w:line="197" w:lineRule="exact"/>
        <w:rPr>
          <w:sz w:val="20"/>
          <w:szCs w:val="20"/>
          <w:color w:val="auto"/>
        </w:rPr>
      </w:pPr>
    </w:p>
    <w:p>
      <w:pPr>
        <w:jc w:val="both"/>
        <w:ind w:right="20" w:firstLine="319"/>
        <w:spacing w:after="0" w:line="312" w:lineRule="auto"/>
        <w:rPr>
          <w:sz w:val="20"/>
          <w:szCs w:val="20"/>
          <w:color w:val="auto"/>
        </w:rPr>
      </w:pPr>
      <w:r>
        <w:rPr>
          <w:rFonts w:ascii="Arial" w:cs="Arial" w:eastAsia="Arial" w:hAnsi="Arial"/>
          <w:sz w:val="18"/>
          <w:szCs w:val="18"/>
          <w:color w:val="auto"/>
        </w:rPr>
        <w:t>The components of basic and diluted earnings per share (“EPS”) were as follows for the three and nine months ended September 30 (in thousands, except per share amounts):</w:t>
      </w:r>
    </w:p>
    <w:p>
      <w:pPr>
        <w:spacing w:after="0" w:line="80" w:lineRule="exact"/>
        <w:rPr>
          <w:sz w:val="20"/>
          <w:szCs w:val="20"/>
          <w:color w:val="auto"/>
        </w:rPr>
      </w:pPr>
    </w:p>
    <w:tbl>
      <w:tblPr>
        <w:tblLayout w:type="fixed"/>
        <w:tblInd w:w="102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18"/>
                <w:szCs w:val="18"/>
                <w:color w:val="auto"/>
              </w:rPr>
            </w:pPr>
          </w:p>
        </w:tc>
        <w:tc>
          <w:tcPr>
            <w:tcW w:w="2040" w:type="dxa"/>
            <w:vAlign w:val="bottom"/>
            <w:gridSpan w:val="4"/>
          </w:tcPr>
          <w:p>
            <w:pPr>
              <w:jc w:val="right"/>
              <w:ind w:right="291"/>
              <w:spacing w:after="0"/>
              <w:rPr>
                <w:sz w:val="20"/>
                <w:szCs w:val="20"/>
                <w:color w:val="auto"/>
              </w:rPr>
            </w:pPr>
            <w:r>
              <w:rPr>
                <w:rFonts w:ascii="Arial" w:cs="Arial" w:eastAsia="Arial" w:hAnsi="Arial"/>
                <w:sz w:val="18"/>
                <w:szCs w:val="18"/>
                <w:b w:val="1"/>
                <w:bCs w:val="1"/>
                <w:color w:val="auto"/>
                <w:w w:val="97"/>
              </w:rPr>
              <w:t>Nine Months Ended</w:t>
            </w:r>
          </w:p>
        </w:tc>
      </w:tr>
      <w:tr>
        <w:trPr>
          <w:trHeight w:val="230"/>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9"/>
                <w:szCs w:val="19"/>
                <w:color w:val="auto"/>
              </w:rPr>
            </w:pPr>
          </w:p>
        </w:tc>
        <w:tc>
          <w:tcPr>
            <w:tcW w:w="204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September 30,</w:t>
            </w:r>
          </w:p>
        </w:tc>
      </w:tr>
      <w:tr>
        <w:trPr>
          <w:trHeight w:val="28"/>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8"/>
                <w:szCs w:val="18"/>
                <w:b w:val="1"/>
                <w:bCs w:val="1"/>
                <w:color w:val="auto"/>
              </w:rPr>
              <w:t>2020</w:t>
            </w:r>
          </w:p>
        </w:tc>
      </w:tr>
      <w:tr>
        <w:trPr>
          <w:trHeight w:val="28"/>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r>
      <w:tr>
        <w:trPr>
          <w:trHeight w:val="214"/>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(As Restated)</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1"/>
              <w:spacing w:after="0"/>
              <w:rPr>
                <w:sz w:val="20"/>
                <w:szCs w:val="20"/>
                <w:color w:val="auto"/>
              </w:rPr>
            </w:pPr>
            <w:r>
              <w:rPr>
                <w:rFonts w:ascii="Arial" w:cs="Arial" w:eastAsia="Arial" w:hAnsi="Arial"/>
                <w:sz w:val="16"/>
                <w:szCs w:val="16"/>
                <w:b w:val="1"/>
                <w:bCs w:val="1"/>
                <w:color w:val="auto"/>
                <w:w w:val="94"/>
              </w:rPr>
              <w:t>(As Restated)</w:t>
            </w:r>
          </w:p>
        </w:tc>
      </w:tr>
      <w:tr>
        <w:trPr>
          <w:trHeight w:val="32"/>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8,110</w:t>
            </w:r>
          </w:p>
        </w:tc>
      </w:tr>
      <w:tr>
        <w:trPr>
          <w:trHeight w:val="265"/>
        </w:trPr>
        <w:tc>
          <w:tcPr>
            <w:tcW w:w="4580" w:type="dxa"/>
            <w:vAlign w:val="bottom"/>
          </w:tcPr>
          <w:p>
            <w:pPr>
              <w:ind w:left="20"/>
              <w:spacing w:after="0"/>
              <w:rPr>
                <w:sz w:val="20"/>
                <w:szCs w:val="20"/>
                <w:color w:val="auto"/>
              </w:rPr>
            </w:pPr>
            <w:r>
              <w:rPr>
                <w:rFonts w:ascii="Arial" w:cs="Arial" w:eastAsia="Arial" w:hAnsi="Arial"/>
                <w:sz w:val="18"/>
                <w:szCs w:val="18"/>
                <w:color w:val="auto"/>
                <w:w w:val="95"/>
              </w:rPr>
              <w:t>Less: Net income applicable to contingently issuable shares</w:t>
            </w:r>
          </w:p>
        </w:tc>
        <w:tc>
          <w:tcPr>
            <w:tcW w:w="2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798</w:t>
            </w:r>
          </w:p>
        </w:tc>
      </w:tr>
      <w:tr>
        <w:trPr>
          <w:trHeight w:val="284"/>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Net income on which diluted earnings per share is calculated</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10,807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24,753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7,312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6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Basic weighted average outstanding shares of common stock</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94,004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82,785</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93,607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79,708</w:t>
            </w:r>
          </w:p>
        </w:tc>
      </w:tr>
      <w:tr>
        <w:trPr>
          <w:trHeight w:val="26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stock-based awards for common stock</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870</w:t>
            </w: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Diluted weighted average outstanding shares of common stock</w:t>
            </w: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94,728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83,560</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94,469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80,578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5"/>
        </w:trPr>
        <w:tc>
          <w:tcPr>
            <w:tcW w:w="4580" w:type="dxa"/>
            <w:vAlign w:val="bottom"/>
          </w:tcPr>
          <w:p>
            <w:pPr>
              <w:ind w:left="4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3"/>
                <w:szCs w:val="23"/>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23"/>
                <w:szCs w:val="23"/>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3"/>
                <w:szCs w:val="23"/>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0.10</w:t>
            </w:r>
          </w:p>
        </w:tc>
      </w:tr>
      <w:tr>
        <w:trPr>
          <w:trHeight w:val="266"/>
        </w:trPr>
        <w:tc>
          <w:tcPr>
            <w:tcW w:w="4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r>
    </w:tbl>
    <w:p>
      <w:pPr>
        <w:spacing w:after="0" w:line="253"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Anti-dilutive stock-based awards, contingent earnout shares and Warrants excluded from the calculations of diluted EPS were 5,007,024 and 5,532,553 as of September 30, 2021 and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197" w:lineRule="exact"/>
        <w:rPr>
          <w:sz w:val="20"/>
          <w:szCs w:val="20"/>
          <w:color w:val="auto"/>
        </w:rPr>
      </w:pPr>
    </w:p>
    <w:p>
      <w:pPr>
        <w:jc w:val="both"/>
        <w:ind w:firstLine="319"/>
        <w:spacing w:after="0" w:line="315" w:lineRule="auto"/>
        <w:rPr>
          <w:sz w:val="20"/>
          <w:szCs w:val="20"/>
          <w:color w:val="auto"/>
        </w:rPr>
      </w:pPr>
      <w:r>
        <w:rPr>
          <w:rFonts w:ascii="Arial" w:cs="Arial" w:eastAsia="Arial" w:hAnsi="Arial"/>
          <w:sz w:val="17"/>
          <w:szCs w:val="17"/>
          <w:color w:val="auto"/>
        </w:rPr>
        <w:t>On October 22, 2021, in order to increase the borrowing capacity under its existing Credit Agreement, dated November 13, 2019, the Company and the other parties thereto entered into Amendment No. 2 to the Credit Agreement (“Amendment No. 2”). Amendment No. 2, among other things, provides for (i) an increase in the amount of the revolving credit facility from $100.0 million to $150.0 million, (ii) a $350.0 million initial term loan facility, the proceeds of which were applied to refinancing existing indebtedness and (iii) a new $400.0 million delayed draw term loan facility. The maturity date of the Credit Agreement was extended to October 22, 2026. The interest rate and covenants remain unchanged. The Company is currently evaluating the terms of Amendment No. 2 to determine if it will be recorded as an extinguishment or modification for accounting purposes and the amount of loss, if any, that will be recorded during the three months ending December 31, 2021.</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4" w:lineRule="exact"/>
        <w:rPr>
          <w:sz w:val="20"/>
          <w:szCs w:val="20"/>
          <w:color w:val="auto"/>
        </w:rPr>
      </w:pPr>
    </w:p>
    <w:p>
      <w:pPr>
        <w:jc w:val="both"/>
        <w:ind w:firstLine="319"/>
        <w:spacing w:after="0" w:line="295"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that involve risks and uncertainties. Our actual results could differ materially from the forward-looking statements. Factors that could cause or contribute to such differences include, but are not limited to, those identified below, and those discussed in the section titled “Risk Factors” included in our Annual Report on Form 10-K for the year ended December 31, 2020, as amended (the “Form 10-K”). This discussion and analysis should also be read in conjunction with “Management’s Discussion and Analysis of Financial Condition and Results of Operations”, set forth in our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84" w:lineRule="exact"/>
        <w:rPr>
          <w:sz w:val="20"/>
          <w:szCs w:val="20"/>
          <w:color w:val="auto"/>
        </w:rPr>
      </w:pPr>
    </w:p>
    <w:p>
      <w:pPr>
        <w:jc w:val="both"/>
        <w:ind w:firstLine="319"/>
        <w:spacing w:after="0" w:line="361" w:lineRule="auto"/>
        <w:rPr>
          <w:sz w:val="20"/>
          <w:szCs w:val="20"/>
          <w:color w:val="auto"/>
        </w:rPr>
      </w:pPr>
      <w:r>
        <w:rPr>
          <w:rFonts w:ascii="Arial" w:cs="Arial" w:eastAsia="Arial" w:hAnsi="Arial"/>
          <w:sz w:val="15"/>
          <w:szCs w:val="15"/>
          <w:color w:val="auto"/>
        </w:rPr>
        <w:t>We believe we are a leading distributed gaming operator in the United States on an Adjusted EBITDA basis, and a preferred partner for local business owners in the Illinois market. Our business consists of the installation, maintenance and operation of video gaming terminals (“VGTs”), redemption devices that disburse winnings and contain automated teller machine (“ATM”) functionality, and other amusement devices in authorized non-casino locations such as restaurants, bars, taverns, convenience stores, liquor stores, truck stops, and grocery stores, which are referred to collectively as “licensed establishments.” We also operate stand-alone ATMs in gaming and non-gaming locations. Accel has been licensed by the Illinois Gaming Board (“IGB”) since 2012 and holds a license from the Pennsylvania Gaming Control Board. In July 2020, the Georgia Lottery Corporation approved one of our consolidated subsidiaries as a Master Licensee, which allows us to install and operate coin operated amusement machines for commercial use by the public for play throughout the State of Georgia. We operate 13,384 video gaming terminals across 2,549 locations in the State of Illinois as of September 30, 2021.</w:t>
      </w:r>
    </w:p>
    <w:p>
      <w:pPr>
        <w:spacing w:after="0" w:line="89" w:lineRule="exact"/>
        <w:rPr>
          <w:sz w:val="20"/>
          <w:szCs w:val="20"/>
          <w:color w:val="auto"/>
        </w:rPr>
      </w:pPr>
    </w:p>
    <w:p>
      <w:pPr>
        <w:jc w:val="both"/>
        <w:ind w:firstLine="319"/>
        <w:spacing w:after="0" w:line="359" w:lineRule="auto"/>
        <w:rPr>
          <w:sz w:val="20"/>
          <w:szCs w:val="20"/>
          <w:color w:val="auto"/>
        </w:rPr>
      </w:pPr>
      <w:r>
        <w:rPr>
          <w:rFonts w:ascii="Arial" w:cs="Arial" w:eastAsia="Arial" w:hAnsi="Arial"/>
          <w:sz w:val="15"/>
          <w:szCs w:val="15"/>
          <w:color w:val="auto"/>
        </w:rPr>
        <w:t>Our gaming-as-a-service platform provides local businesses with a turnkey, capital efficient gaming solution. We own all of our VGT equipment and manage the entire operating process for our licensed establishment partners. We also offer our licensed establishment partners VGT solutions that appeal to players who patronize those businesses. We devote significant resources to licensed establishment partner retention, and seek to provide prompt, personalized player service and support, which we believe is unparalleled among other distributed gaming operators. Dedicated relationship managers assist licensed establishment partners with regulatory applications and compliance onboarding, train licensed establishment partners on how to engage with players and potential players, monitor individual gaming areas for compliance, cleanliness and comfort and recommend potential changes to improve both player gaming experience and overall revenue for each licensed establishment. We also provide weekly gaming revenue payments to our licensed establishment partners and analyze and compare gaming results within individual licensed establishment partners. This information is used to determine an optimal selection of games, layouts and other ideas to generate foot traffic for our licensed establishment partners with the goal of generating increased gaming revenue. Further, our in-house collections and security personnel provide highly secure cash transportation and vault management services. Our best-in-class technicians ensure minimal downtime through proactive service and routine maintenance.</w:t>
      </w:r>
    </w:p>
    <w:p>
      <w:pPr>
        <w:spacing w:after="0" w:line="342"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In addition to our VGT business, we also install, operate and service redemption devices that have ATM functionality, stand-alone ATMs and amusement devices, including digital jukeboxes, dartboards, pool tables, pinball machines and other related entertainment equipment. These operations provide a complementary source of lead generation for our VGT business by offering a “one-stop” source of additional equipment for our licensed establishment partners.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97" w:lineRule="exact"/>
        <w:rPr>
          <w:sz w:val="20"/>
          <w:szCs w:val="20"/>
          <w:color w:val="auto"/>
        </w:rPr>
      </w:pPr>
    </w:p>
    <w:p>
      <w:pPr>
        <w:jc w:val="both"/>
        <w:ind w:firstLine="319"/>
        <w:spacing w:after="0" w:line="327" w:lineRule="auto"/>
        <w:rPr>
          <w:sz w:val="20"/>
          <w:szCs w:val="20"/>
          <w:color w:val="auto"/>
        </w:rPr>
      </w:pPr>
      <w:r>
        <w:rPr>
          <w:rFonts w:ascii="Arial" w:cs="Arial" w:eastAsia="Arial" w:hAnsi="Arial"/>
          <w:sz w:val="17"/>
          <w:szCs w:val="17"/>
          <w:color w:val="auto"/>
        </w:rPr>
        <w:t>The COVID-19 outbreak continues to have a significant impact on global markets as a result of supply chain and production disruptions, workforce restrictions, travel restrictions, reduced consumer spending and sentiment, amongst other factors, which are, individually or in the aggregate, negatively affecting the financial performance, liquidity and cash flow projections of many companies in the United States and abroad.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319"/>
        <w:spacing w:after="0" w:line="361" w:lineRule="auto"/>
        <w:rPr>
          <w:sz w:val="20"/>
          <w:szCs w:val="20"/>
          <w:color w:val="auto"/>
        </w:rPr>
      </w:pPr>
      <w:r>
        <w:rPr>
          <w:rFonts w:ascii="Arial" w:cs="Arial" w:eastAsia="Arial" w:hAnsi="Arial"/>
          <w:sz w:val="15"/>
          <w:szCs w:val="15"/>
          <w:color w:val="auto"/>
        </w:rPr>
        <w:t>In response to the initial COVID-19 outbreak in early 2020, the IGB made the decision to shut down all VGTs across the State of Illinois starting at 9:00 p.m. on March 16, 2020 and ultimately extended the shutdown through June 30, 2020. As a result, we borrowed $65 million on our delayed draw term loan in March 2020 to increase our cash position and help preserve our financial flexibility. This temporary shutdown of Illinois video gaming impacted 106 of the 274 gaming days (or 39% of gaming days) during the nine months ended September 30, 2020. In light of these events and their effect on our employees and licensed establishment partners, we took action to reduce our monthly cash expenses down to $2-$3 million during the shutdown to position us to help mitigate the effects of the temporary cessation of operations by, among other things, furloughing approximately 90% of our employees and deferring certain payments to major vendors. Additionally, members of our senior management decided to voluntarily forgo their base salaries until the resumption of video gaming operations. Beginning in early June 2020, we started reinstating employees from furlough in order to properly resume operations.</w:t>
      </w:r>
    </w:p>
    <w:p>
      <w:pPr>
        <w:spacing w:after="0" w:line="102" w:lineRule="exact"/>
        <w:rPr>
          <w:sz w:val="20"/>
          <w:szCs w:val="20"/>
          <w:color w:val="auto"/>
        </w:rPr>
      </w:pPr>
    </w:p>
    <w:p>
      <w:pPr>
        <w:jc w:val="both"/>
        <w:ind w:firstLine="319"/>
        <w:spacing w:after="0" w:line="362" w:lineRule="auto"/>
        <w:rPr>
          <w:sz w:val="20"/>
          <w:szCs w:val="20"/>
          <w:color w:val="auto"/>
        </w:rPr>
      </w:pPr>
      <w:r>
        <w:rPr>
          <w:rFonts w:ascii="Arial" w:cs="Arial" w:eastAsia="Arial" w:hAnsi="Arial"/>
          <w:sz w:val="15"/>
          <w:szCs w:val="15"/>
          <w:color w:val="auto"/>
        </w:rPr>
        <w:t>As a resurgence of COVID-19 occurred in the fall of 2020, the virus spread in every geographical region (currently 11 regions) in the State of Illinois. In response, the IGB suspended all video gaming operations across the entire state of Illinois starting at 11:01 PM on Thursday November 19, 2020. Video gaming operations resumed in certain regions of the state beginning on January 16, 2021, and fully resumed in all regions on January 23, 2021. Even though video gaming operations resumed across all regions, certain regions still had government-imposed restrictions that, among other things, limited hours of operation and restricted the number of patrons allowed within the licensed establishments. Given the staggered reopening by region in January of 2021, the temporary shutdown impacted, on average, 18 of the 273 gaming days (or 7% of gaming days) during the nine months ended September 30, 2021. During this second shutdown, we furloughed idle staff as appropriate and deferred certain payments to major vendors.</w:t>
      </w:r>
    </w:p>
    <w:p>
      <w:pPr>
        <w:spacing w:after="0" w:line="105"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As a result of these developments, our revenues, results of operations and cash flows have been materially affected. The situation is changing and additional impacts from COVID-19 and its variant strains on the business and financial results may arise that we are not aware of currently and cannot reasonably anticipate.</w:t>
      </w:r>
    </w:p>
    <w:p>
      <w:pPr>
        <w:spacing w:after="0" w:line="135" w:lineRule="exact"/>
        <w:rPr>
          <w:sz w:val="20"/>
          <w:szCs w:val="20"/>
          <w:color w:val="auto"/>
        </w:rPr>
      </w:pPr>
    </w:p>
    <w:p>
      <w:pPr>
        <w:jc w:val="both"/>
        <w:ind w:firstLine="319"/>
        <w:spacing w:after="0" w:line="368" w:lineRule="auto"/>
        <w:rPr>
          <w:sz w:val="20"/>
          <w:szCs w:val="20"/>
          <w:color w:val="auto"/>
        </w:rPr>
      </w:pPr>
      <w:r>
        <w:rPr>
          <w:rFonts w:ascii="Arial" w:cs="Arial" w:eastAsia="Arial" w:hAnsi="Arial"/>
          <w:sz w:val="15"/>
          <w:szCs w:val="15"/>
          <w:color w:val="auto"/>
        </w:rPr>
        <w:t>While the IGB has announced the resumption of all video gaming activities, it is possible that it or the State of Illinois may order a shutdown by region (currently 11 regions), or a complete suspension of video gaming in the state, or institute stay-at-home, closure or other similar orders or measures in the future in response to a resurgence of COVID-19, particularly in light of variant strains of the virus, or other events. Under the guidelines provided by the Illinois Department of Health and Governor’s office, the IGB has been closely monitoring Illinois' COVID-19 related statistics including the positivity rate, hospital admissions, and hospital bed availability in each region. We will continue to monitor the situation and its potential impact on our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Performance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8" w:lineRule="exact"/>
        <w:rPr>
          <w:sz w:val="20"/>
          <w:szCs w:val="20"/>
          <w:color w:val="auto"/>
        </w:rPr>
      </w:pPr>
    </w:p>
    <w:p>
      <w:pPr>
        <w:jc w:val="both"/>
        <w:ind w:left="320"/>
        <w:spacing w:after="0" w:line="312" w:lineRule="auto"/>
        <w:rPr>
          <w:sz w:val="20"/>
          <w:szCs w:val="20"/>
          <w:color w:val="auto"/>
        </w:rPr>
      </w:pPr>
      <w:r>
        <w:rPr>
          <w:rFonts w:ascii="Arial" w:cs="Arial" w:eastAsia="Arial" w:hAnsi="Arial"/>
          <w:sz w:val="18"/>
          <w:szCs w:val="18"/>
          <w:i w:val="1"/>
          <w:iCs w:val="1"/>
          <w:color w:val="auto"/>
        </w:rPr>
        <w:t xml:space="preserve">Net gaming. </w:t>
      </w:r>
      <w:r>
        <w:rPr>
          <w:rFonts w:ascii="Arial" w:cs="Arial" w:eastAsia="Arial" w:hAnsi="Arial"/>
          <w:sz w:val="18"/>
          <w:szCs w:val="18"/>
          <w:color w:val="auto"/>
        </w:rPr>
        <w:t>Net gaming revenue represents net cash received from gaming activities, which is the difference between gaming wins and losses. Net</w:t>
      </w:r>
      <w:r>
        <w:rPr>
          <w:rFonts w:ascii="Arial" w:cs="Arial" w:eastAsia="Arial" w:hAnsi="Arial"/>
          <w:sz w:val="18"/>
          <w:szCs w:val="18"/>
          <w:i w:val="1"/>
          <w:iCs w:val="1"/>
          <w:color w:val="auto"/>
        </w:rPr>
        <w:t xml:space="preserve"> </w:t>
      </w:r>
      <w:r>
        <w:rPr>
          <w:rFonts w:ascii="Arial" w:cs="Arial" w:eastAsia="Arial" w:hAnsi="Arial"/>
          <w:sz w:val="18"/>
          <w:szCs w:val="18"/>
          <w:color w:val="auto"/>
        </w:rPr>
        <w:t>gaming revenue includes the amounts earned by the licensed establishments and is recognized at the time of gaming play.</w:t>
      </w:r>
    </w:p>
    <w:p>
      <w:pPr>
        <w:spacing w:after="0" w:line="99" w:lineRule="exact"/>
        <w:rPr>
          <w:sz w:val="20"/>
          <w:szCs w:val="20"/>
          <w:color w:val="auto"/>
        </w:rPr>
      </w:pPr>
    </w:p>
    <w:p>
      <w:pPr>
        <w:jc w:val="both"/>
        <w:ind w:left="320"/>
        <w:spacing w:after="0" w:line="312" w:lineRule="auto"/>
        <w:rPr>
          <w:sz w:val="20"/>
          <w:szCs w:val="20"/>
          <w:color w:val="auto"/>
        </w:rPr>
      </w:pPr>
      <w:r>
        <w:rPr>
          <w:rFonts w:ascii="Arial" w:cs="Arial" w:eastAsia="Arial" w:hAnsi="Arial"/>
          <w:sz w:val="18"/>
          <w:szCs w:val="18"/>
          <w:i w:val="1"/>
          <w:iCs w:val="1"/>
          <w:color w:val="auto"/>
        </w:rPr>
        <w:t xml:space="preserve">Amusement. </w:t>
      </w:r>
      <w:r>
        <w:rPr>
          <w:rFonts w:ascii="Arial" w:cs="Arial" w:eastAsia="Arial" w:hAnsi="Arial"/>
          <w:sz w:val="18"/>
          <w:szCs w:val="18"/>
          <w:color w:val="auto"/>
        </w:rPr>
        <w:t>Amusement revenue represents amounts collected from amusement devices operated at various licensed establishments and is recognized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point the amusement device is used.</w:t>
      </w:r>
    </w:p>
    <w:p>
      <w:pPr>
        <w:spacing w:after="0" w:line="113" w:lineRule="exact"/>
        <w:rPr>
          <w:sz w:val="20"/>
          <w:szCs w:val="20"/>
          <w:color w:val="auto"/>
        </w:rPr>
      </w:pPr>
    </w:p>
    <w:p>
      <w:pPr>
        <w:jc w:val="both"/>
        <w:ind w:left="320"/>
        <w:spacing w:after="0" w:line="312" w:lineRule="auto"/>
        <w:rPr>
          <w:sz w:val="20"/>
          <w:szCs w:val="20"/>
          <w:color w:val="auto"/>
        </w:rPr>
      </w:pPr>
      <w:r>
        <w:rPr>
          <w:rFonts w:ascii="Arial" w:cs="Arial" w:eastAsia="Arial" w:hAnsi="Arial"/>
          <w:sz w:val="18"/>
          <w:szCs w:val="18"/>
          <w:i w:val="1"/>
          <w:iCs w:val="1"/>
          <w:color w:val="auto"/>
        </w:rPr>
        <w:t xml:space="preserve">ATM fees and other revenue. </w:t>
      </w:r>
      <w:r>
        <w:rPr>
          <w:rFonts w:ascii="Arial" w:cs="Arial" w:eastAsia="Arial" w:hAnsi="Arial"/>
          <w:sz w:val="18"/>
          <w:szCs w:val="18"/>
          <w:color w:val="auto"/>
        </w:rPr>
        <w:t>ATM fees and other revenue represents fees charged for the withdrawal of funds from Accel’s redemption devices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ATMs and is recognized at the time of the ATM transaction.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8" w:lineRule="exact"/>
        <w:rPr>
          <w:sz w:val="20"/>
          <w:szCs w:val="20"/>
          <w:color w:val="auto"/>
        </w:rPr>
      </w:pPr>
    </w:p>
    <w:p>
      <w:pPr>
        <w:jc w:val="both"/>
        <w:ind w:left="320"/>
        <w:spacing w:after="0" w:line="29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(i) a 34% tax on net video gaming revenue (such tax increased from 33% beginning on July 1, 2020)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to the IGB, (ii) an administrative fee (0.8513% currently) payable to Scientific Games International, the third-party contracted by IGB to maintain the central system to which all VGTs across Illinois are connected, (iii) establishment revenue share, which is defined as 50% of gross gaming revenue after subtracting the tax and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320"/>
        <w:spacing w:after="0" w:line="312" w:lineRule="auto"/>
        <w:rPr>
          <w:sz w:val="20"/>
          <w:szCs w:val="20"/>
          <w:color w:val="auto"/>
        </w:rPr>
      </w:pPr>
      <w:r>
        <w:rPr>
          <w:rFonts w:ascii="Arial" w:cs="Arial" w:eastAsia="Arial" w:hAnsi="Arial"/>
          <w:sz w:val="18"/>
          <w:szCs w:val="18"/>
          <w:color w:val="auto"/>
        </w:rPr>
        <w:t>administrative fee, (iv) ATM and amusement commissions payable to locations, (v) ATM and amusement fees, and (vi) licenses and permits required for the operation of VGTs and other equipment.</w:t>
      </w:r>
    </w:p>
    <w:p>
      <w:pPr>
        <w:spacing w:after="0" w:line="99" w:lineRule="exact"/>
        <w:rPr>
          <w:sz w:val="20"/>
          <w:szCs w:val="20"/>
          <w:color w:val="auto"/>
        </w:rPr>
      </w:pPr>
    </w:p>
    <w:p>
      <w:pPr>
        <w:jc w:val="both"/>
        <w:ind w:left="320"/>
        <w:spacing w:after="0" w:line="368" w:lineRule="auto"/>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General and administrative expenses consist of operating expense and general and administrative (“</w:t>
      </w:r>
      <w:r>
        <w:rPr>
          <w:rFonts w:ascii="Arial" w:cs="Arial" w:eastAsia="Arial" w:hAnsi="Arial"/>
          <w:sz w:val="15"/>
          <w:szCs w:val="15"/>
          <w:i w:val="1"/>
          <w:iCs w:val="1"/>
          <w:color w:val="auto"/>
        </w:rPr>
        <w:t>G&amp;A</w:t>
      </w:r>
      <w:r>
        <w:rPr>
          <w:rFonts w:ascii="Arial" w:cs="Arial" w:eastAsia="Arial" w:hAnsi="Arial"/>
          <w:sz w:val="15"/>
          <w:szCs w:val="15"/>
          <w:color w:val="auto"/>
        </w:rPr>
        <w:t>”)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expense 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licensed establishments and VGTs. G&amp;A expense includes payroll and related expense for account managers, business development managers, marketing, and other corporate personnel. In addition, G&amp;A includes marketing, information technology, insurance, rent and professional fees.</w:t>
      </w:r>
    </w:p>
    <w:p>
      <w:pPr>
        <w:spacing w:after="0" w:line="85" w:lineRule="exact"/>
        <w:rPr>
          <w:sz w:val="20"/>
          <w:szCs w:val="20"/>
          <w:color w:val="auto"/>
        </w:rPr>
      </w:pPr>
    </w:p>
    <w:p>
      <w:pPr>
        <w:jc w:val="both"/>
        <w:ind w:left="320"/>
        <w:spacing w:after="0" w:line="312" w:lineRule="auto"/>
        <w:rPr>
          <w:sz w:val="20"/>
          <w:szCs w:val="20"/>
          <w:color w:val="auto"/>
        </w:rPr>
      </w:pPr>
      <w:r>
        <w:rPr>
          <w:rFonts w:ascii="Arial" w:cs="Arial" w:eastAsia="Arial" w:hAnsi="Arial"/>
          <w:sz w:val="18"/>
          <w:szCs w:val="18"/>
          <w:i w:val="1"/>
          <w:iCs w:val="1"/>
          <w:color w:val="auto"/>
        </w:rPr>
        <w:t xml:space="preserve">Depreciation and amortization of property and equipment. </w:t>
      </w:r>
      <w:r>
        <w:rPr>
          <w:rFonts w:ascii="Arial" w:cs="Arial" w:eastAsia="Arial" w:hAnsi="Arial"/>
          <w:sz w:val="18"/>
          <w:szCs w:val="18"/>
          <w:color w:val="auto"/>
        </w:rPr>
        <w:t>Depreciation is computed using the straight-line method over the estimated useful lives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assets. Leasehold improvements are amortized over the shorter of the useful life or the lease.</w:t>
      </w:r>
    </w:p>
    <w:p>
      <w:pPr>
        <w:spacing w:after="0" w:line="113" w:lineRule="exact"/>
        <w:rPr>
          <w:sz w:val="20"/>
          <w:szCs w:val="20"/>
          <w:color w:val="auto"/>
        </w:rPr>
      </w:pPr>
    </w:p>
    <w:p>
      <w:pPr>
        <w:jc w:val="both"/>
        <w:ind w:left="320"/>
        <w:spacing w:after="0" w:line="296" w:lineRule="auto"/>
        <w:rPr>
          <w:sz w:val="20"/>
          <w:szCs w:val="20"/>
          <w:color w:val="auto"/>
        </w:rPr>
      </w:pPr>
      <w:r>
        <w:rPr>
          <w:rFonts w:ascii="Arial" w:cs="Arial" w:eastAsia="Arial" w:hAnsi="Arial"/>
          <w:sz w:val="18"/>
          <w:szCs w:val="18"/>
          <w:i w:val="1"/>
          <w:iCs w:val="1"/>
          <w:color w:val="auto"/>
        </w:rPr>
        <w:t xml:space="preserve">Amortization of route and customer acquisition costs and location contracts acquired. </w:t>
      </w:r>
      <w:r>
        <w:rPr>
          <w:rFonts w:ascii="Arial" w:cs="Arial" w:eastAsia="Arial" w:hAnsi="Arial"/>
          <w:sz w:val="18"/>
          <w:szCs w:val="18"/>
          <w:color w:val="auto"/>
        </w:rPr>
        <w:t>Route and customer acquisition costs consist of fees paid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of contracts entered into with third parties and licensed video gaming establishments throughout the State of Illinois which allow Accel to install and operate video gaming terminals. The route and customer acquisition costs and route and customer acquisition costs payable are recorded at the net present value of the future payments using a discount rate equal to Accel’s incremental borrowing rate associated with its long-term debt. Route and customer acquisition costs are amortized on a straight-line basis beginning on the date the location goes live and amortized over the estimated life of the contract, including expected renewals.</w:t>
      </w:r>
    </w:p>
    <w:p>
      <w:pPr>
        <w:spacing w:after="0" w:line="115" w:lineRule="exact"/>
        <w:rPr>
          <w:sz w:val="20"/>
          <w:szCs w:val="20"/>
          <w:color w:val="auto"/>
        </w:rPr>
      </w:pPr>
    </w:p>
    <w:p>
      <w:pPr>
        <w:jc w:val="both"/>
        <w:ind w:left="320"/>
        <w:spacing w:after="0" w:line="312" w:lineRule="auto"/>
        <w:rPr>
          <w:sz w:val="20"/>
          <w:szCs w:val="20"/>
          <w:color w:val="auto"/>
        </w:rPr>
      </w:pPr>
      <w:r>
        <w:rPr>
          <w:rFonts w:ascii="Arial" w:cs="Arial" w:eastAsia="Arial" w:hAnsi="Arial"/>
          <w:sz w:val="18"/>
          <w:szCs w:val="18"/>
          <w:color w:val="auto"/>
        </w:rPr>
        <w:t>Location contracts acquired in a business combination are recorded at fair value and then amortized as an intangible asset on a straight-line basis over the expected useful life of 10 years.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78" w:lineRule="exact"/>
        <w:rPr>
          <w:sz w:val="20"/>
          <w:szCs w:val="20"/>
          <w:color w:val="auto"/>
        </w:rPr>
      </w:pPr>
    </w:p>
    <w:p>
      <w:pPr>
        <w:jc w:val="both"/>
        <w:ind w:left="320"/>
        <w:spacing w:after="0" w:line="297" w:lineRule="auto"/>
        <w:rPr>
          <w:sz w:val="20"/>
          <w:szCs w:val="20"/>
          <w:color w:val="auto"/>
        </w:rPr>
      </w:pPr>
      <w:r>
        <w:rPr>
          <w:rFonts w:ascii="Arial" w:cs="Arial" w:eastAsia="Arial" w:hAnsi="Arial"/>
          <w:sz w:val="18"/>
          <w:szCs w:val="18"/>
          <w:color w:val="auto"/>
        </w:rPr>
        <w:t>Interest expense, net consists of interest on Accel’s current and prior credit facilities, amortization of financing fees, and accretion of interest on route and customer acquisition costs payable. Interest on the current credit facility is payable monthly on unpaid balances at the variable per annum LIBOR rate plus an applicable margin, as defined under the terms of the credit facility, ranging from 1.75% to 2.75% depending on the first lien net leverage ratio. Interest expense, net also consists of interest income on convertible promissory notes from another terminal operator that bear interest at the greater of 3% per annum or Accel's borrowing rate on its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78" w:lineRule="exact"/>
        <w:rPr>
          <w:sz w:val="20"/>
          <w:szCs w:val="20"/>
          <w:color w:val="auto"/>
        </w:rPr>
      </w:pPr>
    </w:p>
    <w:p>
      <w:pPr>
        <w:jc w:val="both"/>
        <w:ind w:left="320"/>
        <w:spacing w:after="0" w:line="422" w:lineRule="auto"/>
        <w:rPr>
          <w:sz w:val="20"/>
          <w:szCs w:val="20"/>
          <w:color w:val="auto"/>
        </w:rPr>
      </w:pPr>
      <w:r>
        <w:rPr>
          <w:rFonts w:ascii="Arial" w:cs="Arial" w:eastAsia="Arial" w:hAnsi="Arial"/>
          <w:sz w:val="15"/>
          <w:szCs w:val="15"/>
          <w:color w:val="auto"/>
        </w:rPr>
        <w:t>Income tax expense (benefit) consists mainly of taxes (receivable) payable to federal, state and local authorities. Deferred income taxes are recognized for the tax consequences of temporary differences between the financial statement carrying amounts and the tax basis of the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Accel’s results of operations on a consolidated basis for the three months ended September 30, 2021 and 2020:</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4"/>
        </w:trPr>
        <w:tc>
          <w:tcPr>
            <w:tcW w:w="4160" w:type="dxa"/>
            <w:vAlign w:val="bottom"/>
          </w:tcPr>
          <w:p>
            <w:pPr>
              <w:ind w:left="20"/>
              <w:spacing w:after="0"/>
              <w:rPr>
                <w:sz w:val="20"/>
                <w:szCs w:val="20"/>
                <w:color w:val="auto"/>
              </w:rPr>
            </w:pPr>
            <w:r>
              <w:rPr>
                <w:rFonts w:ascii="Arial" w:cs="Arial" w:eastAsia="Arial" w:hAnsi="Arial"/>
                <w:sz w:val="14"/>
                <w:szCs w:val="14"/>
                <w:color w:val="auto"/>
              </w:rPr>
              <w:t>(in thousands, except %'s)</w:t>
            </w:r>
          </w:p>
        </w:tc>
        <w:tc>
          <w:tcPr>
            <w:tcW w:w="240" w:type="dxa"/>
            <w:vAlign w:val="bottom"/>
          </w:tcPr>
          <w:p>
            <w:pPr>
              <w:spacing w:after="0"/>
              <w:rPr>
                <w:sz w:val="16"/>
                <w:szCs w:val="16"/>
                <w:color w:val="auto"/>
              </w:rPr>
            </w:pPr>
          </w:p>
        </w:tc>
        <w:tc>
          <w:tcPr>
            <w:tcW w:w="22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2140" w:type="dxa"/>
            <w:vAlign w:val="bottom"/>
            <w:gridSpan w:val="3"/>
          </w:tcPr>
          <w:p>
            <w:pPr>
              <w:jc w:val="right"/>
              <w:ind w:right="469"/>
              <w:spacing w:after="0"/>
              <w:rPr>
                <w:sz w:val="20"/>
                <w:szCs w:val="20"/>
                <w:color w:val="auto"/>
              </w:rPr>
            </w:pPr>
            <w:r>
              <w:rPr>
                <w:rFonts w:ascii="Arial" w:cs="Arial" w:eastAsia="Arial" w:hAnsi="Arial"/>
                <w:sz w:val="14"/>
                <w:szCs w:val="14"/>
                <w:b w:val="1"/>
                <w:bCs w:val="1"/>
                <w:color w:val="auto"/>
              </w:rPr>
              <w:t>Increase / (Decrease)</w:t>
            </w:r>
          </w:p>
        </w:tc>
      </w:tr>
      <w:tr>
        <w:trPr>
          <w:trHeight w:val="24"/>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Change ($)</w:t>
            </w:r>
          </w:p>
        </w:tc>
        <w:tc>
          <w:tcPr>
            <w:tcW w:w="12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Change (%)</w:t>
            </w:r>
          </w:p>
        </w:tc>
      </w:tr>
      <w:tr>
        <w:trPr>
          <w:trHeight w:val="24"/>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 Restated)</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8"/>
        </w:trPr>
        <w:tc>
          <w:tcPr>
            <w:tcW w:w="4160" w:type="dxa"/>
            <w:vAlign w:val="bottom"/>
          </w:tcPr>
          <w:p>
            <w:pPr>
              <w:ind w:left="220"/>
              <w:spacing w:after="0"/>
              <w:rPr>
                <w:sz w:val="20"/>
                <w:szCs w:val="20"/>
                <w:color w:val="auto"/>
              </w:rPr>
            </w:pPr>
            <w:r>
              <w:rPr>
                <w:rFonts w:ascii="Arial" w:cs="Arial" w:eastAsia="Arial" w:hAnsi="Arial"/>
                <w:sz w:val="18"/>
                <w:szCs w:val="18"/>
                <w:color w:val="auto"/>
              </w:rPr>
              <w:t>Net gaming</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186,017</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129,635</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56,382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43.5 %</w:t>
            </w:r>
          </w:p>
        </w:tc>
      </w:tr>
      <w:tr>
        <w:trPr>
          <w:trHeight w:val="28"/>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6"/>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Amusement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32.3 %</w:t>
            </w:r>
          </w:p>
        </w:tc>
      </w:tr>
      <w:tr>
        <w:trPr>
          <w:trHeight w:val="238"/>
        </w:trPr>
        <w:tc>
          <w:tcPr>
            <w:tcW w:w="4160" w:type="dxa"/>
            <w:vAlign w:val="bottom"/>
          </w:tcPr>
          <w:p>
            <w:pPr>
              <w:ind w:left="220"/>
              <w:spacing w:after="0"/>
              <w:rPr>
                <w:sz w:val="20"/>
                <w:szCs w:val="20"/>
                <w:color w:val="auto"/>
              </w:rPr>
            </w:pPr>
            <w:r>
              <w:rPr>
                <w:rFonts w:ascii="Arial" w:cs="Arial" w:eastAsia="Arial" w:hAnsi="Arial"/>
                <w:sz w:val="18"/>
                <w:szCs w:val="18"/>
                <w:color w:val="auto"/>
              </w:rPr>
              <w:t>ATM fees and other revenue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893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36.7 %</w:t>
            </w:r>
          </w:p>
        </w:tc>
      </w:tr>
      <w:tr>
        <w:trPr>
          <w:trHeight w:val="28"/>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9"/>
        </w:trPr>
        <w:tc>
          <w:tcPr>
            <w:tcW w:w="4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193,351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135,097</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58,254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43.1 %</w:t>
            </w:r>
          </w:p>
        </w:tc>
      </w:tr>
      <w:tr>
        <w:trPr>
          <w:trHeight w:val="218"/>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8"/>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7"/>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 (exclusive of depreciation and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1"/>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expense shown below)</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129,739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39,183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43.3 %</w:t>
            </w:r>
          </w:p>
        </w:tc>
      </w:tr>
      <w:tr>
        <w:trPr>
          <w:trHeight w:val="265"/>
        </w:trPr>
        <w:tc>
          <w:tcPr>
            <w:tcW w:w="41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28,053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23,165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4,888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21.1 %</w:t>
            </w:r>
          </w:p>
        </w:tc>
      </w:tr>
      <w:tr>
        <w:trPr>
          <w:trHeight w:val="227"/>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 of property and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1"/>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21.6 %</w:t>
            </w:r>
          </w:p>
        </w:tc>
      </w:tr>
      <w:tr>
        <w:trPr>
          <w:trHeight w:val="227"/>
        </w:trPr>
        <w:tc>
          <w:tcPr>
            <w:tcW w:w="4160" w:type="dxa"/>
            <w:vAlign w:val="bottom"/>
          </w:tcPr>
          <w:p>
            <w:pPr>
              <w:ind w:left="220"/>
              <w:spacing w:after="0"/>
              <w:rPr>
                <w:sz w:val="20"/>
                <w:szCs w:val="20"/>
                <w:color w:val="auto"/>
              </w:rPr>
            </w:pPr>
            <w:r>
              <w:rPr>
                <w:rFonts w:ascii="Arial" w:cs="Arial" w:eastAsia="Arial" w:hAnsi="Arial"/>
                <w:sz w:val="18"/>
                <w:szCs w:val="18"/>
                <w:color w:val="auto"/>
                <w:w w:val="93"/>
              </w:rPr>
              <w:t>Amortization of route and customer acquisition costs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1"/>
        </w:trPr>
        <w:tc>
          <w:tcPr>
            <w:tcW w:w="4160" w:type="dxa"/>
            <w:vAlign w:val="bottom"/>
          </w:tcPr>
          <w:p>
            <w:pPr>
              <w:ind w:left="380"/>
              <w:spacing w:after="0"/>
              <w:rPr>
                <w:sz w:val="20"/>
                <w:szCs w:val="20"/>
                <w:color w:val="auto"/>
              </w:rPr>
            </w:pPr>
            <w:r>
              <w:rPr>
                <w:rFonts w:ascii="Arial" w:cs="Arial" w:eastAsia="Arial" w:hAnsi="Arial"/>
                <w:sz w:val="18"/>
                <w:szCs w:val="18"/>
                <w:color w:val="auto"/>
              </w:rPr>
              <w:t>and location contracts acquired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573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10.1 %</w:t>
            </w:r>
          </w:p>
        </w:tc>
      </w:tr>
      <w:tr>
        <w:trPr>
          <w:trHeight w:val="26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expenses, net</w:t>
            </w: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2,790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201.7 %</w:t>
            </w:r>
          </w:p>
        </w:tc>
      </w:tr>
      <w:tr>
        <w:trPr>
          <w:trHeight w:val="231"/>
        </w:trPr>
        <w:tc>
          <w:tcPr>
            <w:tcW w:w="4160" w:type="dxa"/>
            <w:vAlign w:val="bottom"/>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174,704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126,113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48,591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38.5 %</w:t>
            </w:r>
          </w:p>
        </w:tc>
      </w:tr>
      <w:tr>
        <w:trPr>
          <w:trHeight w:val="28"/>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9"/>
        </w:trPr>
        <w:tc>
          <w:tcPr>
            <w:tcW w:w="41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107.6 %</w:t>
            </w:r>
          </w:p>
        </w:tc>
      </w:tr>
    </w:tbl>
    <w:p>
      <w:pPr>
        <w:spacing w:after="0" w:line="14" w:lineRule="exact"/>
        <w:rPr>
          <w:sz w:val="20"/>
          <w:szCs w:val="20"/>
          <w:color w:val="auto"/>
        </w:rPr>
      </w:pPr>
    </w:p>
    <w:p>
      <w:pPr>
        <w:sectPr>
          <w:pgSz w:w="11900" w:h="16838" w:orient="portrait"/>
          <w:cols w:equalWidth="0" w:num="1">
            <w:col w:w="10500"/>
          </w:cols>
          <w:pgMar w:left="320" w:top="127" w:right="1079" w:bottom="1440" w:gutter="0" w:footer="0" w:header="0"/>
        </w:sectPr>
      </w:pPr>
    </w:p>
    <w:p>
      <w:pPr>
        <w:ind w:left="1160"/>
        <w:spacing w:after="0"/>
        <w:rPr>
          <w:sz w:val="20"/>
          <w:szCs w:val="20"/>
          <w:color w:val="auto"/>
        </w:rPr>
      </w:pPr>
      <w:r>
        <w:rPr>
          <w:rFonts w:ascii="Arial" w:cs="Arial" w:eastAsia="Arial" w:hAnsi="Arial"/>
          <w:sz w:val="18"/>
          <w:szCs w:val="18"/>
          <w:color w:val="auto"/>
        </w:rPr>
        <w:t>Interest expense, net</w:t>
      </w:r>
    </w:p>
    <w:p>
      <w:pPr>
        <w:spacing w:after="0" w:line="85" w:lineRule="exact"/>
        <w:rPr>
          <w:sz w:val="20"/>
          <w:szCs w:val="20"/>
          <w:color w:val="auto"/>
        </w:rPr>
      </w:pPr>
    </w:p>
    <w:p>
      <w:pPr>
        <w:ind w:left="1160" w:right="200"/>
        <w:spacing w:after="0" w:line="289" w:lineRule="auto"/>
        <w:rPr>
          <w:sz w:val="20"/>
          <w:szCs w:val="20"/>
          <w:color w:val="auto"/>
        </w:rPr>
      </w:pPr>
      <w:r>
        <w:rPr>
          <w:rFonts w:ascii="Arial" w:cs="Arial" w:eastAsia="Arial" w:hAnsi="Arial"/>
          <w:sz w:val="18"/>
          <w:szCs w:val="18"/>
          <w:color w:val="auto"/>
        </w:rPr>
        <w:t>Loss on change in fair value of contingent earnout shares Loss on change in fair value of warrants</w:t>
      </w:r>
    </w:p>
    <w:p>
      <w:pPr>
        <w:ind w:left="1600"/>
        <w:spacing w:after="0"/>
        <w:rPr>
          <w:sz w:val="20"/>
          <w:szCs w:val="20"/>
          <w:color w:val="auto"/>
        </w:rPr>
      </w:pPr>
      <w:r>
        <w:rPr>
          <w:rFonts w:ascii="Arial" w:cs="Arial" w:eastAsia="Arial" w:hAnsi="Arial"/>
          <w:sz w:val="18"/>
          <w:szCs w:val="18"/>
          <w:b w:val="1"/>
          <w:bCs w:val="1"/>
          <w:color w:val="auto"/>
        </w:rPr>
        <w:t>Income before income tax expense (benefit)</w:t>
      </w:r>
    </w:p>
    <w:p>
      <w:pPr>
        <w:spacing w:after="0" w:line="7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Income tax expense (benefit)</w:t>
      </w:r>
    </w:p>
    <w:p>
      <w:pPr>
        <w:spacing w:after="0" w:line="5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b w:val="1"/>
          <w:bCs w:val="1"/>
          <w:color w:val="auto"/>
        </w:rPr>
        <w:t>Net income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3,016</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w:t>
            </w: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6"/>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888</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3,599</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(2,711)</w:t>
            </w:r>
          </w:p>
        </w:tc>
        <w:tc>
          <w:tcPr>
            <w:tcW w:w="114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66"/>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58"/>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87"/>
              </w:rPr>
              <w:t>14,743</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14,502</w:t>
            </w:r>
          </w:p>
        </w:tc>
        <w:tc>
          <w:tcPr>
            <w:tcW w:w="1140" w:type="dxa"/>
            <w:vAlign w:val="bottom"/>
          </w:tcPr>
          <w:p>
            <w:pPr>
              <w:jc w:val="right"/>
              <w:spacing w:after="0"/>
              <w:rPr>
                <w:sz w:val="20"/>
                <w:szCs w:val="20"/>
                <w:color w:val="auto"/>
              </w:rPr>
            </w:pPr>
            <w:r>
              <w:rPr>
                <w:rFonts w:ascii="Arial" w:cs="Arial" w:eastAsia="Arial" w:hAnsi="Arial"/>
                <w:sz w:val="18"/>
                <w:szCs w:val="18"/>
                <w:color w:val="auto"/>
              </w:rPr>
              <w:t>6,017.4 %</w:t>
            </w:r>
          </w:p>
        </w:tc>
      </w:tr>
      <w:tr>
        <w:trPr>
          <w:trHeight w:val="266"/>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3,936</w:t>
            </w: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(6,594)</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10,530</w:t>
            </w:r>
          </w:p>
        </w:tc>
        <w:tc>
          <w:tcPr>
            <w:tcW w:w="1140" w:type="dxa"/>
            <w:vAlign w:val="bottom"/>
          </w:tcPr>
          <w:p>
            <w:pPr>
              <w:jc w:val="right"/>
              <w:spacing w:after="0"/>
              <w:rPr>
                <w:sz w:val="20"/>
                <w:szCs w:val="20"/>
                <w:color w:val="auto"/>
              </w:rPr>
            </w:pPr>
            <w:r>
              <w:rPr>
                <w:rFonts w:ascii="Arial" w:cs="Arial" w:eastAsia="Arial" w:hAnsi="Arial"/>
                <w:sz w:val="18"/>
                <w:szCs w:val="18"/>
                <w:color w:val="auto"/>
              </w:rPr>
              <w:t>(159.7)%</w:t>
            </w:r>
          </w:p>
        </w:tc>
      </w:tr>
      <w:tr>
        <w:trPr>
          <w:trHeight w:val="259"/>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87"/>
              </w:rPr>
              <w:t>10,807</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w:t>
            </w:r>
          </w:p>
        </w:tc>
        <w:tc>
          <w:tcPr>
            <w:tcW w:w="140" w:type="dxa"/>
            <w:vAlign w:val="bottom"/>
          </w:tcPr>
          <w:p>
            <w:pPr>
              <w:spacing w:after="0"/>
              <w:rPr>
                <w:sz w:val="22"/>
                <w:szCs w:val="22"/>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3,972</w:t>
            </w:r>
          </w:p>
        </w:tc>
        <w:tc>
          <w:tcPr>
            <w:tcW w:w="1140" w:type="dxa"/>
            <w:vAlign w:val="bottom"/>
          </w:tcPr>
          <w:p>
            <w:pPr>
              <w:jc w:val="right"/>
              <w:spacing w:after="0"/>
              <w:rPr>
                <w:sz w:val="20"/>
                <w:szCs w:val="20"/>
                <w:color w:val="auto"/>
              </w:rPr>
            </w:pPr>
            <w:r>
              <w:rPr>
                <w:rFonts w:ascii="Arial" w:cs="Arial" w:eastAsia="Arial" w:hAnsi="Arial"/>
                <w:sz w:val="18"/>
                <w:szCs w:val="18"/>
                <w:color w:val="auto"/>
              </w:rPr>
              <w:t>58.1 %</w:t>
            </w:r>
          </w:p>
        </w:tc>
      </w:tr>
      <w:tr>
        <w:trPr>
          <w:trHeight w:val="20"/>
        </w:trPr>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-893445</wp:posOffset>
            </wp:positionV>
            <wp:extent cx="5692140" cy="168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6891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-210185</wp:posOffset>
            </wp:positionV>
            <wp:extent cx="5692140" cy="2108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2140" cy="21082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-556260</wp:posOffset>
            </wp:positionV>
            <wp:extent cx="5692140" cy="177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1771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40"/>
            <w:col w:w="4660"/>
          </w:cols>
          <w:pgMar w:left="320" w:top="127" w:right="107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00"/>
          </w:cols>
          <w:pgMar w:left="320" w:top="127" w:right="107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1" w:lineRule="exact"/>
        <w:rPr>
          <w:sz w:val="20"/>
          <w:szCs w:val="20"/>
          <w:color w:val="auto"/>
        </w:rPr>
      </w:pPr>
    </w:p>
    <w:p>
      <w:pPr>
        <w:jc w:val="both"/>
        <w:ind w:firstLine="319"/>
        <w:spacing w:after="0" w:line="374" w:lineRule="auto"/>
        <w:rPr>
          <w:sz w:val="20"/>
          <w:szCs w:val="20"/>
          <w:color w:val="auto"/>
        </w:rPr>
      </w:pPr>
      <w:r>
        <w:rPr>
          <w:rFonts w:ascii="Arial" w:cs="Arial" w:eastAsia="Arial" w:hAnsi="Arial"/>
          <w:sz w:val="15"/>
          <w:szCs w:val="15"/>
          <w:color w:val="auto"/>
        </w:rPr>
        <w:t>Total revenues for the three months ended September 30, 2021 were $193.4 million, an increase of $58.3 million, or 43.1%, compared to the prior-year period. This increase was driven by an increase in net gaming revenue of $56.4 million, an increase in amusement revenue of $1.0 million, and an increase in ATM fees and other revenue of $0.9 million. The increase in net gaming revenues for the three months ended September 30, 2021 reflected an increase in gaming terminals and locations, as well as, an increase in location hold-per-day which is driven by higher bet limit software and the addition of a 6th VGT.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91"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Cost of revenue for the three months ended September 30, 2021 was $129.7 million, an increase of $39.2 million, or 43.3%, compared to the prior-year period due primarily to the increase in net gaming revenues.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8" w:lineRule="exact"/>
        <w:rPr>
          <w:sz w:val="20"/>
          <w:szCs w:val="20"/>
          <w:color w:val="auto"/>
        </w:rPr>
      </w:pPr>
    </w:p>
    <w:p>
      <w:pPr>
        <w:jc w:val="both"/>
        <w:ind w:firstLine="319"/>
        <w:spacing w:after="0" w:line="344" w:lineRule="auto"/>
        <w:rPr>
          <w:sz w:val="20"/>
          <w:szCs w:val="20"/>
          <w:color w:val="auto"/>
        </w:rPr>
      </w:pPr>
      <w:r>
        <w:rPr>
          <w:rFonts w:ascii="Arial" w:cs="Arial" w:eastAsia="Arial" w:hAnsi="Arial"/>
          <w:sz w:val="17"/>
          <w:szCs w:val="17"/>
          <w:color w:val="auto"/>
        </w:rPr>
        <w:t>General and administrative expenses for the three months ended September 30, 2021 were $28.1 million, an increase of $4.9 million, or 21.1%, compared to the prior-year period. The increase was primarily driven by higher payroll-related costs as we continued to grow our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of property and equipment</w:t>
      </w:r>
    </w:p>
    <w:p>
      <w:pPr>
        <w:spacing w:after="0" w:line="191"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Depreciation and amortization of property and equipment for the three months ended September 30, 2021 was $6.5 million, an increase of $1.2 million, or 21.6%, compared to the prior-year period due to an increased number of licensed establishments and VGTs.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route and customer acquisition costs and location contracts acquired</w:t>
      </w:r>
    </w:p>
    <w:p>
      <w:pPr>
        <w:spacing w:after="0" w:line="191" w:lineRule="exact"/>
        <w:rPr>
          <w:sz w:val="20"/>
          <w:szCs w:val="20"/>
          <w:color w:val="auto"/>
        </w:rPr>
      </w:pPr>
    </w:p>
    <w:p>
      <w:pPr>
        <w:jc w:val="both"/>
        <w:ind w:firstLine="239"/>
        <w:spacing w:after="0" w:line="422" w:lineRule="auto"/>
        <w:rPr>
          <w:sz w:val="20"/>
          <w:szCs w:val="20"/>
          <w:color w:val="auto"/>
        </w:rPr>
      </w:pPr>
      <w:r>
        <w:rPr>
          <w:rFonts w:ascii="Arial" w:cs="Arial" w:eastAsia="Arial" w:hAnsi="Arial"/>
          <w:sz w:val="15"/>
          <w:szCs w:val="15"/>
          <w:color w:val="auto"/>
        </w:rPr>
        <w:t>Amortization of route and customer acquisition costs and location contracts acquired for the three months ended September 30, 2021 was $6.2 million, an increase of $0.6 million, or 10.1%, compared to the prior-year period. The increase was primarily attributable to our business and asset acquisitions.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net</w:t>
      </w:r>
    </w:p>
    <w:p>
      <w:pPr>
        <w:spacing w:after="0" w:line="178"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Other expenses, net for the three months ended September 30, 2021 were $4.2 million, an increase of $2.8 million, or 201.7%, compared to the prior-year period. The increase was primarily attributable to larger fair value adjustments associated with the revaluation of contingent consideration liabilities due to stronger than anticipated performance from the associated business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8"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Interest expense, net for the three months ended September 30, 2021 was $3.0 million, a decrease of $0.4 million, or 12.2%, compared to the prior-year period primarily due to a decrease in average outstanding debt. For the three months ended September 30, 2021 and 2020, the weighted average interest rate was approximately 2.9%.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change in fair value of contingent earnout shares</w:t>
      </w:r>
    </w:p>
    <w:p>
      <w:pPr>
        <w:spacing w:after="0" w:line="191"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Loss on the change in fair value of contingent earnout shares for the three months ended September 30, 2021 was $0.9 million, a decrease of $2.7 million, or 75.3%, compared to the prior year which had a loss of $3.6 million. The decrease was primarily due to the change in the market value of our A-1 common stock which is the primary input to the valuation of the contingent earnout shares.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change in fair value of warrants</w:t>
      </w:r>
    </w:p>
    <w:p>
      <w:pPr>
        <w:spacing w:after="0" w:line="191" w:lineRule="exact"/>
        <w:rPr>
          <w:sz w:val="20"/>
          <w:szCs w:val="20"/>
          <w:color w:val="auto"/>
        </w:rPr>
      </w:pPr>
    </w:p>
    <w:p>
      <w:pPr>
        <w:jc w:val="both"/>
        <w:ind w:right="20" w:firstLine="319"/>
        <w:spacing w:after="0" w:line="422" w:lineRule="auto"/>
        <w:rPr>
          <w:sz w:val="20"/>
          <w:szCs w:val="20"/>
          <w:color w:val="auto"/>
        </w:rPr>
      </w:pPr>
      <w:r>
        <w:rPr>
          <w:rFonts w:ascii="Arial" w:cs="Arial" w:eastAsia="Arial" w:hAnsi="Arial"/>
          <w:sz w:val="15"/>
          <w:szCs w:val="15"/>
          <w:color w:val="auto"/>
        </w:rPr>
        <w:t>Loss on change in fair value of warrants for the three months ended September 30, 2020 was $1.7 million. In the third quarter of 2020, we redeemed substantially all of the warrants which resulted in no change to the fair value of the remaining warrants for the three months ended September 30, 2021.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78"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8"/>
          <w:szCs w:val="18"/>
          <w:color w:val="auto"/>
        </w:rPr>
        <w:t>Income tax expense for the three months ended September 30, 2021 was $3.9 million, an increase of $10.5 million, or 159.7%, compared to the prior-year period, which had an income tax benefit of $6.6 million. The effective tax rate for the three months ended September 30, 2021 was 26.7% compared to (2,736.1)% in the prior-year period. Our effective income tax rate can vary from period to period depending on, among other factors, the amount of permanent tax adjustments and discrete items. The tax benefit for the three months ended September 30, 2020, was impacted by an income tax benefit of $8 million from a change in estimate that resulted in favorable return-to-provision adjustments that were identified in the preparation of our federal and state income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Accel’s results of operations on a consolidated basis for the nine months ended September 30, 2021 and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12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%'s)</w:t>
            </w:r>
          </w:p>
        </w:tc>
        <w:tc>
          <w:tcPr>
            <w:tcW w:w="200" w:type="dxa"/>
            <w:vAlign w:val="bottom"/>
          </w:tcPr>
          <w:p>
            <w:pPr>
              <w:spacing w:after="0"/>
              <w:rPr>
                <w:sz w:val="14"/>
                <w:szCs w:val="14"/>
                <w:color w:val="auto"/>
              </w:rPr>
            </w:pPr>
          </w:p>
        </w:tc>
        <w:tc>
          <w:tcPr>
            <w:tcW w:w="228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2140" w:type="dxa"/>
            <w:vAlign w:val="bottom"/>
            <w:gridSpan w:val="3"/>
            <w:vMerge w:val="restart"/>
          </w:tcPr>
          <w:p>
            <w:pPr>
              <w:jc w:val="right"/>
              <w:ind w:right="449"/>
              <w:spacing w:after="0"/>
              <w:rPr>
                <w:sz w:val="20"/>
                <w:szCs w:val="20"/>
                <w:color w:val="auto"/>
              </w:rPr>
            </w:pPr>
            <w:r>
              <w:rPr>
                <w:rFonts w:ascii="Arial" w:cs="Arial" w:eastAsia="Arial" w:hAnsi="Arial"/>
                <w:sz w:val="14"/>
                <w:szCs w:val="14"/>
                <w:b w:val="1"/>
                <w:bCs w:val="1"/>
                <w:color w:val="auto"/>
              </w:rPr>
              <w:t>Increase / (Decrease)</w:t>
            </w:r>
          </w:p>
        </w:tc>
        <w:tc>
          <w:tcPr>
            <w:tcW w:w="1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4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Change ($)</w:t>
            </w:r>
          </w:p>
        </w:tc>
        <w:tc>
          <w:tcPr>
            <w:tcW w:w="120" w:type="dxa"/>
            <w:vAlign w:val="bottom"/>
          </w:tcPr>
          <w:p>
            <w:pPr>
              <w:spacing w:after="0"/>
              <w:rPr>
                <w:sz w:val="15"/>
                <w:szCs w:val="15"/>
                <w:color w:val="auto"/>
              </w:rPr>
            </w:pPr>
          </w:p>
        </w:tc>
        <w:tc>
          <w:tcPr>
            <w:tcW w:w="2260" w:type="dxa"/>
            <w:vAlign w:val="bottom"/>
            <w:gridSpan w:val="2"/>
          </w:tcPr>
          <w:p>
            <w:pPr>
              <w:jc w:val="right"/>
              <w:ind w:right="1283"/>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 Restated)</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Net gaming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520,915</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231,210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289,705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125.3 %</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114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Amusement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101.5 %</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ATM fees and other revenue</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98.5 %</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2"/>
                <w:szCs w:val="22"/>
                <w:color w:val="auto"/>
              </w:rPr>
            </w:pP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542,394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241,939</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300,455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124.2 %</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140" w:type="dxa"/>
            <w:vAlign w:val="bottom"/>
          </w:tcPr>
          <w:p>
            <w:pPr>
              <w:spacing w:after="0"/>
              <w:rPr>
                <w:sz w:val="19"/>
                <w:szCs w:val="19"/>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 (exclusive of depreciation and</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140" w:type="dxa"/>
            <w:vAlign w:val="bottom"/>
          </w:tcPr>
          <w:p>
            <w:pPr>
              <w:spacing w:after="0"/>
              <w:rPr>
                <w:sz w:val="21"/>
                <w:szCs w:val="21"/>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expense shown below)</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364,402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202,607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125.2 %</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78,641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55,061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23,580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42.8 %</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 of property and</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140" w:type="dxa"/>
            <w:vAlign w:val="bottom"/>
          </w:tcPr>
          <w:p>
            <w:pPr>
              <w:spacing w:after="0"/>
              <w:rPr>
                <w:sz w:val="21"/>
                <w:szCs w:val="21"/>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w w:val="92"/>
              </w:rPr>
              <w:t>Amortization of route and customer acquisition costs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140" w:type="dxa"/>
            <w:vAlign w:val="bottom"/>
          </w:tcPr>
          <w:p>
            <w:pPr>
              <w:spacing w:after="0"/>
              <w:rPr>
                <w:sz w:val="21"/>
                <w:szCs w:val="21"/>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and location contracts acquired</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18,489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16,778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3"/>
                <w:szCs w:val="23"/>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expenses, net</w:t>
            </w: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55.8 %</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rPr>
                <w:sz w:val="20"/>
                <w:szCs w:val="20"/>
                <w:color w:val="auto"/>
              </w:rPr>
            </w:pPr>
          </w:p>
        </w:tc>
        <w:tc>
          <w:tcPr>
            <w:tcW w:w="4120" w:type="dxa"/>
            <w:vAlign w:val="bottom"/>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489,265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254,652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234,613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92.1 %</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2"/>
                <w:szCs w:val="22"/>
                <w:color w:val="auto"/>
              </w:rPr>
            </w:pPr>
          </w:p>
        </w:tc>
        <w:tc>
          <w:tcPr>
            <w:tcW w:w="41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9,736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10,172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41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Loss (gain) on change in fair value of contingent earnout</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Gain on change in fair value of warrants</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ind w:left="460"/>
              <w:spacing w:after="0" w:line="201" w:lineRule="exact"/>
              <w:rPr>
                <w:sz w:val="20"/>
                <w:szCs w:val="20"/>
                <w:color w:val="auto"/>
              </w:rPr>
            </w:pPr>
            <w:r>
              <w:rPr>
                <w:rFonts w:ascii="Arial" w:cs="Arial" w:eastAsia="Arial" w:hAnsi="Arial"/>
                <w:sz w:val="18"/>
                <w:szCs w:val="18"/>
                <w:b w:val="1"/>
                <w:bCs w:val="1"/>
                <w:color w:val="auto"/>
              </w:rPr>
              <w:t>Income (loss) before income tax expense</w:t>
            </w: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41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(benefit)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(1,093.1)%</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11,773</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(11,788)</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23,561</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(199.9)%</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140" w:type="dxa"/>
            <w:vAlign w:val="bottom"/>
          </w:tcPr>
          <w:p>
            <w:pPr>
              <w:spacing w:after="0"/>
              <w:rPr>
                <w:sz w:val="24"/>
                <w:szCs w:val="24"/>
                <w:color w:val="auto"/>
              </w:rPr>
            </w:pP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24,753</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205.2 %</w:t>
            </w:r>
          </w:p>
        </w:tc>
        <w:tc>
          <w:tcPr>
            <w:tcW w:w="1200" w:type="dxa"/>
            <w:vAlign w:val="bottom"/>
            <w:vMerge w:val="restart"/>
          </w:tcPr>
          <w:p>
            <w:pPr>
              <w:jc w:val="right"/>
              <w:ind w:right="1063"/>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11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restart"/>
          </w:tcPr>
          <w:p>
            <w:pPr>
              <w:jc w:val="right"/>
              <w:ind w:right="534"/>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0"/>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1" w:lineRule="exact"/>
        <w:rPr>
          <w:sz w:val="20"/>
          <w:szCs w:val="20"/>
          <w:color w:val="auto"/>
        </w:rPr>
      </w:pPr>
    </w:p>
    <w:p>
      <w:pPr>
        <w:jc w:val="both"/>
        <w:ind w:firstLine="319"/>
        <w:spacing w:after="0" w:line="295" w:lineRule="auto"/>
        <w:rPr>
          <w:sz w:val="20"/>
          <w:szCs w:val="20"/>
          <w:color w:val="auto"/>
        </w:rPr>
      </w:pPr>
      <w:r>
        <w:rPr>
          <w:rFonts w:ascii="Arial" w:cs="Arial" w:eastAsia="Arial" w:hAnsi="Arial"/>
          <w:sz w:val="18"/>
          <w:szCs w:val="18"/>
          <w:color w:val="auto"/>
        </w:rPr>
        <w:t>Total revenues for the nine months ended September 30, 2021 were $542.4 million, an increase of $300.5 million, or 124.2%, compared to the prior-year period. This increase was driven by an increase in net gaming revenue of $289.7 million, or 125.3%, an increase in amusement revenue of $6.2 million, or 101.5%, and an increase in ATM fees and other revenue of $4.5 million, or 98.5%. Increase in net gaming revenue was attributable to the IGB-mandated shutdown of Illinois video gaming due to the COVID-19 outbreak, which impacted 106 of the 274 gaming days (or 39% of gaming days) during the nine months ended September 30, 2020. The increase in net gaming revenues for the nine months ended September 30, 2021, also reflected an increase in gaming terminals and locations, as well as an increase in location hold-per-day, which was driven by higher bet limit software, the addition of a 6th VGT and higher demand.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91"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Cost of revenue for the nine months ended September 30, 2021 was $364.4 million, an increase of $202.6 million, or 125.2%, compared to the prior-year period due primarily to the previously mentioned IGB-mandated shutdown of Illinois video gaming due to the COVID-19 outbreak and an increase in the Illinois gaming tax from 33% to 34% on July 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8"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General and administrative expenses for the nine months ended September 30, 2021 were $78.6 million, an increase of $23.6 million, or 42.8%, compared to the prior-year period. The increase was attributable to a reduction in our prior year monthly expenses during the previously mentioned IGB-mandated shutdown. General and administrative expenses for the nine months ended September 30, 2021 also reflected higher payroll-related costs as we continued to grow our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of property and equipment</w:t>
      </w:r>
    </w:p>
    <w:p>
      <w:pPr>
        <w:spacing w:after="0" w:line="191"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Depreciation and amortization of property and equipment for the nine months ended September 30, 2021 was $18.8 million, an increase of $3.5 million, or 23.0%, compared to the prior-year period due to an increased number of licensed establishments and VGTs.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route and customer acquisition costs and location contracts acquired</w:t>
      </w:r>
    </w:p>
    <w:p>
      <w:pPr>
        <w:spacing w:after="0" w:line="191" w:lineRule="exact"/>
        <w:rPr>
          <w:sz w:val="20"/>
          <w:szCs w:val="20"/>
          <w:color w:val="auto"/>
        </w:rPr>
      </w:pPr>
    </w:p>
    <w:p>
      <w:pPr>
        <w:jc w:val="both"/>
        <w:ind w:firstLine="239"/>
        <w:spacing w:after="0" w:line="422" w:lineRule="auto"/>
        <w:rPr>
          <w:sz w:val="20"/>
          <w:szCs w:val="20"/>
          <w:color w:val="auto"/>
        </w:rPr>
      </w:pPr>
      <w:r>
        <w:rPr>
          <w:rFonts w:ascii="Arial" w:cs="Arial" w:eastAsia="Arial" w:hAnsi="Arial"/>
          <w:sz w:val="15"/>
          <w:szCs w:val="15"/>
          <w:color w:val="auto"/>
        </w:rPr>
        <w:t>Amortization of route and customer acquisition costs and location contracts acquired for the nine months ended September 30, 2021 was $18.5 million, an increase of $1.7 million, or 10.2%, compared to the prior-year period. The increase was primarily attributable to our business and asset acquisitions.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net</w:t>
      </w:r>
    </w:p>
    <w:p>
      <w:pPr>
        <w:spacing w:after="0" w:line="178" w:lineRule="exact"/>
        <w:rPr>
          <w:sz w:val="20"/>
          <w:szCs w:val="20"/>
          <w:color w:val="auto"/>
        </w:rPr>
      </w:pPr>
    </w:p>
    <w:p>
      <w:pPr>
        <w:jc w:val="both"/>
        <w:ind w:firstLine="319"/>
        <w:spacing w:after="0" w:line="297" w:lineRule="auto"/>
        <w:rPr>
          <w:sz w:val="20"/>
          <w:szCs w:val="20"/>
          <w:color w:val="auto"/>
        </w:rPr>
      </w:pPr>
      <w:r>
        <w:rPr>
          <w:rFonts w:ascii="Arial" w:cs="Arial" w:eastAsia="Arial" w:hAnsi="Arial"/>
          <w:sz w:val="18"/>
          <w:szCs w:val="18"/>
          <w:color w:val="auto"/>
        </w:rPr>
        <w:t>Other expenses, net for the nine months ended September 30, 2021 were $8.9 million, an increase of $3.2 million, or 55.8%, compared to the prior-year period due to larger fair value adjustments associated with the revaluation of contingent consideration liabilities due to stronger than anticipated performance from the associated business acquisitions, partially offset by lower non-recurring, one-time expenses attributable to non-capitalizable public offering costs incurred in the first quarter of 2020 and costs incurred in the second quarter of 2020 to provide benefits (e.g. employee portion of health insurance premiums) for furloughed employees during the IGB-mandated shutdown.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8"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Interest expense, net for the nine months ended September 30, 2021 was $9.7 million, a decrease of $0.4 million, or 4.3%, compared to the prior-year period primarily due to a decrease in average outstanding debt. The weighted average interest rate was approximately 3.2% for both the nine months ended September 30, 2021 and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change in fair value of contingent earnout shares</w:t>
      </w:r>
    </w:p>
    <w:p>
      <w:pPr>
        <w:spacing w:after="0" w:line="191"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Loss on the change in fair value of contingent earnout shares for the nine months ended September 30, 2021 was $6.9 million, an increase of $13.5 million, or 203.5%, compared to the prior-year period, which had a gain of $6.6 million. The increase was primarily due to the change in the market value of our A-1 common stock, which was the primary input to the valuation of the contingent earnout shares.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change in fair value of warrants</w:t>
      </w:r>
    </w:p>
    <w:p>
      <w:pPr>
        <w:spacing w:after="0" w:line="191" w:lineRule="exact"/>
        <w:rPr>
          <w:sz w:val="20"/>
          <w:szCs w:val="20"/>
          <w:color w:val="auto"/>
        </w:rPr>
      </w:pPr>
    </w:p>
    <w:p>
      <w:pPr>
        <w:jc w:val="both"/>
        <w:ind w:firstLine="319"/>
        <w:spacing w:after="0" w:line="422" w:lineRule="auto"/>
        <w:rPr>
          <w:sz w:val="20"/>
          <w:szCs w:val="20"/>
          <w:color w:val="auto"/>
        </w:rPr>
      </w:pPr>
      <w:r>
        <w:rPr>
          <w:rFonts w:ascii="Arial" w:cs="Arial" w:eastAsia="Arial" w:hAnsi="Arial"/>
          <w:sz w:val="15"/>
          <w:szCs w:val="15"/>
          <w:color w:val="auto"/>
        </w:rPr>
        <w:t>Gain on change in fair value of warrants for the nine months ended September 30, 2020 was $12.6 million. In the third quarter of 2020, we redeemed substantially all of the warrants which resulted in no change to the fair value of the remaining warrants for the nine months ended September 30, 2021.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78" w:lineRule="exact"/>
        <w:rPr>
          <w:sz w:val="20"/>
          <w:szCs w:val="20"/>
          <w:color w:val="auto"/>
        </w:rPr>
      </w:pPr>
    </w:p>
    <w:p>
      <w:pPr>
        <w:jc w:val="both"/>
        <w:ind w:firstLine="319"/>
        <w:spacing w:after="0" w:line="368" w:lineRule="auto"/>
        <w:rPr>
          <w:sz w:val="20"/>
          <w:szCs w:val="20"/>
          <w:color w:val="auto"/>
        </w:rPr>
      </w:pPr>
      <w:r>
        <w:rPr>
          <w:rFonts w:ascii="Arial" w:cs="Arial" w:eastAsia="Arial" w:hAnsi="Arial"/>
          <w:sz w:val="15"/>
          <w:szCs w:val="15"/>
          <w:color w:val="auto"/>
        </w:rPr>
        <w:t>Income tax expense for the nine months ended September 30, 2021 was $11.8 million, an increase of $23.6 million, or 199.9%, compared to the prior-year period, which had an income tax benefit of $11.8 million. The effective tax rate for the nine months ended September 30, 2021 was 32.2% compared to 320.5% in the prior year period. Our effective income tax rate can vary from period to period depending on, among other factors, the amount of permanent tax adjustments and discrete items. The tax benefit for the nine months ended September 30, 2020 was impacted by an income tax benefit of $8 million from a change in estimate that resulted in favorable return-to-provision adjustments that were identified in the preparation of our federal and state income tax returns.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84" w:lineRule="exact"/>
        <w:rPr>
          <w:sz w:val="20"/>
          <w:szCs w:val="20"/>
          <w:color w:val="auto"/>
        </w:rPr>
      </w:pPr>
    </w:p>
    <w:p>
      <w:pPr>
        <w:jc w:val="both"/>
        <w:ind w:firstLine="319"/>
        <w:spacing w:after="0" w:line="386" w:lineRule="auto"/>
        <w:rPr>
          <w:sz w:val="20"/>
          <w:szCs w:val="20"/>
          <w:color w:val="auto"/>
        </w:rPr>
      </w:pPr>
      <w:r>
        <w:rPr>
          <w:rFonts w:ascii="Arial" w:cs="Arial" w:eastAsia="Arial" w:hAnsi="Arial"/>
          <w:sz w:val="15"/>
          <w:szCs w:val="15"/>
          <w:color w:val="auto"/>
        </w:rPr>
        <w:t>Accel uses a variety of statistical data and comparative information commonly used in the gaming industry to monitor the performance of the business, none of which are prepared in accordance with GAAP, and therefore should not be viewed as indicators of operational performance. Accel’s management uses this information for financial planning, strategic planning and employee compensation decisions. The key indicators include:</w:t>
      </w:r>
    </w:p>
    <w:p>
      <w:pPr>
        <w:spacing w:after="0" w:line="71" w:lineRule="exact"/>
        <w:rPr>
          <w:sz w:val="20"/>
          <w:szCs w:val="20"/>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licensed establishments;</w:t>
      </w:r>
    </w:p>
    <w:p>
      <w:pPr>
        <w:spacing w:after="0" w:line="178"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VGTs;</w:t>
      </w:r>
    </w:p>
    <w:p>
      <w:pPr>
        <w:spacing w:after="0" w:line="191"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remaining contract term (years); and</w:t>
      </w:r>
    </w:p>
    <w:p>
      <w:pPr>
        <w:spacing w:after="0" w:line="191"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Location hold-per-day.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licensed establishments</w:t>
      </w:r>
    </w:p>
    <w:p>
      <w:pPr>
        <w:spacing w:after="0" w:line="165" w:lineRule="exact"/>
        <w:rPr>
          <w:sz w:val="20"/>
          <w:szCs w:val="20"/>
          <w:color w:val="auto"/>
        </w:rPr>
      </w:pPr>
    </w:p>
    <w:p>
      <w:pPr>
        <w:jc w:val="both"/>
        <w:ind w:firstLine="319"/>
        <w:spacing w:after="0" w:line="321" w:lineRule="auto"/>
        <w:rPr>
          <w:sz w:val="20"/>
          <w:szCs w:val="20"/>
          <w:color w:val="auto"/>
        </w:rPr>
      </w:pPr>
      <w:r>
        <w:rPr>
          <w:rFonts w:ascii="Arial" w:cs="Arial" w:eastAsia="Arial" w:hAnsi="Arial"/>
          <w:sz w:val="17"/>
          <w:szCs w:val="17"/>
          <w:color w:val="auto"/>
        </w:rPr>
        <w:t>The number of licensed establishments is calculated based on data provided by Scientific Games, a contractor of the IGB. Terminal operator portal data is updated at the end of each gaming day and includes licensed establishments that may be temporarily closed but still connected to the central system. Accel utilizes this metric to continually monitor growth from organic openings, purchased licensed establishments, and competitor conversions. Competitor conversions occur when a licensed establishment chooses to change terminal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video game terminals (VGTs)</w:t>
      </w:r>
    </w:p>
    <w:p>
      <w:pPr>
        <w:spacing w:after="0" w:line="178"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The number of VGTs in operation is based on Scientific Games terminal operator portal data which is updated at the end of each gaming day and includes VGTs that may be temporarily shut off but still connected to the central system. Accel utilizes this metric to continually monitor growth from existing licensed establishments, organic openings, purchased licensed establishments, and competitor conversions.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remaining contract term</w:t>
      </w:r>
    </w:p>
    <w:p>
      <w:pPr>
        <w:spacing w:after="0" w:line="165"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Average remaining contract term is calculated by determining the average expiration date of all outstanding contracts with Accel’s current licensed establishment partners, and then subtracting the applicable measurement date. The IGB limited the length of contracts entered into after February 2, 2018 to a maximum of eight years with no automatic renewals.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Location hold-per-day</w:t>
      </w:r>
    </w:p>
    <w:p>
      <w:pPr>
        <w:spacing w:after="0" w:line="178"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Location hold-per-day is calculated by dividing the difference between cash deposited in all VGTs at each licensed establishment and tickets issued to players at each licensed establishment by the number of locations in operation each day during the period being measured. Then divide the calculated amount by the number of operating days in such period.</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information with respect to Accel’s licensed establishments, number of VGTs, and average remaining contract term as of</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September 30, respectively:</w:t>
      </w:r>
    </w:p>
    <w:p>
      <w:pPr>
        <w:spacing w:after="0" w:line="141"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400" w:type="dxa"/>
            <w:vAlign w:val="bottom"/>
            <w:gridSpan w:val="4"/>
          </w:tcPr>
          <w:p>
            <w:pPr>
              <w:ind w:left="520"/>
              <w:spacing w:after="0"/>
              <w:rPr>
                <w:sz w:val="20"/>
                <w:szCs w:val="20"/>
                <w:color w:val="auto"/>
              </w:rPr>
            </w:pPr>
            <w:r>
              <w:rPr>
                <w:rFonts w:ascii="Arial" w:cs="Arial" w:eastAsia="Arial" w:hAnsi="Arial"/>
                <w:sz w:val="14"/>
                <w:szCs w:val="14"/>
                <w:b w:val="1"/>
                <w:bCs w:val="1"/>
                <w:color w:val="auto"/>
              </w:rPr>
              <w:t>As of September 30,</w:t>
            </w:r>
          </w:p>
        </w:tc>
        <w:tc>
          <w:tcPr>
            <w:tcW w:w="238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Increase / (Decrease)</w:t>
            </w:r>
          </w:p>
        </w:tc>
      </w:tr>
      <w:tr>
        <w:trPr>
          <w:trHeight w:val="24"/>
        </w:trPr>
        <w:tc>
          <w:tcPr>
            <w:tcW w:w="44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440" w:type="dxa"/>
            <w:vAlign w:val="bottom"/>
          </w:tcPr>
          <w:p>
            <w:pPr>
              <w:spacing w:after="0"/>
              <w:rPr>
                <w:sz w:val="15"/>
                <w:szCs w:val="15"/>
                <w:color w:val="auto"/>
              </w:rPr>
            </w:pPr>
          </w:p>
        </w:tc>
        <w:tc>
          <w:tcPr>
            <w:tcW w:w="1060" w:type="dxa"/>
            <w:vAlign w:val="bottom"/>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1080" w:type="dxa"/>
            <w:vAlign w:val="bottom"/>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 $</w:t>
            </w: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rPr>
              <w:t>Change %</w:t>
            </w:r>
          </w:p>
        </w:tc>
      </w:tr>
      <w:tr>
        <w:trPr>
          <w:trHeight w:val="24"/>
        </w:trPr>
        <w:tc>
          <w:tcPr>
            <w:tcW w:w="44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9"/>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Licensed establishments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38"/>
        </w:trPr>
        <w:tc>
          <w:tcPr>
            <w:tcW w:w="4440" w:type="dxa"/>
            <w:vAlign w:val="bottom"/>
          </w:tcPr>
          <w:p>
            <w:pPr>
              <w:spacing w:after="0"/>
              <w:rPr>
                <w:sz w:val="20"/>
                <w:szCs w:val="20"/>
                <w:color w:val="auto"/>
              </w:rPr>
            </w:pPr>
            <w:r>
              <w:rPr>
                <w:rFonts w:ascii="Arial" w:cs="Arial" w:eastAsia="Arial" w:hAnsi="Arial"/>
                <w:sz w:val="18"/>
                <w:szCs w:val="18"/>
                <w:color w:val="auto"/>
              </w:rPr>
              <w:t>Video gaming terminals</w:t>
            </w:r>
          </w:p>
        </w:tc>
        <w:tc>
          <w:tcPr>
            <w:tcW w:w="1060" w:type="dxa"/>
            <w:vAlign w:val="bottom"/>
          </w:tcPr>
          <w:p>
            <w:pPr>
              <w:jc w:val="right"/>
              <w:spacing w:after="0"/>
              <w:rPr>
                <w:sz w:val="20"/>
                <w:szCs w:val="20"/>
                <w:color w:val="auto"/>
              </w:rPr>
            </w:pPr>
            <w:r>
              <w:rPr>
                <w:rFonts w:ascii="Arial" w:cs="Arial" w:eastAsia="Arial" w:hAnsi="Arial"/>
                <w:sz w:val="18"/>
                <w:szCs w:val="18"/>
                <w:color w:val="auto"/>
              </w:rPr>
              <w:t>13,384</w:t>
            </w:r>
          </w:p>
        </w:tc>
        <w:tc>
          <w:tcPr>
            <w:tcW w:w="14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11,597</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8"/>
        </w:trPr>
        <w:tc>
          <w:tcPr>
            <w:tcW w:w="4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Average remaining contract term (years)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8"/>
        </w:trPr>
        <w:tc>
          <w:tcPr>
            <w:tcW w:w="44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information with respect to Accel’s location hold-per-day for the three and nine months ended September 30, respectively:</w:t>
      </w:r>
    </w:p>
    <w:p>
      <w:pPr>
        <w:spacing w:after="0" w:line="176"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48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3"/>
          </w:tcPr>
          <w:p>
            <w:pPr>
              <w:jc w:val="right"/>
              <w:ind w:right="497"/>
              <w:spacing w:after="0"/>
              <w:rPr>
                <w:sz w:val="20"/>
                <w:szCs w:val="20"/>
                <w:color w:val="auto"/>
              </w:rPr>
            </w:pPr>
            <w:r>
              <w:rPr>
                <w:rFonts w:ascii="Arial" w:cs="Arial" w:eastAsia="Arial" w:hAnsi="Arial"/>
                <w:sz w:val="14"/>
                <w:szCs w:val="14"/>
                <w:b w:val="1"/>
                <w:bCs w:val="1"/>
                <w:color w:val="auto"/>
              </w:rPr>
              <w:t>Increase / (Decrease)</w:t>
            </w:r>
          </w:p>
        </w:tc>
      </w:tr>
      <w:tr>
        <w:trPr>
          <w:trHeight w:val="24"/>
        </w:trPr>
        <w:tc>
          <w:tcPr>
            <w:tcW w:w="4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337"/>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 $</w:t>
            </w: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rPr>
              <w:t>Change %</w:t>
            </w:r>
          </w:p>
        </w:tc>
      </w:tr>
      <w:tr>
        <w:trPr>
          <w:trHeight w:val="24"/>
        </w:trPr>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9"/>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Location hold-per-day - for the three months ended</w:t>
            </w: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33.9 %</w:t>
            </w:r>
          </w:p>
        </w:tc>
      </w:tr>
      <w:tr>
        <w:trPr>
          <w:trHeight w:val="321"/>
        </w:trPr>
        <w:tc>
          <w:tcPr>
            <w:tcW w:w="4320" w:type="dxa"/>
            <w:vAlign w:val="bottom"/>
          </w:tcPr>
          <w:p>
            <w:pPr>
              <w:spacing w:after="0"/>
              <w:rPr>
                <w:sz w:val="20"/>
                <w:szCs w:val="20"/>
                <w:color w:val="auto"/>
              </w:rPr>
            </w:pPr>
            <w:r>
              <w:rPr>
                <w:rFonts w:ascii="Arial" w:cs="Arial" w:eastAsia="Arial" w:hAnsi="Arial"/>
                <w:sz w:val="18"/>
                <w:szCs w:val="18"/>
                <w:color w:val="auto"/>
              </w:rPr>
              <w:t xml:space="preserve">Location hold-per-day - for the nine months ended </w:t>
            </w:r>
            <w:r>
              <w:rPr>
                <w:rFonts w:ascii="Arial" w:cs="Arial" w:eastAsia="Arial" w:hAnsi="Arial"/>
                <w:sz w:val="23"/>
                <w:szCs w:val="23"/>
                <w:color w:val="auto"/>
                <w:vertAlign w:val="superscript"/>
              </w:rPr>
              <w:t>(1)</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500"/>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4"/>
                <w:szCs w:val="24"/>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39.3 %</w:t>
            </w:r>
          </w:p>
        </w:tc>
      </w:tr>
    </w:tbl>
    <w:p>
      <w:pPr>
        <w:spacing w:after="0" w:line="19" w:lineRule="exact"/>
        <w:rPr>
          <w:sz w:val="20"/>
          <w:szCs w:val="20"/>
          <w:color w:val="auto"/>
        </w:rPr>
      </w:pPr>
    </w:p>
    <w:p>
      <w:pPr>
        <w:ind w:left="640" w:right="200" w:firstLine="4"/>
        <w:spacing w:after="0" w:line="251" w:lineRule="auto"/>
        <w:tabs>
          <w:tab w:leader="none" w:pos="84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Location hold-per-day for the nine months ended September 30, 2021 is computed based on 255-eligible days of gaming (excludes 18 non-gaming days due to the IGB mandated COVID-19 shutdown). Location hold-per-day for the nine months ended September 30, 2020 is computed based on 168-eligible days of gaming (excludes 106 non-gaming days due to the IGB mandated COVID-19 shutdown)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7" w:lineRule="exact"/>
        <w:rPr>
          <w:sz w:val="20"/>
          <w:szCs w:val="20"/>
          <w:color w:val="auto"/>
        </w:rPr>
      </w:pPr>
    </w:p>
    <w:p>
      <w:pPr>
        <w:jc w:val="both"/>
        <w:ind w:firstLine="319"/>
        <w:spacing w:after="0" w:line="316" w:lineRule="auto"/>
        <w:rPr>
          <w:sz w:val="20"/>
          <w:szCs w:val="20"/>
          <w:color w:val="auto"/>
        </w:rPr>
      </w:pPr>
      <w:r>
        <w:rPr>
          <w:rFonts w:ascii="Arial" w:cs="Arial" w:eastAsia="Arial" w:hAnsi="Arial"/>
          <w:sz w:val="17"/>
          <w:szCs w:val="17"/>
          <w:color w:val="auto"/>
        </w:rPr>
        <w:t>Adjusted EBITDA and Adjusted net income are non-GAAP financial measures and are key metrics used to monitor ongoing core operations. Management of Accel believes Adjusted EBITDA and Adjusted net income enhance the understanding of Accel’s underlying drivers of profitability and trends in Accel’s business and facilitate company-to-company and period-to-period comparisons, because these non-GAAP financial measures exclude the effects of certain non-cash items or represent certain nonrecurring items that are unrelated to core performance. Management of Accel also believe that these non-GAAP financial measures are used by investors, analysts and other interested parties as measures of financial performance and to evaluate Accel’s ability to fund capital expenditures, service debt obligations and meet working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Adjusted net income and Adjusted EBITDA</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41"/>
        </w:trPr>
        <w:tc>
          <w:tcPr>
            <w:tcW w:w="10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311"/>
              <w:spacing w:after="0"/>
              <w:rPr>
                <w:sz w:val="20"/>
                <w:szCs w:val="20"/>
                <w:color w:val="auto"/>
              </w:rPr>
            </w:pPr>
            <w:r>
              <w:rPr>
                <w:rFonts w:ascii="Arial" w:cs="Arial" w:eastAsia="Arial" w:hAnsi="Arial"/>
                <w:sz w:val="18"/>
                <w:szCs w:val="18"/>
                <w:b w:val="1"/>
                <w:bCs w:val="1"/>
                <w:color w:val="auto"/>
                <w:w w:val="98"/>
              </w:rPr>
              <w:t>Nine Months Ended</w:t>
            </w:r>
          </w:p>
        </w:tc>
      </w:tr>
      <w:tr>
        <w:trPr>
          <w:trHeight w:val="233"/>
        </w:trPr>
        <w:tc>
          <w:tcPr>
            <w:tcW w:w="104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20"/>
                <w:szCs w:val="20"/>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20"/>
                <w:szCs w:val="20"/>
                <w:color w:val="auto"/>
              </w:rPr>
            </w:pPr>
          </w:p>
        </w:tc>
        <w:tc>
          <w:tcPr>
            <w:tcW w:w="2080" w:type="dxa"/>
            <w:vAlign w:val="bottom"/>
            <w:gridSpan w:val="4"/>
          </w:tcPr>
          <w:p>
            <w:pPr>
              <w:jc w:val="right"/>
              <w:ind w:right="531"/>
              <w:spacing w:after="0"/>
              <w:rPr>
                <w:sz w:val="20"/>
                <w:szCs w:val="20"/>
                <w:color w:val="auto"/>
              </w:rPr>
            </w:pPr>
            <w:r>
              <w:rPr>
                <w:rFonts w:ascii="Arial" w:cs="Arial" w:eastAsia="Arial" w:hAnsi="Arial"/>
                <w:sz w:val="18"/>
                <w:szCs w:val="18"/>
                <w:b w:val="1"/>
                <w:bCs w:val="1"/>
                <w:color w:val="auto"/>
              </w:rPr>
              <w:t>September 30,</w:t>
            </w:r>
          </w:p>
        </w:tc>
      </w:tr>
      <w:tr>
        <w:trPr>
          <w:trHeight w:val="24"/>
        </w:trPr>
        <w:tc>
          <w:tcPr>
            <w:tcW w:w="10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2"/>
        </w:trPr>
        <w:tc>
          <w:tcPr>
            <w:tcW w:w="10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r>
      <w:tr>
        <w:trPr>
          <w:trHeight w:val="214"/>
        </w:trPr>
        <w:tc>
          <w:tcPr>
            <w:tcW w:w="10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(As Restated)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1"/>
              <w:spacing w:after="0"/>
              <w:rPr>
                <w:sz w:val="20"/>
                <w:szCs w:val="20"/>
                <w:color w:val="auto"/>
              </w:rPr>
            </w:pPr>
            <w:r>
              <w:rPr>
                <w:rFonts w:ascii="Arial" w:cs="Arial" w:eastAsia="Arial" w:hAnsi="Arial"/>
                <w:sz w:val="16"/>
                <w:szCs w:val="16"/>
                <w:b w:val="1"/>
                <w:bCs w:val="1"/>
                <w:color w:val="auto"/>
                <w:w w:val="93"/>
              </w:rPr>
              <w:t>(As Restated)</w:t>
            </w:r>
          </w:p>
        </w:tc>
      </w:tr>
      <w:tr>
        <w:trPr>
          <w:trHeight w:val="32"/>
        </w:trPr>
        <w:tc>
          <w:tcPr>
            <w:tcW w:w="10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6"/>
        </w:trPr>
        <w:tc>
          <w:tcPr>
            <w:tcW w:w="1040" w:type="dxa"/>
            <w:vAlign w:val="bottom"/>
          </w:tcPr>
          <w:p>
            <w:pPr>
              <w:spacing w:after="0"/>
              <w:rPr>
                <w:sz w:val="23"/>
                <w:szCs w:val="23"/>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10,807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6,835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24,753</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8,110</w:t>
            </w:r>
          </w:p>
        </w:tc>
      </w:tr>
      <w:tr>
        <w:trPr>
          <w:trHeight w:val="238"/>
        </w:trPr>
        <w:tc>
          <w:tcPr>
            <w:tcW w:w="104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8"/>
        </w:trPr>
        <w:tc>
          <w:tcPr>
            <w:tcW w:w="10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7"/>
        </w:trPr>
        <w:tc>
          <w:tcPr>
            <w:tcW w:w="104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Amortization of route and customer acquisition costs and</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1"/>
        </w:trPr>
        <w:tc>
          <w:tcPr>
            <w:tcW w:w="1040" w:type="dxa"/>
            <w:vAlign w:val="bottom"/>
          </w:tcPr>
          <w:p>
            <w:pPr>
              <w:spacing w:after="0"/>
              <w:rPr>
                <w:sz w:val="21"/>
                <w:szCs w:val="21"/>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location contracts acquired </w:t>
            </w:r>
            <w:r>
              <w:rPr>
                <w:rFonts w:ascii="Arial" w:cs="Arial" w:eastAsia="Arial" w:hAnsi="Arial"/>
                <w:sz w:val="9"/>
                <w:szCs w:val="9"/>
                <w:color w:val="auto"/>
              </w:rPr>
              <w:t>(1)</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5,648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18,489</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16,778</w:t>
            </w:r>
          </w:p>
        </w:tc>
      </w:tr>
      <w:tr>
        <w:trPr>
          <w:trHeight w:val="238"/>
        </w:trPr>
        <w:tc>
          <w:tcPr>
            <w:tcW w:w="104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9"/>
                <w:szCs w:val="9"/>
                <w:color w:val="auto"/>
              </w:rPr>
              <w:t>(2)</w:t>
            </w:r>
          </w:p>
        </w:tc>
        <w:tc>
          <w:tcPr>
            <w:tcW w:w="2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4,707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4,055</w:t>
            </w:r>
          </w:p>
        </w:tc>
      </w:tr>
      <w:tr>
        <w:trPr>
          <w:trHeight w:val="28"/>
        </w:trPr>
        <w:tc>
          <w:tcPr>
            <w:tcW w:w="10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7"/>
        </w:trPr>
        <w:tc>
          <w:tcPr>
            <w:tcW w:w="104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Loss (gain) on change in fair value of contingent earnout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1"/>
        </w:trPr>
        <w:tc>
          <w:tcPr>
            <w:tcW w:w="1040" w:type="dxa"/>
            <w:vAlign w:val="bottom"/>
          </w:tcPr>
          <w:p>
            <w:pPr>
              <w:spacing w:after="0"/>
              <w:rPr>
                <w:sz w:val="20"/>
                <w:szCs w:val="20"/>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9"/>
                <w:szCs w:val="9"/>
                <w:color w:val="auto"/>
              </w:rPr>
              <w:t>(3)</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6,867</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(6,633)</w:t>
            </w:r>
          </w:p>
        </w:tc>
      </w:tr>
      <w:tr>
        <w:trPr>
          <w:trHeight w:val="265"/>
        </w:trPr>
        <w:tc>
          <w:tcPr>
            <w:tcW w:w="104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Loss (gain) on change in fair value of warrants</w:t>
            </w:r>
            <w:r>
              <w:rPr>
                <w:rFonts w:ascii="Arial" w:cs="Arial" w:eastAsia="Arial" w:hAnsi="Arial"/>
                <w:sz w:val="9"/>
                <w:szCs w:val="9"/>
                <w:color w:val="auto"/>
              </w:rPr>
              <w:t>(4)</w:t>
            </w:r>
          </w:p>
        </w:tc>
        <w:tc>
          <w:tcPr>
            <w:tcW w:w="2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(12,574)</w:t>
            </w:r>
          </w:p>
        </w:tc>
      </w:tr>
      <w:tr>
        <w:trPr>
          <w:trHeight w:val="246"/>
        </w:trPr>
        <w:tc>
          <w:tcPr>
            <w:tcW w:w="10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Other expenses, net </w:t>
            </w:r>
            <w:r>
              <w:rPr>
                <w:rFonts w:ascii="Arial" w:cs="Arial" w:eastAsia="Arial" w:hAnsi="Arial"/>
                <w:sz w:val="9"/>
                <w:szCs w:val="9"/>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5,719</w:t>
            </w:r>
          </w:p>
        </w:tc>
      </w:tr>
      <w:tr>
        <w:trPr>
          <w:trHeight w:val="238"/>
        </w:trPr>
        <w:tc>
          <w:tcPr>
            <w:tcW w:w="104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 xml:space="preserve">Tax effect of adjustments </w:t>
            </w:r>
            <w:r>
              <w:rPr>
                <w:rFonts w:ascii="Arial" w:cs="Arial" w:eastAsia="Arial" w:hAnsi="Arial"/>
                <w:sz w:val="9"/>
                <w:szCs w:val="9"/>
                <w:color w:val="auto"/>
              </w:rPr>
              <w:t>(6)</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(9,623)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(7,436)</w:t>
            </w:r>
          </w:p>
        </w:tc>
      </w:tr>
      <w:tr>
        <w:trPr>
          <w:trHeight w:val="28"/>
        </w:trPr>
        <w:tc>
          <w:tcPr>
            <w:tcW w:w="10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9"/>
        </w:trPr>
        <w:tc>
          <w:tcPr>
            <w:tcW w:w="104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54,106</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8,019</w:t>
            </w:r>
          </w:p>
        </w:tc>
      </w:tr>
      <w:tr>
        <w:trPr>
          <w:trHeight w:val="245"/>
        </w:trPr>
        <w:tc>
          <w:tcPr>
            <w:tcW w:w="104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w w:val="96"/>
              </w:rPr>
              <w:t>Depreciation and amortization of property and equipment</w:t>
            </w: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5,361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18,820</w:t>
            </w: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15,299</w:t>
            </w:r>
          </w:p>
        </w:tc>
      </w:tr>
      <w:tr>
        <w:trPr>
          <w:trHeight w:val="266"/>
        </w:trPr>
        <w:tc>
          <w:tcPr>
            <w:tcW w:w="1040" w:type="dxa"/>
            <w:vAlign w:val="bottom"/>
          </w:tcPr>
          <w:p>
            <w:pPr>
              <w:spacing w:after="0"/>
              <w:rPr>
                <w:sz w:val="23"/>
                <w:szCs w:val="23"/>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3,434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9,736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10,172</w:t>
            </w:r>
          </w:p>
        </w:tc>
      </w:tr>
      <w:tr>
        <w:trPr>
          <w:trHeight w:val="265"/>
        </w:trPr>
        <w:tc>
          <w:tcPr>
            <w:tcW w:w="104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9"/>
                <w:szCs w:val="9"/>
                <w:color w:val="auto"/>
              </w:rPr>
              <w:t>(7)</w:t>
            </w: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2,369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66"/>
        </w:trPr>
        <w:tc>
          <w:tcPr>
            <w:tcW w:w="1040" w:type="dxa"/>
            <w:vAlign w:val="bottom"/>
          </w:tcPr>
          <w:p>
            <w:pPr>
              <w:spacing w:after="0"/>
              <w:rPr>
                <w:sz w:val="23"/>
                <w:szCs w:val="23"/>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9,674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21,396</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31"/>
        </w:trPr>
        <w:tc>
          <w:tcPr>
            <w:tcW w:w="104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37,631</w:t>
            </w:r>
          </w:p>
        </w:tc>
        <w:tc>
          <w:tcPr>
            <w:tcW w:w="1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23,098</w:t>
            </w:r>
          </w:p>
        </w:tc>
        <w:tc>
          <w:tcPr>
            <w:tcW w:w="1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106,427</w:t>
            </w:r>
          </w:p>
        </w:tc>
        <w:tc>
          <w:tcPr>
            <w:tcW w:w="140" w:type="dxa"/>
            <w:vAlign w:val="bottom"/>
          </w:tcPr>
          <w:p>
            <w:pPr>
              <w:spacing w:after="0"/>
              <w:rPr>
                <w:sz w:val="20"/>
                <w:szCs w:val="20"/>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29,192</w:t>
            </w:r>
          </w:p>
        </w:tc>
      </w:tr>
      <w:tr>
        <w:trPr>
          <w:trHeight w:val="28"/>
        </w:trPr>
        <w:tc>
          <w:tcPr>
            <w:tcW w:w="10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20" w:right="40" w:hanging="314"/>
        <w:spacing w:after="0" w:line="259" w:lineRule="auto"/>
        <w:tabs>
          <w:tab w:leader="none" w:pos="201" w:val="left"/>
        </w:tabs>
        <w:numPr>
          <w:ilvl w:val="0"/>
          <w:numId w:val="9"/>
        </w:numPr>
        <w:rPr>
          <w:rFonts w:ascii="Arial" w:cs="Arial" w:eastAsia="Arial" w:hAnsi="Arial"/>
          <w:sz w:val="13"/>
          <w:szCs w:val="13"/>
          <w:color w:val="auto"/>
        </w:rPr>
      </w:pPr>
      <w:r>
        <w:rPr>
          <w:rFonts w:ascii="Arial" w:cs="Arial" w:eastAsia="Arial" w:hAnsi="Arial"/>
          <w:sz w:val="13"/>
          <w:szCs w:val="13"/>
          <w:color w:val="auto"/>
        </w:rPr>
        <w:t>Route and customer acquisition costs consist of upfront cash payments and future cash payments to third-party sales agents to acquire the licensed video gaming establishments that are not connected with a business combination. Accel amortizes the upfront cash payment over the life of the contract, including expected renewals, beginning on the date the location goes live, and recognizes non-cash amortization charges with respect to such items. Future or deferred cash payments, which may occur based on terms of the underlying contract, are generally lower in the aggregate as compared to established practice of providing higher upfront payments, and are also capitalized and amortized over the remaining life of the contract. Future cash payments do not include cash costs associated with renewing customer contracts as Accel does not generally incur significant costs as a result of extension or renewal of an existing contract. Location contracts acquired in a business combination are recorded at fair value as part of the business combination accounting and then amortized as an intangible asset on a straight-line basis over the expected useful life of the contract of 10 years. “Amortization of route and customer acquisition costs and location contracts acquired” aggregates the non-cash amortization charges relating to upfront route and customer acquisition cost payments and location contracts acquired.</w:t>
      </w:r>
    </w:p>
    <w:p>
      <w:pPr>
        <w:spacing w:after="0" w:line="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w:t>
      </w:r>
      <w:r>
        <w:rPr>
          <w:rFonts w:ascii="Arial" w:cs="Arial" w:eastAsia="Arial" w:hAnsi="Arial"/>
          <w:sz w:val="17"/>
          <w:szCs w:val="17"/>
          <w:color w:val="auto"/>
        </w:rPr>
        <w:t>)</w:t>
      </w:r>
      <w:r>
        <w:rPr>
          <w:sz w:val="20"/>
          <w:szCs w:val="20"/>
          <w:color w:val="auto"/>
        </w:rPr>
        <w:tab/>
      </w:r>
      <w:r>
        <w:rPr>
          <w:rFonts w:ascii="Arial" w:cs="Arial" w:eastAsia="Arial" w:hAnsi="Arial"/>
          <w:sz w:val="12"/>
          <w:szCs w:val="12"/>
          <w:color w:val="auto"/>
        </w:rPr>
        <w:t>Stock-based compensation consists of options, restricted stock units and warrants.</w:t>
      </w:r>
    </w:p>
    <w:p>
      <w:pPr>
        <w:spacing w:after="0" w:line="9" w:lineRule="exact"/>
        <w:rPr>
          <w:sz w:val="20"/>
          <w:szCs w:val="20"/>
          <w:color w:val="auto"/>
        </w:rPr>
      </w:pPr>
    </w:p>
    <w:p>
      <w:pPr>
        <w:ind w:left="320" w:hanging="314"/>
        <w:spacing w:after="0" w:line="255" w:lineRule="auto"/>
        <w:tabs>
          <w:tab w:leader="none" w:pos="333" w:val="left"/>
        </w:tabs>
        <w:numPr>
          <w:ilvl w:val="0"/>
          <w:numId w:val="10"/>
        </w:numPr>
        <w:rPr>
          <w:rFonts w:ascii="Arial" w:cs="Arial" w:eastAsia="Arial" w:hAnsi="Arial"/>
          <w:sz w:val="13"/>
          <w:szCs w:val="13"/>
          <w:color w:val="auto"/>
        </w:rPr>
      </w:pPr>
      <w:r>
        <w:rPr>
          <w:rFonts w:ascii="Arial" w:cs="Arial" w:eastAsia="Arial" w:hAnsi="Arial"/>
          <w:sz w:val="13"/>
          <w:szCs w:val="13"/>
          <w:color w:val="auto"/>
        </w:rPr>
        <w:t>Loss (gain) on change in fair value of contingent earnout shares represents a non-cash fair value adjustment at each reporting period end related to the value of these contingent shares. Upon achieving such contingency, shares of Class A-2 Common Stock convert to Class A-1 Common Stock resulting in a non-cash settlement of the obligation.</w:t>
      </w:r>
    </w:p>
    <w:p>
      <w:pPr>
        <w:spacing w:after="0" w:line="1" w:lineRule="exact"/>
        <w:rPr>
          <w:rFonts w:ascii="Arial" w:cs="Arial" w:eastAsia="Arial" w:hAnsi="Arial"/>
          <w:sz w:val="13"/>
          <w:szCs w:val="13"/>
          <w:color w:val="auto"/>
        </w:rPr>
      </w:pPr>
    </w:p>
    <w:p>
      <w:pPr>
        <w:ind w:left="320" w:hanging="314"/>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Loss (gain) on change in fair value of warrants represents a non-cash fair value adjustment at each reporting period end related to the value of these warrants.</w:t>
      </w:r>
    </w:p>
    <w:p>
      <w:pPr>
        <w:spacing w:after="0" w:line="7" w:lineRule="exact"/>
        <w:rPr>
          <w:sz w:val="20"/>
          <w:szCs w:val="20"/>
          <w:color w:val="auto"/>
        </w:rPr>
      </w:pPr>
    </w:p>
    <w:p>
      <w:pPr>
        <w:ind w:left="320" w:hanging="318"/>
        <w:spacing w:after="0" w:line="271" w:lineRule="auto"/>
        <w:tabs>
          <w:tab w:leader="none" w:pos="300" w:val="left"/>
        </w:tabs>
        <w:rPr>
          <w:sz w:val="20"/>
          <w:szCs w:val="20"/>
          <w:color w:val="auto"/>
        </w:rPr>
      </w:pPr>
      <w:r>
        <w:rPr>
          <w:rFonts w:ascii="Arial" w:cs="Arial" w:eastAsia="Arial" w:hAnsi="Arial"/>
          <w:sz w:val="14"/>
          <w:szCs w:val="14"/>
          <w:color w:val="auto"/>
        </w:rPr>
        <w:t>(5</w:t>
      </w:r>
      <w:r>
        <w:rPr>
          <w:rFonts w:ascii="Arial" w:cs="Arial" w:eastAsia="Arial" w:hAnsi="Arial"/>
          <w:sz w:val="17"/>
          <w:szCs w:val="17"/>
          <w:color w:val="auto"/>
        </w:rPr>
        <w:t>)</w:t>
      </w:r>
      <w:r>
        <w:rPr>
          <w:rFonts w:ascii="Arial" w:cs="Arial" w:eastAsia="Arial" w:hAnsi="Arial"/>
          <w:sz w:val="14"/>
          <w:szCs w:val="14"/>
          <w:color w:val="auto"/>
        </w:rPr>
        <w:tab/>
        <w:t>Other expenses, net consists of (i) non-cash expenses including the remeasurement of contingent consideration liabilities, (ii) non-recurring expenses relating to lobbying efforts and legal expenses in Pennsylvania and lobbying efforts in Missouri, (iii) non-recurring costs associated with COVID-19 and (iv) other non-recurring expenses.</w:t>
      </w:r>
    </w:p>
    <w:p>
      <w:pPr>
        <w:ind w:left="320" w:hanging="314"/>
        <w:spacing w:after="0" w:line="237" w:lineRule="auto"/>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by excluding the impact of the non-GAAP adjustments from the current period tax provision calculations.</w:t>
      </w:r>
    </w:p>
    <w:p>
      <w:pPr>
        <w:ind w:left="320" w:right="80" w:hanging="314"/>
        <w:spacing w:after="0" w:line="242" w:lineRule="auto"/>
        <w:tabs>
          <w:tab w:leader="none" w:pos="308" w:val="left"/>
        </w:tabs>
        <w:numPr>
          <w:ilvl w:val="0"/>
          <w:numId w:val="11"/>
        </w:numPr>
        <w:rPr>
          <w:rFonts w:ascii="Arial" w:cs="Arial" w:eastAsia="Arial" w:hAnsi="Arial"/>
          <w:sz w:val="14"/>
          <w:szCs w:val="14"/>
          <w:color w:val="auto"/>
        </w:rPr>
      </w:pPr>
      <w:r>
        <w:rPr>
          <w:rFonts w:ascii="Arial" w:cs="Arial" w:eastAsia="Arial" w:hAnsi="Arial"/>
          <w:sz w:val="14"/>
          <w:szCs w:val="14"/>
          <w:color w:val="auto"/>
        </w:rPr>
        <w:t>Emerging markets consist of the results, on an adjusted EBITDA basis, for non-core jurisdictions where our operations are developing. Markets are no longer considered emerging when Accel has installed or acquired at least 500 gaming terminals in the jurisdiction, or when 24 months have elapsed from the date Accel first installs or acquires gaming terminals in the jurisdiction, whichever occurs first.</w:t>
      </w:r>
    </w:p>
    <w:p>
      <w:pPr>
        <w:spacing w:after="0" w:line="171"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8"/>
          <w:szCs w:val="18"/>
          <w:color w:val="auto"/>
        </w:rPr>
        <w:t>Adjusted EBITDA for the three months ended September 30, 2021, was $37.6 million, an increase of $14.5 million, when compared to the prior-year period, which was driven by the increase in the number of licensed establishments, VGTs, and location hold-per-day. Adjusted EBITDA for the nine months ended September 30, 2021, was $106.4 million, an increase of $77.2 million, or 264.6%, compared to the prior-year period. The increase in performance for the nine months ended was attributable to an increase in the number of licensed establishments, VGTs, and location hold-per-day, and the absence of the previously mentioned IGB-mandated shutdown of Illinois video gaming due to the COVID-19 outbreak that had a significant impact on our performance in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7" w:lineRule="exact"/>
        <w:rPr>
          <w:sz w:val="20"/>
          <w:szCs w:val="20"/>
          <w:color w:val="auto"/>
        </w:rPr>
      </w:pPr>
    </w:p>
    <w:p>
      <w:pPr>
        <w:jc w:val="both"/>
        <w:ind w:firstLine="319"/>
        <w:spacing w:after="0" w:line="386" w:lineRule="auto"/>
        <w:rPr>
          <w:sz w:val="20"/>
          <w:szCs w:val="20"/>
          <w:color w:val="auto"/>
        </w:rPr>
      </w:pPr>
      <w:r>
        <w:rPr>
          <w:rFonts w:ascii="Arial" w:cs="Arial" w:eastAsia="Arial" w:hAnsi="Arial"/>
          <w:sz w:val="15"/>
          <w:szCs w:val="15"/>
          <w:color w:val="auto"/>
        </w:rPr>
        <w:t>Accel believes that its cash and cash equivalents, cash flows from operations and borrowing availability under its senior secured credit facility will be sufficient to meet its capital requirements for the next twelve months. Accel’s primary short-term cash needs are paying operating expenses, servicing outstanding indebtedness and funding near term acquisitions. As of September 30, 2021, Accel had $179.9 million in cash and cash equivalents.</w:t>
      </w:r>
    </w:p>
    <w:p>
      <w:pPr>
        <w:spacing w:after="0" w:line="84" w:lineRule="exact"/>
        <w:rPr>
          <w:sz w:val="20"/>
          <w:szCs w:val="20"/>
          <w:color w:val="auto"/>
        </w:rPr>
      </w:pPr>
    </w:p>
    <w:p>
      <w:pPr>
        <w:jc w:val="both"/>
        <w:ind w:firstLine="319"/>
        <w:spacing w:after="0" w:line="368" w:lineRule="auto"/>
        <w:rPr>
          <w:sz w:val="20"/>
          <w:szCs w:val="20"/>
          <w:color w:val="auto"/>
        </w:rPr>
      </w:pPr>
      <w:r>
        <w:rPr>
          <w:rFonts w:ascii="Arial" w:cs="Arial" w:eastAsia="Arial" w:hAnsi="Arial"/>
          <w:sz w:val="15"/>
          <w:szCs w:val="15"/>
          <w:color w:val="auto"/>
        </w:rPr>
        <w:t>In response to the decision by the IGB to shut down all VGTs across the State of Illinois due to the COVID-19 outbreak, we took action in the first quarter of 2020 to reduce our projected monthly cash expenses down to $2-$3 million during the shutdown to position us to help mitigate the effects of the temporary cessation of operations. The actions taken include furloughing approximately 90% our employees and deferring certain payments to major vendors. Additionally, members of our management team decided to voluntarily forgo their salaries until the resumption of video gaming operations. We also borrowed $65 million on our delayed draw term loan in March 2020 to increase our cash position and help preserve our financial flexibility.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Senior Secured Credit Facility</w:t>
      </w:r>
    </w:p>
    <w:p>
      <w:pPr>
        <w:spacing w:after="0" w:line="178"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On November 13, 2019, we entered into a credit agreement (the “Credit Agreement”) as borrower, with Accel and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111" w:lineRule="exact"/>
        <w:rPr>
          <w:sz w:val="20"/>
          <w:szCs w:val="20"/>
          <w:color w:val="auto"/>
        </w:rPr>
      </w:pPr>
    </w:p>
    <w:p>
      <w:pPr>
        <w:ind w:left="640" w:hanging="315"/>
        <w:spacing w:after="0" w:line="31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$100.0 million revolving credit facility, including a letter of credit facility with a $10.0 million sublimit and a swing line facility with a $10.0 million sublimit,</w:t>
      </w:r>
    </w:p>
    <w:p>
      <w:pPr>
        <w:spacing w:after="0" w:line="112"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$240.0 million initial term loan facility and</w:t>
      </w:r>
    </w:p>
    <w:p>
      <w:pPr>
        <w:spacing w:after="0" w:line="191"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$125.0 million additional term loan facility.</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2021, there remained approximately $100.0 million of availability under the Credit Agreement.</w:t>
      </w:r>
    </w:p>
    <w:p>
      <w:pPr>
        <w:spacing w:after="0" w:line="191" w:lineRule="exact"/>
        <w:rPr>
          <w:sz w:val="20"/>
          <w:szCs w:val="20"/>
          <w:color w:val="auto"/>
        </w:rPr>
      </w:pPr>
    </w:p>
    <w:p>
      <w:pPr>
        <w:jc w:val="both"/>
        <w:ind w:firstLine="319"/>
        <w:spacing w:after="0" w:line="374" w:lineRule="auto"/>
        <w:rPr>
          <w:sz w:val="20"/>
          <w:szCs w:val="20"/>
          <w:color w:val="auto"/>
        </w:rPr>
      </w:pPr>
      <w:r>
        <w:rPr>
          <w:rFonts w:ascii="Arial" w:cs="Arial" w:eastAsia="Arial" w:hAnsi="Arial"/>
          <w:sz w:val="15"/>
          <w:szCs w:val="15"/>
          <w:color w:val="auto"/>
        </w:rPr>
        <w:t>The obligations under the Credit Agreement are guaranteed by Accel and our wholly-owned domestic subsidiaries, subject to certain exceptions (collectively, the “Guarantors”). The obligations under the Credit Agreement are secured by substantially all of assets of the Guarantors, subject to certain exceptions. Certain future-formed or acquired wholly-owned domestic subsidiaries by us will also be required to guarantee the Credit Agreement and grant a security interest in substantially all of our assets (subject to certain exceptions) to secure the obligations under the Credit Agreement.</w:t>
      </w:r>
    </w:p>
    <w:p>
      <w:pPr>
        <w:spacing w:after="0" w:line="80" w:lineRule="exact"/>
        <w:rPr>
          <w:sz w:val="20"/>
          <w:szCs w:val="20"/>
          <w:color w:val="auto"/>
        </w:rPr>
      </w:pPr>
    </w:p>
    <w:p>
      <w:pPr>
        <w:jc w:val="both"/>
        <w:ind w:firstLine="319"/>
        <w:spacing w:after="0" w:line="362" w:lineRule="auto"/>
        <w:rPr>
          <w:sz w:val="20"/>
          <w:szCs w:val="20"/>
          <w:color w:val="auto"/>
        </w:rPr>
      </w:pPr>
      <w:r>
        <w:rPr>
          <w:rFonts w:ascii="Arial" w:cs="Arial" w:eastAsia="Arial" w:hAnsi="Arial"/>
          <w:sz w:val="15"/>
          <w:szCs w:val="15"/>
          <w:color w:val="auto"/>
        </w:rPr>
        <w:t>Borrowings under the Credit Agreement bear interest, at Accel’s option, at a rate per annum equal to either (a) the adjusted LIBOR rate (“LIBOR”) (which cannot be less than 0.5%)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 plus the applicable LIBOR margin or (b) the alternative base rate (“ABR”) plus the applicable ABR margin. ABR is a fluctuating rate per annum equal to the highest of (i) the Federal Funds Effective Rate plus 1/2 of 1.0%, (ii) the prime rate announced from time to time by Capital One, National Association and (iii) LIBOR for a 1-month Interest Period on such day plus 1.0%. The Credit Agreement also includes provisions for determining a replacement rate when LIBOR is no longer available. As of September 30, 2021, the weighted-average interest rate was approximately 3.2%.</w:t>
      </w:r>
    </w:p>
    <w:p>
      <w:pPr>
        <w:spacing w:after="0" w:line="78"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Interest is payable quarterly in arrears for ABR loans, at the end of the applicable interest period for LIBOR loans (but not less frequently than quarterly) and upon the prepayment or maturity of the underlying loans. Accel is required to pay a commitment fee quarterly in arrears in respect of unused commitments under the revolving credit facility and the additional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The applicable LIBOR and ABR margins and the commitment fee rate are calculated based upon the first lien net leverage ratio of Accel and its restricted subsidiaries on a consolidated basis, as defined in the Credit Agreement. The revolving loans and term loans bear interest at either (a) ABR (150 bps floor) plus a margin of 1.75% or (b) LIBOR (50bps floor) plus a margin of 2.75%, at our option.</w:t>
      </w:r>
    </w:p>
    <w:p>
      <w:pPr>
        <w:spacing w:after="0" w:line="108" w:lineRule="exact"/>
        <w:rPr>
          <w:sz w:val="20"/>
          <w:szCs w:val="20"/>
          <w:color w:val="auto"/>
        </w:rPr>
      </w:pPr>
    </w:p>
    <w:p>
      <w:pPr>
        <w:jc w:val="both"/>
        <w:ind w:right="20" w:firstLine="319"/>
        <w:spacing w:after="0" w:line="312" w:lineRule="auto"/>
        <w:rPr>
          <w:sz w:val="20"/>
          <w:szCs w:val="20"/>
          <w:color w:val="auto"/>
        </w:rPr>
      </w:pPr>
      <w:r>
        <w:rPr>
          <w:rFonts w:ascii="Arial" w:cs="Arial" w:eastAsia="Arial" w:hAnsi="Arial"/>
          <w:sz w:val="18"/>
          <w:szCs w:val="18"/>
          <w:color w:val="auto"/>
        </w:rPr>
        <w:t>The additional term loan facility was available for borrowing until November 13, 2020. Each of the revolving loans and the term loans were originally scheduled to mature on November 13, 2024.</w:t>
      </w:r>
    </w:p>
    <w:p>
      <w:pPr>
        <w:spacing w:after="0" w:line="113" w:lineRule="exact"/>
        <w:rPr>
          <w:sz w:val="20"/>
          <w:szCs w:val="20"/>
          <w:color w:val="auto"/>
        </w:rPr>
      </w:pPr>
    </w:p>
    <w:p>
      <w:pPr>
        <w:jc w:val="both"/>
        <w:ind w:firstLine="319"/>
        <w:spacing w:after="0" w:line="386" w:lineRule="auto"/>
        <w:rPr>
          <w:sz w:val="20"/>
          <w:szCs w:val="20"/>
          <w:color w:val="auto"/>
        </w:rPr>
      </w:pPr>
      <w:r>
        <w:rPr>
          <w:rFonts w:ascii="Arial" w:cs="Arial" w:eastAsia="Arial" w:hAnsi="Arial"/>
          <w:sz w:val="15"/>
          <w:szCs w:val="15"/>
          <w:color w:val="auto"/>
        </w:rPr>
        <w:t>The term loans and, once drawn, the additional term loans will amortize at an annual rate equal to approximately 5.00% per annum. Upon the consummation of certain non-ordinary course asset sales, we may be required to apply the net cash proceeds thereof to prepay outstanding term loans and additional term loans. The loans under the Credit Agreement may be prepaid without premium or penalty, subject to customary LIBOR “breakage” costs.</w:t>
      </w:r>
    </w:p>
    <w:p>
      <w:pPr>
        <w:spacing w:after="0" w:line="71" w:lineRule="exact"/>
        <w:rPr>
          <w:sz w:val="20"/>
          <w:szCs w:val="20"/>
          <w:color w:val="auto"/>
        </w:rPr>
      </w:pPr>
    </w:p>
    <w:p>
      <w:pPr>
        <w:jc w:val="both"/>
        <w:ind w:firstLine="319"/>
        <w:spacing w:after="0" w:line="344" w:lineRule="auto"/>
        <w:rPr>
          <w:sz w:val="20"/>
          <w:szCs w:val="20"/>
          <w:color w:val="auto"/>
        </w:rPr>
      </w:pPr>
      <w:r>
        <w:rPr>
          <w:rFonts w:ascii="Arial" w:cs="Arial" w:eastAsia="Arial" w:hAnsi="Arial"/>
          <w:sz w:val="17"/>
          <w:szCs w:val="17"/>
          <w:color w:val="auto"/>
        </w:rPr>
        <w:t>The Credit Agreement contains certain customary affirmative and negative covenants and events of default, and requires Accel and certain of its affiliates obligated under the Credit Agreement to make customary representations and warranties in connection with credit extensions thereunder.</w:t>
      </w:r>
    </w:p>
    <w:p>
      <w:pPr>
        <w:spacing w:after="0" w:line="77" w:lineRule="exact"/>
        <w:rPr>
          <w:sz w:val="20"/>
          <w:szCs w:val="20"/>
          <w:color w:val="auto"/>
        </w:rPr>
      </w:pPr>
    </w:p>
    <w:p>
      <w:pPr>
        <w:jc w:val="both"/>
        <w:ind w:firstLine="319"/>
        <w:spacing w:after="0" w:line="321" w:lineRule="auto"/>
        <w:rPr>
          <w:sz w:val="20"/>
          <w:szCs w:val="20"/>
          <w:color w:val="auto"/>
        </w:rPr>
      </w:pPr>
      <w:r>
        <w:rPr>
          <w:rFonts w:ascii="Arial" w:cs="Arial" w:eastAsia="Arial" w:hAnsi="Arial"/>
          <w:sz w:val="17"/>
          <w:szCs w:val="17"/>
          <w:color w:val="auto"/>
        </w:rPr>
        <w:t>In addition, the Credit Agreement requires Accel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Accel for which financial statements have been delivered pursuant to the Credit Agreement, subject to customary “equity cure” rights.</w:t>
      </w:r>
    </w:p>
    <w:p>
      <w:pPr>
        <w:spacing w:after="0" w:line="110"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137" w:lineRule="exact"/>
        <w:rPr>
          <w:sz w:val="20"/>
          <w:szCs w:val="20"/>
          <w:color w:val="auto"/>
        </w:rPr>
      </w:pPr>
    </w:p>
    <w:p>
      <w:pPr>
        <w:jc w:val="both"/>
        <w:ind w:firstLine="319"/>
        <w:spacing w:after="0" w:line="297" w:lineRule="auto"/>
        <w:rPr>
          <w:sz w:val="20"/>
          <w:szCs w:val="20"/>
          <w:color w:val="auto"/>
        </w:rPr>
      </w:pPr>
      <w:r>
        <w:rPr>
          <w:rFonts w:ascii="Arial" w:cs="Arial" w:eastAsia="Arial" w:hAnsi="Arial"/>
          <w:sz w:val="18"/>
          <w:szCs w:val="18"/>
          <w:color w:val="auto"/>
        </w:rPr>
        <w:t>Given the uncertainty of COVID-19 and the resulting potential impact to the gaming industry, as well as to provide additional financial flexibility, we and the other parties thereto entered into Amendment No. 1 to the Credit Agreement on August 4, 2020 ("Amendment No. 1") to provide a waiver of financial covenant breach for the periods ended September 30, 2020 through March 31, 2021 of the First Lien Net Leverage Ratio and Fixed Charge Coverage Ratio (each as defined under the Credit Agreement). Amendment No. 1 also raised the floor for the adjusted LIBOR rate to 0.5% and the floor for the Base Rate to 1.50%.</w:t>
      </w:r>
    </w:p>
    <w:p>
      <w:pPr>
        <w:spacing w:after="0" w:line="140" w:lineRule="exact"/>
        <w:rPr>
          <w:sz w:val="20"/>
          <w:szCs w:val="20"/>
          <w:color w:val="auto"/>
        </w:rPr>
      </w:pPr>
    </w:p>
    <w:p>
      <w:pPr>
        <w:jc w:val="both"/>
        <w:ind w:firstLine="319"/>
        <w:spacing w:after="0" w:line="316" w:lineRule="auto"/>
        <w:rPr>
          <w:sz w:val="20"/>
          <w:szCs w:val="20"/>
          <w:color w:val="auto"/>
        </w:rPr>
      </w:pPr>
      <w:r>
        <w:rPr>
          <w:rFonts w:ascii="Arial" w:cs="Arial" w:eastAsia="Arial" w:hAnsi="Arial"/>
          <w:sz w:val="17"/>
          <w:szCs w:val="17"/>
          <w:color w:val="auto"/>
        </w:rPr>
        <w:t>On October 22, 2021, in order to increase the borrowing capacity under our existing Credit Agreement, dated November 13, 2019, we and the other parties thereto entered into Amendment No. 2 to the Credit Agreement. Amendment No. 2, among other things, provides for (i) an increase in the amount of the revolving credit facility from $100.0 million to $150.0 million, (ii) a $350.0 million initial term loan facility, the proceeds of which were applied to refinancing existing indebtedness and (iii) a new $400.0 million delayed draw term loan facility available to finance acquisitions or other investments (and pay related amounts) and/or to refinance, repay or prepay existing debt used to finance acquisitions or other investments. The maturity date of the Credit Agreement was extended to October 22, 2026. The interest rate and covenants remain unchanged.</w:t>
      </w:r>
    </w:p>
    <w:p>
      <w:pPr>
        <w:spacing w:after="0" w:line="129" w:lineRule="exact"/>
        <w:rPr>
          <w:sz w:val="20"/>
          <w:szCs w:val="20"/>
          <w:color w:val="auto"/>
        </w:rPr>
      </w:pPr>
    </w:p>
    <w:p>
      <w:pPr>
        <w:jc w:val="both"/>
        <w:ind w:firstLine="319"/>
        <w:spacing w:after="0" w:line="327" w:lineRule="auto"/>
        <w:rPr>
          <w:sz w:val="20"/>
          <w:szCs w:val="20"/>
          <w:color w:val="auto"/>
        </w:rPr>
      </w:pPr>
      <w:r>
        <w:rPr>
          <w:rFonts w:ascii="Arial" w:cs="Arial" w:eastAsia="Arial" w:hAnsi="Arial"/>
          <w:sz w:val="17"/>
          <w:szCs w:val="17"/>
          <w:color w:val="auto"/>
        </w:rPr>
        <w:t>We were in compliance with all debt covenants as of September 30, 2021. Given our assumptions about the future impact of COVID-19 and its variant strains on the gaming industry, which could be materially different due to the inherent uncertainties of future restrictions on the industry, we expect to meet our cash obligations as well as remain in compliance with the debt covenants in our credit facility for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7" w:lineRule="exact"/>
        <w:rPr>
          <w:sz w:val="20"/>
          <w:szCs w:val="20"/>
          <w:color w:val="auto"/>
        </w:rPr>
      </w:pPr>
    </w:p>
    <w:p>
      <w:pPr>
        <w:jc w:val="both"/>
        <w:ind w:firstLine="319"/>
        <w:spacing w:after="0" w:line="344" w:lineRule="auto"/>
        <w:rPr>
          <w:sz w:val="20"/>
          <w:szCs w:val="20"/>
          <w:color w:val="auto"/>
        </w:rPr>
      </w:pPr>
      <w:r>
        <w:rPr>
          <w:rFonts w:ascii="Arial" w:cs="Arial" w:eastAsia="Arial" w:hAnsi="Arial"/>
          <w:sz w:val="17"/>
          <w:szCs w:val="17"/>
          <w:color w:val="auto"/>
        </w:rPr>
        <w:t>The following table summarizes Accel’s net cash provided by or used in operating activities, investing activities and financing activities for the periods indicated and should be read in conjunction with our condensed consolidated financial statements and the notes thereto included in this filing:</w:t>
      </w:r>
    </w:p>
    <w:p>
      <w:pPr>
        <w:spacing w:after="0" w:line="58"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Nine Months Ended</w:t>
      </w:r>
    </w:p>
    <w:p>
      <w:pPr>
        <w:spacing w:after="0" w:line="23" w:lineRule="exact"/>
        <w:rPr>
          <w:sz w:val="20"/>
          <w:szCs w:val="20"/>
          <w:color w:val="auto"/>
        </w:rPr>
      </w:pPr>
    </w:p>
    <w:tbl>
      <w:tblPr>
        <w:tblLayout w:type="fixed"/>
        <w:tblInd w:w="2140" w:type="dxa"/>
        <w:tblCellMar>
          <w:top w:w="0" w:type="dxa"/>
          <w:left w:w="0" w:type="dxa"/>
          <w:bottom w:w="0" w:type="dxa"/>
          <w:right w:w="0" w:type="dxa"/>
        </w:tblCellMar>
      </w:tblPr>
      <w:tr>
        <w:trPr>
          <w:trHeight w:val="235"/>
        </w:trPr>
        <w:tc>
          <w:tcPr>
            <w:tcW w:w="45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8"/>
                <w:szCs w:val="18"/>
                <w:b w:val="1"/>
                <w:bCs w:val="1"/>
                <w:color w:val="auto"/>
              </w:rPr>
              <w:t>September 30,</w:t>
            </w:r>
          </w:p>
        </w:tc>
      </w:tr>
      <w:tr>
        <w:trPr>
          <w:trHeight w:val="224"/>
        </w:trPr>
        <w:tc>
          <w:tcPr>
            <w:tcW w:w="4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rPr>
              <w:t>2020</w:t>
            </w:r>
          </w:p>
        </w:tc>
      </w:tr>
      <w:tr>
        <w:trPr>
          <w:trHeight w:val="214"/>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b w:val="1"/>
                <w:bCs w:val="1"/>
                <w:color w:val="auto"/>
                <w:w w:val="87"/>
              </w:rPr>
              <w:t>(As Restated)</w:t>
            </w:r>
          </w:p>
        </w:tc>
      </w:tr>
      <w:tr>
        <w:trPr>
          <w:trHeight w:val="32"/>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center"/>
              <w:ind w:left="151"/>
              <w:spacing w:after="0"/>
              <w:rPr>
                <w:sz w:val="20"/>
                <w:szCs w:val="20"/>
                <w:color w:val="auto"/>
              </w:rPr>
            </w:pPr>
            <w:r>
              <w:rPr>
                <w:rFonts w:ascii="Arial" w:cs="Arial" w:eastAsia="Arial" w:hAnsi="Arial"/>
                <w:sz w:val="18"/>
                <w:szCs w:val="18"/>
                <w:color w:val="auto"/>
                <w:w w:val="87"/>
              </w:rPr>
              <w:t>80,262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4,118</w:t>
            </w:r>
          </w:p>
        </w:tc>
      </w:tr>
      <w:tr>
        <w:trPr>
          <w:trHeight w:val="265"/>
        </w:trPr>
        <w:tc>
          <w:tcPr>
            <w:tcW w:w="45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3"/>
                <w:szCs w:val="23"/>
                <w:color w:val="auto"/>
              </w:rPr>
            </w:pPr>
          </w:p>
        </w:tc>
        <w:tc>
          <w:tcPr>
            <w:tcW w:w="920" w:type="dxa"/>
            <w:vAlign w:val="bottom"/>
          </w:tcPr>
          <w:p>
            <w:pPr>
              <w:jc w:val="center"/>
              <w:ind w:left="111"/>
              <w:spacing w:after="0"/>
              <w:rPr>
                <w:sz w:val="20"/>
                <w:szCs w:val="20"/>
                <w:color w:val="auto"/>
              </w:rPr>
            </w:pPr>
            <w:r>
              <w:rPr>
                <w:rFonts w:ascii="Arial" w:cs="Arial" w:eastAsia="Arial" w:hAnsi="Arial"/>
                <w:sz w:val="18"/>
                <w:szCs w:val="18"/>
                <w:color w:val="auto"/>
                <w:w w:val="89"/>
              </w:rPr>
              <w:t>(21,220)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(23,148)</w:t>
            </w:r>
          </w:p>
        </w:tc>
      </w:tr>
      <w:tr>
        <w:trPr>
          <w:trHeight w:val="26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89"/>
              </w:rPr>
              <w:t>(13,610)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72,735</w:t>
            </w: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91"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For the nine months ended September 30, 2021, net cash provided by operating activities was $80.3 million, an increase of $76.1 million over the comparable period. In addition to our increase in net income, we had favorable fair value adjustments on our contingent earnout shares and warrants, a decrease in our deferred income taxes, and the add back of losses on the remeasurement of contingent consideration in the current period compared to gains in the prior period, as well as lower payments on consideration payable.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05"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For the nine months ended September 30, 2021, net cash used in investing activities was $21.2 million, a decrease of $1.9 million over the comparable period and was primarily attributable to less cash used for business and asset acquisitions as well as higher proceeds from the sale of property and equipment, partially offset by more cash used for the purchases of property and equipment.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91"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For the nine months ended September 30, 2021, net cash used in financing activities was $13.6 million, a decrease of $86.3 million over the comparable period. The decrease reflects a decrease in net borrowings on our credit facility, partially offset by lower payments on consideration payable. The prior-year period also included $78.7 million of net proceeds from the issuance of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7"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In preparing our condensed consolidated financial statements, we applied the same critical accounting policies as described in our Form 10-K that affect judgments and estimates of amounts recorded for certain assets, liabilities, revenues, and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7"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Accel’s results of operations can fluctuate due to seasonal trends and other factors. For example, the gross revenue per machine per day is typically lower in the summer when players will typically spend less time indoors at licensed establishment partners, and higher in cold weather between February and April, when players will typically spend more time indoors at licensed establishment partners. Holidays, vacation seasons, and sporting events may also cause Accel’s results to fluctuate.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4" w:lineRule="exact"/>
        <w:rPr>
          <w:sz w:val="20"/>
          <w:szCs w:val="20"/>
          <w:color w:val="auto"/>
        </w:rPr>
      </w:pPr>
    </w:p>
    <w:p>
      <w:pPr>
        <w:jc w:val="both"/>
        <w:ind w:firstLine="319"/>
        <w:spacing w:after="0" w:line="312" w:lineRule="auto"/>
        <w:rPr>
          <w:sz w:val="20"/>
          <w:szCs w:val="20"/>
          <w:color w:val="auto"/>
        </w:rPr>
      </w:pPr>
      <w:r>
        <w:rPr>
          <w:rFonts w:ascii="Arial" w:cs="Arial" w:eastAsia="Arial" w:hAnsi="Arial"/>
          <w:sz w:val="18"/>
          <w:szCs w:val="18"/>
          <w:color w:val="auto"/>
        </w:rPr>
        <w:t>Market risk represents the risk of loss that may impact Accel’s financial position due to adverse changes in financial market prices and rates. Market risk exposure is primarily the result of fluctuations in interest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1" w:lineRule="exact"/>
        <w:rPr>
          <w:sz w:val="20"/>
          <w:szCs w:val="20"/>
          <w:color w:val="auto"/>
        </w:rPr>
      </w:pPr>
    </w:p>
    <w:p>
      <w:pPr>
        <w:jc w:val="both"/>
        <w:ind w:firstLine="319"/>
        <w:spacing w:after="0" w:line="368" w:lineRule="auto"/>
        <w:rPr>
          <w:sz w:val="20"/>
          <w:szCs w:val="20"/>
          <w:color w:val="auto"/>
        </w:rPr>
      </w:pPr>
      <w:r>
        <w:rPr>
          <w:rFonts w:ascii="Arial" w:cs="Arial" w:eastAsia="Arial" w:hAnsi="Arial"/>
          <w:sz w:val="15"/>
          <w:szCs w:val="15"/>
          <w:color w:val="auto"/>
        </w:rPr>
        <w:t>Accel is exposed to interest rate risk in the ordinary course of its business. Accel’s borrowings under its senior secured credit facility were $333.9 million as of September 30, 2021. If the underlying interest rates were to increase by 1.0%, or 100 basis points, the increase in interest expense on Accel’s floating rate debt would negatively impact Accel’s future earnings and cash flows by approximately $3.3 million annually, assuming the balance outstanding under Accel’s credit facility remained at $333.9 million. Cash and cash equivalents are held in cash vaults, highly liquid, checking and money market accounts, VGTs, redemption terminals, ATMs, and amusement equipment. As a result, these amounts are not materially affected by changes in interest rates.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7" w:lineRule="exact"/>
        <w:rPr>
          <w:sz w:val="20"/>
          <w:szCs w:val="20"/>
          <w:color w:val="auto"/>
        </w:rPr>
      </w:pPr>
    </w:p>
    <w:p>
      <w:pPr>
        <w:jc w:val="both"/>
        <w:ind w:firstLine="319"/>
        <w:spacing w:after="0" w:line="295" w:lineRule="auto"/>
        <w:rPr>
          <w:sz w:val="20"/>
          <w:szCs w:val="20"/>
          <w:color w:val="auto"/>
        </w:rPr>
      </w:pPr>
      <w:r>
        <w:rPr>
          <w:rFonts w:ascii="Arial" w:cs="Arial" w:eastAsia="Arial" w:hAnsi="Arial"/>
          <w:sz w:val="18"/>
          <w:szCs w:val="18"/>
          <w:color w:val="auto"/>
        </w:rPr>
        <w:t>In connection with the filing of this Form 10-Q for the quarter ended September 30, 2021, our Chief Executive Officer (“CEO”, serving as our Principal Executive Officer) and our Chief Financial Officer (“CFO”, serving as our Principal Financial Officer) conducted an evaluation of the effectiveness of the design and operation of our disclosure controls and procedures (as defined in Rules 13a-15(e) and 15d-15(e) under the Securities Exchange Act of 1934, as amended (“Exchange Act”)). As a result of this evaluation, our CEO and CFO concluded that those material weaknesses previously identified in Item 9A. “Controls and Procedures” of our Form 10-K were still present as of September 30, 2021 (the “Evaluation Date”). Based on those material weaknesses, and the evaluation of our disclosure controls and procedures, our CEO and CFO concluded that our disclosure controls and procedures were not effective as of the Evaluation Date.</w:t>
      </w:r>
    </w:p>
    <w:p>
      <w:pPr>
        <w:spacing w:after="0" w:line="145" w:lineRule="exact"/>
        <w:rPr>
          <w:sz w:val="20"/>
          <w:szCs w:val="20"/>
          <w:color w:val="auto"/>
        </w:rPr>
      </w:pPr>
    </w:p>
    <w:p>
      <w:pPr>
        <w:jc w:val="both"/>
        <w:ind w:firstLine="319"/>
        <w:spacing w:after="0" w:line="344" w:lineRule="auto"/>
        <w:rPr>
          <w:sz w:val="20"/>
          <w:szCs w:val="20"/>
          <w:color w:val="auto"/>
        </w:rPr>
      </w:pPr>
      <w:r>
        <w:rPr>
          <w:rFonts w:ascii="Arial" w:cs="Arial" w:eastAsia="Arial" w:hAnsi="Arial"/>
          <w:sz w:val="17"/>
          <w:szCs w:val="17"/>
          <w:color w:val="auto"/>
        </w:rPr>
        <w:t>Notwithstanding the identified material weaknesses, management believes that the condensed consolidated financial statements included in this Form 10-Q fairly present in all material respects our financial condition, results of operations, and cash flows as of September 30,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7"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There were no changes during the quarter ended September 30, 2021 in our internal control over financial reporting that have materially affected, or are reasonably likely to materially affect, our internal control over financial reporting other than the material weaknesses previously identified and disclosed in our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7"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Lawsuits and claims are filed against Accel from time to time in the ordinary course of business, including related to employee matters, employment agreements and non-compete clauses and agreements. Other than settled matters explained as follows, these actions are in various stages, and no judgments or decisions have been rendered. Management, after reviewing matters with legal counsel, believes that the outcome of such matters are not expected to have a material adverse effect on our financial position or results of operations.</w:t>
      </w:r>
    </w:p>
    <w:p>
      <w:pPr>
        <w:spacing w:after="0" w:line="137" w:lineRule="exact"/>
        <w:rPr>
          <w:sz w:val="20"/>
          <w:szCs w:val="20"/>
          <w:color w:val="auto"/>
        </w:rPr>
      </w:pPr>
    </w:p>
    <w:p>
      <w:pPr>
        <w:jc w:val="both"/>
        <w:ind w:firstLine="239"/>
        <w:spacing w:after="0" w:line="302" w:lineRule="auto"/>
        <w:rPr>
          <w:sz w:val="20"/>
          <w:szCs w:val="20"/>
          <w:color w:val="auto"/>
        </w:rPr>
      </w:pPr>
      <w:r>
        <w:rPr>
          <w:rFonts w:ascii="Arial" w:cs="Arial" w:eastAsia="Arial" w:hAnsi="Arial"/>
          <w:sz w:val="18"/>
          <w:szCs w:val="18"/>
          <w:color w:val="auto"/>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spacing w:after="0" w:line="135" w:lineRule="exact"/>
        <w:rPr>
          <w:sz w:val="20"/>
          <w:szCs w:val="20"/>
          <w:color w:val="auto"/>
        </w:rPr>
      </w:pPr>
    </w:p>
    <w:p>
      <w:pPr>
        <w:jc w:val="both"/>
        <w:ind w:firstLine="319"/>
        <w:spacing w:after="0" w:line="295" w:lineRule="auto"/>
        <w:rPr>
          <w:sz w:val="20"/>
          <w:szCs w:val="20"/>
          <w:color w:val="auto"/>
        </w:rPr>
      </w:pPr>
      <w:r>
        <w:rPr>
          <w:rFonts w:ascii="Arial" w:cs="Arial" w:eastAsia="Arial" w:hAnsi="Arial"/>
          <w:sz w:val="18"/>
          <w:szCs w:val="18"/>
          <w:color w:val="auto"/>
        </w:rPr>
        <w:t>On August 21, 2012, one of Accel’s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Accel agreed to pay him for each licensed establishment which decided to enter into exclusive location agreements with Accel. In late August and early September 2012, each of the Defendant Establishments signed separate location agreements with Accel, purporting to grant it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spacing w:after="0" w:line="143" w:lineRule="exact"/>
        <w:rPr>
          <w:sz w:val="20"/>
          <w:szCs w:val="20"/>
          <w:color w:val="auto"/>
        </w:rPr>
      </w:pPr>
    </w:p>
    <w:p>
      <w:pPr>
        <w:jc w:val="both"/>
        <w:ind w:firstLine="319"/>
        <w:spacing w:after="0" w:line="365" w:lineRule="auto"/>
        <w:rPr>
          <w:sz w:val="20"/>
          <w:szCs w:val="20"/>
          <w:color w:val="auto"/>
        </w:rPr>
      </w:pPr>
      <w:r>
        <w:rPr>
          <w:rFonts w:ascii="Arial" w:cs="Arial" w:eastAsia="Arial" w:hAnsi="Arial"/>
          <w:sz w:val="15"/>
          <w:szCs w:val="15"/>
          <w:color w:val="auto"/>
        </w:rPr>
        <w:t>Action Gaming, J&amp;J, and other parties, collectively, the Plaintiffs, filed a complaint against Accel, Rowell, and other parties in the Circuit Court of Cook County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Accel filed a motion to dismiss for lack of subject matter jurisdiction, as further described below. On May 14, 2018, the Circuit Court denied Accel’s motion to dismiss and granted a stay to the case, pending a ruling from the IGB on the validity of the J&amp;J Assigned Agreements.</w:t>
      </w:r>
    </w:p>
    <w:p>
      <w:pPr>
        <w:spacing w:after="0" w:line="99" w:lineRule="exact"/>
        <w:rPr>
          <w:sz w:val="20"/>
          <w:szCs w:val="20"/>
          <w:color w:val="auto"/>
        </w:rPr>
      </w:pPr>
    </w:p>
    <w:p>
      <w:pPr>
        <w:jc w:val="both"/>
        <w:ind w:firstLine="319"/>
        <w:spacing w:after="0" w:line="359" w:lineRule="auto"/>
        <w:rPr>
          <w:sz w:val="20"/>
          <w:szCs w:val="20"/>
          <w:color w:val="auto"/>
        </w:rPr>
      </w:pPr>
      <w:r>
        <w:rPr>
          <w:rFonts w:ascii="Arial" w:cs="Arial" w:eastAsia="Arial" w:hAnsi="Arial"/>
          <w:sz w:val="15"/>
          <w:szCs w:val="15"/>
          <w:color w:val="auto"/>
        </w:rPr>
        <w:t>From 2013 to 2015, the Plaintiffs filed additional claims, including J&amp;J Ventures Gaming, LLC et al. v. Wild, Inc. (“Wild”), in various circuit courts seeking declaratory judgements with a number of establishments, including each of the Defendant Establishments, requesting declarations that, among other things, J&amp;J held the exclusive right to operate VGTs at each of the Defendant Establishments as a result of the J&amp;J Assigned Agreements. Accel was granted leave to intervene in all of the declaratory judgements.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Accel’s appeal, the Illinois Appellate Court, Fifth District (the “District Court”), vacated the circuit courts’ judgements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w:t>
      </w:r>
      <w:r>
        <w:rPr>
          <w:rFonts w:ascii="Arial" w:cs="Arial" w:eastAsia="Arial" w:hAnsi="Arial"/>
          <w:sz w:val="15"/>
          <w:szCs w:val="15"/>
          <w:i w:val="1"/>
          <w:iCs w:val="1"/>
          <w:color w:val="auto"/>
        </w:rPr>
        <w:t>,</w:t>
      </w:r>
      <w:r>
        <w:rPr>
          <w:rFonts w:ascii="Arial" w:cs="Arial" w:eastAsia="Arial" w:hAnsi="Arial"/>
          <w:sz w:val="15"/>
          <w:szCs w:val="15"/>
          <w:color w:val="auto"/>
        </w:rPr>
        <w:t xml:space="preserve"> affirming the District Court’s decision vacating the circuit courts’ judgments for lack of subject matter jurisdiction and dismissing the appeals, determining that the IGB has exclusive jurisdiction to decide the validity and enforceability of VGT use agreements.</w:t>
      </w:r>
    </w:p>
    <w:p>
      <w:pPr>
        <w:spacing w:after="0" w:line="103"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8"/>
          <w:szCs w:val="18"/>
          <w:color w:val="auto"/>
        </w:rPr>
        <w:t>Between May 2017 and September 2017, both Accel and J&amp;J filed petitions with the IGB seeking adjudication of the rights of the parties and the validity of the use agreements. Those petitions were recently adjudicated by the IGB, largely in Accel’s favor, and J&amp;J has filed a new lawsuit to challenge the IGB’s rulings. Accel does not have a present estimate regarding the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312" w:lineRule="auto"/>
        <w:rPr>
          <w:sz w:val="20"/>
          <w:szCs w:val="20"/>
          <w:color w:val="auto"/>
        </w:rPr>
      </w:pPr>
      <w:r>
        <w:rPr>
          <w:rFonts w:ascii="Arial" w:cs="Arial" w:eastAsia="Arial" w:hAnsi="Arial"/>
          <w:sz w:val="18"/>
          <w:szCs w:val="18"/>
          <w:color w:val="auto"/>
        </w:rPr>
        <w:t>potential damages, if any, that could potentially be awarded in this litigation and, accordingly, have established no reserves relating to such matters. There are also petitions pending with the IGB which could lead to Accel obtaining new locations.</w:t>
      </w:r>
    </w:p>
    <w:p>
      <w:pPr>
        <w:spacing w:after="0" w:line="126" w:lineRule="exact"/>
        <w:rPr>
          <w:sz w:val="20"/>
          <w:szCs w:val="20"/>
          <w:color w:val="auto"/>
        </w:rPr>
      </w:pPr>
    </w:p>
    <w:p>
      <w:pPr>
        <w:jc w:val="both"/>
        <w:ind w:firstLine="319"/>
        <w:spacing w:after="0" w:line="365" w:lineRule="auto"/>
        <w:rPr>
          <w:sz w:val="20"/>
          <w:szCs w:val="20"/>
          <w:color w:val="auto"/>
        </w:rPr>
      </w:pPr>
      <w:r>
        <w:rPr>
          <w:rFonts w:ascii="Arial" w:cs="Arial" w:eastAsia="Arial" w:hAnsi="Arial"/>
          <w:sz w:val="15"/>
          <w:szCs w:val="15"/>
          <w:color w:val="auto"/>
        </w:rPr>
        <w:t>On October 7, 2019, Accel filed a lawsuit in the Circuit Court of Cook County against Jason Rowell and other parties related to Mr. Rowell’s breaches of his non-compete agreement with Accel. Accel alleged that Mr. Rowell and a competitor were working together to interfere with Accel’s customer relationships. That lawsuit, which seeks equitable relief and legal damages, has not yet been served. On November 7, 2019, Mr. Rowell filed a lawsuit in the Circuit Court of Cook County against Accel alleging that he had not received certain equity interests in Accel to which he was allegedly entitled under his agreement. The parties are engaging in discovery. Accel intends to defend itself against the allegations. Accel does not have a present estimate regarding the potential damages, nor does it believe any payment of damages is probable, and, accordingly, has established no reserves relating to these matters.</w:t>
      </w:r>
    </w:p>
    <w:p>
      <w:pPr>
        <w:spacing w:after="0" w:line="99"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8"/>
          <w:szCs w:val="18"/>
          <w:color w:val="auto"/>
        </w:rPr>
        <w:t>On July 2, 2019, Illinois Gaming Investors, LLC filed a lawsuit against Accel. The lawsuit alleges that a current employee violated his non-competition agreement with Illinois Gaming Investors, LLC, and together with Accel, wrongfully solicited prohibited licensed video gaming locations. The lawsuit on its face seeks damages of $10 million. The parties are engaging in discovery. We are in the process of defending this lawsuit and have not accrued any amounts as losses related to this suit are not probable or reasonably estimable.</w:t>
      </w:r>
    </w:p>
    <w:p>
      <w:pPr>
        <w:spacing w:after="0" w:line="137" w:lineRule="exact"/>
        <w:rPr>
          <w:sz w:val="20"/>
          <w:szCs w:val="20"/>
          <w:color w:val="auto"/>
        </w:rPr>
      </w:pPr>
    </w:p>
    <w:p>
      <w:pPr>
        <w:jc w:val="both"/>
        <w:ind w:firstLine="319"/>
        <w:spacing w:after="0" w:line="374" w:lineRule="auto"/>
        <w:rPr>
          <w:sz w:val="20"/>
          <w:szCs w:val="20"/>
          <w:color w:val="auto"/>
        </w:rPr>
      </w:pPr>
      <w:r>
        <w:rPr>
          <w:rFonts w:ascii="Arial" w:cs="Arial" w:eastAsia="Arial" w:hAnsi="Arial"/>
          <w:sz w:val="15"/>
          <w:szCs w:val="15"/>
          <w:color w:val="auto"/>
        </w:rPr>
        <w:t>On December 18, 2020, we received a disciplinary complaint from the IGB alleging violations of the Video Gaming Act and the IGB’s Adopted Rules for Video Gaming. The disciplinary complaint seeks to fine us in the amount of $5 million. We filed our initial answer to the IGB’s complaint on January 11, 2021 and have begun the administrative hearing process. We intend to vigorously defend ourself against the allegations in the complaint and deny any allegations of wrongdoing. The Company has not accrued any amounts related to this complaint as losses are not probable or reasonably estimable.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7" w:lineRule="exact"/>
        <w:rPr>
          <w:sz w:val="20"/>
          <w:szCs w:val="20"/>
          <w:color w:val="auto"/>
        </w:rPr>
      </w:pPr>
    </w:p>
    <w:p>
      <w:pPr>
        <w:jc w:val="both"/>
        <w:ind w:firstLine="319"/>
        <w:spacing w:after="0" w:line="295" w:lineRule="auto"/>
        <w:rPr>
          <w:sz w:val="20"/>
          <w:szCs w:val="20"/>
          <w:color w:val="auto"/>
        </w:rPr>
      </w:pPr>
      <w:r>
        <w:rPr>
          <w:rFonts w:ascii="Arial" w:cs="Arial" w:eastAsia="Arial" w:hAnsi="Arial"/>
          <w:sz w:val="18"/>
          <w:szCs w:val="18"/>
          <w:color w:val="auto"/>
        </w:rPr>
        <w:t>An investment in our common stock involves a high degree of risk. You should carefully consider the risk factors described under Part I - Item 1A. Risk Factors in our Form 10-K and our condensed consolidated financial statements and related notes contained in this Quarterly Report on Form 10-Q in analyzing an investment in our common stock. If any such risks occur, our business, financial condition, and results of operations would likely suffer, the trading price of our common stock would decline, and you could lose all or part of your investment. In addition, the risk factors and uncertainties could cause our actual results to differ materially from those projected in our forward-looking statements, whether made in this report or other documents we file with the SEC, or our annual report to stockholders, future press releases, or orally, whether in presentations, responses to questions, or otherwise. Additional risks and uncertainties not currently known to us or those we currently view to be immaterial may also materially adversely affect our business, financial condition,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80" w:type="dxa"/>
            <w:vAlign w:val="bottom"/>
            <w:gridSpan w:val="3"/>
            <w:vMerge w:val="restart"/>
          </w:tcPr>
          <w:p>
            <w:pPr>
              <w:ind w:left="660"/>
              <w:spacing w:after="0"/>
              <w:rPr>
                <w:sz w:val="20"/>
                <w:szCs w:val="20"/>
                <w:color w:val="auto"/>
              </w:rPr>
            </w:pPr>
            <w:r>
              <w:rPr>
                <w:rFonts w:ascii="Arial" w:cs="Arial" w:eastAsia="Arial" w:hAnsi="Arial"/>
                <w:sz w:val="16"/>
                <w:szCs w:val="16"/>
                <w:b w:val="1"/>
                <w:bCs w:val="1"/>
                <w:color w:val="auto"/>
              </w:rPr>
              <w:t>Exhibit</w:t>
            </w:r>
          </w:p>
        </w:tc>
        <w:tc>
          <w:tcPr>
            <w:tcW w:w="0" w:type="dxa"/>
            <w:vAlign w:val="bottom"/>
          </w:tcPr>
          <w:p>
            <w:pPr>
              <w:spacing w:after="0"/>
              <w:rPr>
                <w:sz w:val="1"/>
                <w:szCs w:val="1"/>
                <w:color w:val="auto"/>
              </w:rPr>
            </w:pPr>
          </w:p>
        </w:tc>
      </w:tr>
      <w:tr>
        <w:trPr>
          <w:trHeight w:val="210"/>
        </w:trPr>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No.</w:t>
            </w:r>
          </w:p>
        </w:tc>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180" w:type="dxa"/>
            <w:vAlign w:val="bottom"/>
            <w:tcBorders>
              <w:top w:val="single" w:sz="8" w:color="auto"/>
              <w:bottom w:val="single" w:sz="8" w:color="0000FF"/>
            </w:tcBorders>
            <w:gridSpan w:val="4"/>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Certification of Principal Executive Officer pursuant to Exchange Act Rules 13a-14(a) and 15d-14(a)</w:t>
              </w:r>
            </w:hyperlink>
          </w:p>
        </w:tc>
        <w:tc>
          <w:tcPr>
            <w:tcW w:w="2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Principal Financial Officer pursuant to Exchange Act Rules 13a-14(a) and 15d-14(a)</w:t>
              </w:r>
            </w:hyperlink>
          </w:p>
        </w:tc>
        <w:tc>
          <w:tcPr>
            <w:tcW w:w="0" w:type="dxa"/>
            <w:vAlign w:val="bottom"/>
          </w:tcPr>
          <w:p>
            <w:pPr>
              <w:spacing w:after="0"/>
              <w:rPr>
                <w:sz w:val="1"/>
                <w:szCs w:val="1"/>
                <w:color w:val="auto"/>
              </w:rPr>
            </w:pPr>
          </w:p>
        </w:tc>
      </w:tr>
      <w:tr>
        <w:trPr>
          <w:trHeight w:val="259"/>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120" w:type="dxa"/>
            <w:vAlign w:val="bottom"/>
            <w:tcBorders>
              <w:top w:val="single" w:sz="8" w:color="0000FF"/>
            </w:tcBorders>
            <w:gridSpan w:val="3"/>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Section 1350 Certification of Principal Executive Officer</w:t>
              </w:r>
            </w:hyperlink>
          </w:p>
        </w:tc>
        <w:tc>
          <w:tcPr>
            <w:tcW w:w="28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Section 1350 Certification of Principal Financial Officer</w:t>
              </w:r>
            </w:hyperlink>
          </w:p>
        </w:tc>
        <w:tc>
          <w:tcPr>
            <w:tcW w:w="40" w:type="dxa"/>
            <w:vAlign w:val="bottom"/>
            <w:tcBorders>
              <w:top w:val="single" w:sz="8" w:color="0000FF"/>
            </w:tcBorders>
          </w:tcPr>
          <w:p>
            <w:pPr>
              <w:spacing w:after="0"/>
              <w:rPr>
                <w:sz w:val="22"/>
                <w:szCs w:val="22"/>
                <w:color w:val="auto"/>
              </w:rPr>
            </w:pPr>
          </w:p>
        </w:tc>
        <w:tc>
          <w:tcPr>
            <w:tcW w:w="58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101.INS</w:t>
            </w: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101.PRE</w:t>
            </w: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9"/>
        </w:trPr>
        <w:tc>
          <w:tcPr>
            <w:tcW w:w="118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Cover Page Inline XBRL File (included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7" w:lineRule="exact"/>
        <w:rPr>
          <w:sz w:val="20"/>
          <w:szCs w:val="20"/>
          <w:color w:val="auto"/>
        </w:rPr>
      </w:pPr>
    </w:p>
    <w:p>
      <w:pPr>
        <w:ind w:firstLine="319"/>
        <w:spacing w:after="0" w:line="31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3620" w:type="dxa"/>
            <w:vAlign w:val="bottom"/>
          </w:tcPr>
          <w:p>
            <w:pPr>
              <w:spacing w:after="0"/>
              <w:rPr>
                <w:sz w:val="19"/>
                <w:szCs w:val="19"/>
                <w:color w:val="auto"/>
              </w:rPr>
            </w:pPr>
          </w:p>
        </w:tc>
        <w:tc>
          <w:tcPr>
            <w:tcW w:w="7560" w:type="dxa"/>
            <w:vAlign w:val="bottom"/>
            <w:gridSpan w:val="2"/>
          </w:tcPr>
          <w:p>
            <w:pPr>
              <w:ind w:left="1940"/>
              <w:spacing w:after="0"/>
              <w:rPr>
                <w:sz w:val="20"/>
                <w:szCs w:val="20"/>
                <w:color w:val="auto"/>
              </w:rPr>
            </w:pPr>
            <w:r>
              <w:rPr>
                <w:rFonts w:ascii="Arial" w:cs="Arial" w:eastAsia="Arial" w:hAnsi="Arial"/>
                <w:sz w:val="18"/>
                <w:szCs w:val="18"/>
                <w:color w:val="auto"/>
              </w:rPr>
              <w:t>ACCEL ENTERTAINMENT, INC.</w:t>
            </w:r>
          </w:p>
        </w:tc>
      </w:tr>
      <w:tr>
        <w:trPr>
          <w:trHeight w:val="531"/>
        </w:trPr>
        <w:tc>
          <w:tcPr>
            <w:tcW w:w="3620" w:type="dxa"/>
            <w:vAlign w:val="bottom"/>
          </w:tcPr>
          <w:p>
            <w:pPr>
              <w:spacing w:after="0"/>
              <w:rPr>
                <w:sz w:val="20"/>
                <w:szCs w:val="20"/>
                <w:color w:val="auto"/>
              </w:rPr>
            </w:pPr>
            <w:r>
              <w:rPr>
                <w:rFonts w:ascii="Arial" w:cs="Arial" w:eastAsia="Arial" w:hAnsi="Arial"/>
                <w:sz w:val="18"/>
                <w:szCs w:val="18"/>
                <w:color w:val="auto"/>
              </w:rPr>
              <w:t>Date: November 3, 2021</w:t>
            </w:r>
          </w:p>
        </w:tc>
        <w:tc>
          <w:tcPr>
            <w:tcW w:w="7560" w:type="dxa"/>
            <w:vAlign w:val="bottom"/>
            <w:gridSpan w:val="2"/>
          </w:tcPr>
          <w:p>
            <w:pPr>
              <w:ind w:left="1940"/>
              <w:spacing w:after="0"/>
              <w:rPr>
                <w:sz w:val="20"/>
                <w:szCs w:val="20"/>
                <w:color w:val="auto"/>
              </w:rPr>
            </w:pPr>
            <w:r>
              <w:rPr>
                <w:rFonts w:ascii="Arial" w:cs="Arial" w:eastAsia="Arial" w:hAnsi="Arial"/>
                <w:sz w:val="18"/>
                <w:szCs w:val="18"/>
                <w:color w:val="auto"/>
                <w:w w:val="95"/>
              </w:rPr>
              <w:t>By:</w:t>
            </w:r>
            <w:r>
              <w:rPr>
                <w:rFonts w:ascii="Arial" w:cs="Arial" w:eastAsia="Arial" w:hAnsi="Arial"/>
                <w:sz w:val="18"/>
                <w:szCs w:val="18"/>
                <w:i w:val="1"/>
                <w:iCs w:val="1"/>
                <w:color w:val="auto"/>
                <w:w w:val="95"/>
              </w:rPr>
              <w:t>/s/ Brian Carroll</w:t>
            </w:r>
          </w:p>
        </w:tc>
      </w:tr>
      <w:tr>
        <w:trPr>
          <w:trHeight w:val="28"/>
        </w:trPr>
        <w:tc>
          <w:tcPr>
            <w:tcW w:w="3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0"/>
        </w:trPr>
        <w:tc>
          <w:tcPr>
            <w:tcW w:w="3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Brian Carroll</w:t>
            </w:r>
          </w:p>
        </w:tc>
      </w:tr>
      <w:tr>
        <w:trPr>
          <w:trHeight w:val="224"/>
        </w:trPr>
        <w:tc>
          <w:tcPr>
            <w:tcW w:w="3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916"/>
        </w:trPr>
        <w:tc>
          <w:tcPr>
            <w:tcW w:w="3620" w:type="dxa"/>
            <w:vAlign w:val="bottom"/>
          </w:tcPr>
          <w:p>
            <w:pPr>
              <w:spacing w:after="0"/>
              <w:rPr>
                <w:sz w:val="24"/>
                <w:szCs w:val="24"/>
                <w:color w:val="auto"/>
              </w:rPr>
            </w:pPr>
          </w:p>
        </w:tc>
        <w:tc>
          <w:tcPr>
            <w:tcW w:w="2380" w:type="dxa"/>
            <w:vAlign w:val="bottom"/>
          </w:tcPr>
          <w:p>
            <w:pPr>
              <w:jc w:val="right"/>
              <w:ind w:right="269"/>
              <w:spacing w:after="0"/>
              <w:rPr>
                <w:sz w:val="20"/>
                <w:szCs w:val="20"/>
                <w:color w:val="auto"/>
              </w:rPr>
            </w:pPr>
            <w:r>
              <w:rPr>
                <w:rFonts w:ascii="Arial" w:cs="Arial" w:eastAsia="Arial" w:hAnsi="Arial"/>
                <w:sz w:val="18"/>
                <w:szCs w:val="18"/>
                <w:color w:val="auto"/>
              </w:rPr>
              <w:t>43</w:t>
            </w:r>
          </w:p>
        </w:tc>
        <w:tc>
          <w:tcPr>
            <w:tcW w:w="518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45" w:name="page46"/>
    <w:bookmarkEnd w:id="45"/>
    <w:p>
      <w:pPr>
        <w:ind w:left="10360"/>
        <w:spacing w:after="0"/>
        <w:rPr>
          <w:sz w:val="20"/>
          <w:szCs w:val="20"/>
          <w:color w:val="auto"/>
        </w:rPr>
      </w:pPr>
      <w:r>
        <w:rPr>
          <w:rFonts w:ascii="Arial" w:cs="Arial" w:eastAsia="Arial" w:hAnsi="Arial"/>
          <w:sz w:val="15"/>
          <w:szCs w:val="15"/>
          <w:color w:val="auto"/>
        </w:rPr>
        <w:t>Exhibit 31.1</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Andrew Rubenstein, certify that:</w:t>
      </w:r>
    </w:p>
    <w:p>
      <w:pPr>
        <w:spacing w:after="0" w:line="218" w:lineRule="exact"/>
        <w:rPr>
          <w:sz w:val="20"/>
          <w:szCs w:val="20"/>
          <w:color w:val="auto"/>
        </w:rPr>
      </w:pPr>
    </w:p>
    <w:p>
      <w:pPr>
        <w:ind w:left="180" w:hanging="174"/>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Accel Entertainment, Inc.;</w:t>
      </w:r>
    </w:p>
    <w:p>
      <w:pPr>
        <w:spacing w:after="0" w:line="191" w:lineRule="exact"/>
        <w:rPr>
          <w:rFonts w:ascii="Arial" w:cs="Arial" w:eastAsia="Arial" w:hAnsi="Arial"/>
          <w:sz w:val="18"/>
          <w:szCs w:val="18"/>
          <w:color w:val="auto"/>
        </w:rPr>
      </w:pPr>
    </w:p>
    <w:p>
      <w:pPr>
        <w:ind w:firstLine="6"/>
        <w:spacing w:after="0" w:line="422" w:lineRule="auto"/>
        <w:tabs>
          <w:tab w:leader="none" w:pos="205"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15"/>
          <w:szCs w:val="15"/>
          <w:color w:val="auto"/>
        </w:rPr>
      </w:pPr>
    </w:p>
    <w:p>
      <w:pPr>
        <w:ind w:firstLine="6"/>
        <w:spacing w:after="0" w:line="312" w:lineRule="auto"/>
        <w:tabs>
          <w:tab w:leader="none" w:pos="1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jc w:val="both"/>
        <w:ind w:firstLine="6"/>
        <w:spacing w:after="0" w:line="302" w:lineRule="auto"/>
        <w:tabs>
          <w:tab w:leader="none" w:pos="1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jc w:val="both"/>
        <w:ind w:left="400" w:firstLine="5"/>
        <w:spacing w:after="0" w:line="302" w:lineRule="auto"/>
        <w:tabs>
          <w:tab w:leader="none" w:pos="58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jc w:val="both"/>
        <w:ind w:left="400" w:firstLine="5"/>
        <w:spacing w:after="0" w:line="302" w:lineRule="auto"/>
        <w:tabs>
          <w:tab w:leader="none" w:pos="59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400" w:firstLine="5"/>
        <w:spacing w:after="0" w:line="344" w:lineRule="auto"/>
        <w:tabs>
          <w:tab w:leader="none" w:pos="589"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Arial" w:cs="Arial" w:eastAsia="Arial" w:hAnsi="Arial"/>
          <w:sz w:val="17"/>
          <w:szCs w:val="17"/>
          <w:color w:val="auto"/>
        </w:rPr>
      </w:pPr>
    </w:p>
    <w:p>
      <w:pPr>
        <w:jc w:val="both"/>
        <w:ind w:left="400" w:firstLine="5"/>
        <w:spacing w:after="0" w:line="302" w:lineRule="auto"/>
        <w:tabs>
          <w:tab w:leader="none" w:pos="5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firstLine="6"/>
        <w:spacing w:after="0" w:line="344" w:lineRule="auto"/>
        <w:tabs>
          <w:tab w:leader="none" w:pos="19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Arial" w:cs="Arial" w:eastAsia="Arial" w:hAnsi="Arial"/>
          <w:sz w:val="17"/>
          <w:szCs w:val="17"/>
          <w:color w:val="auto"/>
        </w:rPr>
      </w:pPr>
    </w:p>
    <w:p>
      <w:pPr>
        <w:ind w:left="400" w:firstLine="5"/>
        <w:spacing w:after="0" w:line="312" w:lineRule="auto"/>
        <w:tabs>
          <w:tab w:leader="none" w:pos="58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8"/>
          <w:szCs w:val="18"/>
          <w:color w:val="auto"/>
        </w:rPr>
      </w:pPr>
    </w:p>
    <w:p>
      <w:pPr>
        <w:ind w:left="400" w:firstLine="5"/>
        <w:spacing w:after="0" w:line="312" w:lineRule="auto"/>
        <w:tabs>
          <w:tab w:leader="none" w:pos="59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260" w:type="dxa"/>
            <w:vAlign w:val="bottom"/>
          </w:tcPr>
          <w:p>
            <w:pPr>
              <w:spacing w:after="0"/>
              <w:rPr>
                <w:sz w:val="20"/>
                <w:szCs w:val="20"/>
                <w:color w:val="auto"/>
              </w:rPr>
            </w:pPr>
            <w:r>
              <w:rPr>
                <w:rFonts w:ascii="Arial" w:cs="Arial" w:eastAsia="Arial" w:hAnsi="Arial"/>
                <w:sz w:val="18"/>
                <w:szCs w:val="18"/>
                <w:color w:val="auto"/>
              </w:rPr>
              <w:t>Date: November 3, 2021</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Andrew Rubenstein</w:t>
            </w:r>
          </w:p>
        </w:tc>
      </w:tr>
      <w:tr>
        <w:trPr>
          <w:trHeight w:val="218"/>
        </w:trPr>
        <w:tc>
          <w:tcPr>
            <w:tcW w:w="626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Andrew Rubenstein</w:t>
            </w:r>
          </w:p>
        </w:tc>
      </w:tr>
      <w:tr>
        <w:trPr>
          <w:trHeight w:val="226"/>
        </w:trPr>
        <w:tc>
          <w:tcPr>
            <w:tcW w:w="626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937" w:right="339" w:bottom="1440" w:gutter="0" w:footer="0" w:header="0"/>
        </w:sectPr>
      </w:pPr>
    </w:p>
    <w:bookmarkStart w:id="46" w:name="page47"/>
    <w:bookmarkEnd w:id="46"/>
    <w:p>
      <w:pPr>
        <w:ind w:left="10360"/>
        <w:spacing w:after="0"/>
        <w:rPr>
          <w:sz w:val="20"/>
          <w:szCs w:val="20"/>
          <w:color w:val="auto"/>
        </w:rPr>
      </w:pPr>
      <w:r>
        <w:rPr>
          <w:rFonts w:ascii="Arial" w:cs="Arial" w:eastAsia="Arial" w:hAnsi="Arial"/>
          <w:sz w:val="15"/>
          <w:szCs w:val="15"/>
          <w:color w:val="auto"/>
        </w:rPr>
        <w:t>Exhibit 31.2</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Carroll, certify that:</w:t>
      </w:r>
    </w:p>
    <w:p>
      <w:pPr>
        <w:spacing w:after="0" w:line="191" w:lineRule="exact"/>
        <w:rPr>
          <w:sz w:val="20"/>
          <w:szCs w:val="20"/>
          <w:color w:val="auto"/>
        </w:rPr>
      </w:pPr>
    </w:p>
    <w:p>
      <w:pPr>
        <w:ind w:left="180" w:hanging="174"/>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Accel Entertainment, Inc.;</w:t>
      </w:r>
    </w:p>
    <w:p>
      <w:pPr>
        <w:spacing w:after="0" w:line="191" w:lineRule="exact"/>
        <w:rPr>
          <w:rFonts w:ascii="Arial" w:cs="Arial" w:eastAsia="Arial" w:hAnsi="Arial"/>
          <w:sz w:val="18"/>
          <w:szCs w:val="18"/>
          <w:color w:val="auto"/>
        </w:rPr>
      </w:pPr>
    </w:p>
    <w:p>
      <w:pPr>
        <w:ind w:firstLine="6"/>
        <w:spacing w:after="0" w:line="422" w:lineRule="auto"/>
        <w:tabs>
          <w:tab w:leader="none" w:pos="205"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15"/>
          <w:szCs w:val="15"/>
          <w:color w:val="auto"/>
        </w:rPr>
      </w:pPr>
    </w:p>
    <w:p>
      <w:pPr>
        <w:ind w:firstLine="6"/>
        <w:spacing w:after="0" w:line="312" w:lineRule="auto"/>
        <w:tabs>
          <w:tab w:leader="none" w:pos="1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jc w:val="both"/>
        <w:ind w:firstLine="6"/>
        <w:spacing w:after="0" w:line="302" w:lineRule="auto"/>
        <w:tabs>
          <w:tab w:leader="none" w:pos="1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jc w:val="both"/>
        <w:ind w:left="400" w:firstLine="5"/>
        <w:spacing w:after="0" w:line="302" w:lineRule="auto"/>
        <w:tabs>
          <w:tab w:leader="none" w:pos="58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jc w:val="both"/>
        <w:ind w:left="400" w:firstLine="5"/>
        <w:spacing w:after="0" w:line="302" w:lineRule="auto"/>
        <w:tabs>
          <w:tab w:leader="none" w:pos="5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400" w:firstLine="5"/>
        <w:spacing w:after="0" w:line="344" w:lineRule="auto"/>
        <w:tabs>
          <w:tab w:leader="none" w:pos="589"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Arial" w:cs="Arial" w:eastAsia="Arial" w:hAnsi="Arial"/>
          <w:sz w:val="17"/>
          <w:szCs w:val="17"/>
          <w:color w:val="auto"/>
        </w:rPr>
      </w:pPr>
    </w:p>
    <w:p>
      <w:pPr>
        <w:jc w:val="both"/>
        <w:ind w:left="400" w:firstLine="5"/>
        <w:spacing w:after="0" w:line="302" w:lineRule="auto"/>
        <w:tabs>
          <w:tab w:leader="none" w:pos="59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firstLine="6"/>
        <w:spacing w:after="0" w:line="344" w:lineRule="auto"/>
        <w:tabs>
          <w:tab w:leader="none" w:pos="19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Arial" w:cs="Arial" w:eastAsia="Arial" w:hAnsi="Arial"/>
          <w:sz w:val="17"/>
          <w:szCs w:val="17"/>
          <w:color w:val="auto"/>
        </w:rPr>
      </w:pPr>
    </w:p>
    <w:p>
      <w:pPr>
        <w:ind w:left="400" w:firstLine="5"/>
        <w:spacing w:after="0" w:line="312" w:lineRule="auto"/>
        <w:tabs>
          <w:tab w:leader="none" w:pos="58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8"/>
          <w:szCs w:val="18"/>
          <w:color w:val="auto"/>
        </w:rPr>
      </w:pPr>
    </w:p>
    <w:p>
      <w:pPr>
        <w:ind w:left="400" w:firstLine="5"/>
        <w:spacing w:after="0" w:line="312" w:lineRule="auto"/>
        <w:tabs>
          <w:tab w:leader="none" w:pos="5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260" w:type="dxa"/>
            <w:vAlign w:val="bottom"/>
          </w:tcPr>
          <w:p>
            <w:pPr>
              <w:spacing w:after="0"/>
              <w:rPr>
                <w:sz w:val="20"/>
                <w:szCs w:val="20"/>
                <w:color w:val="auto"/>
              </w:rPr>
            </w:pPr>
            <w:r>
              <w:rPr>
                <w:rFonts w:ascii="Arial" w:cs="Arial" w:eastAsia="Arial" w:hAnsi="Arial"/>
                <w:sz w:val="18"/>
                <w:szCs w:val="18"/>
                <w:color w:val="auto"/>
              </w:rPr>
              <w:t>Date: November 3, 2021</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Brian Carroll</w:t>
            </w:r>
          </w:p>
        </w:tc>
      </w:tr>
      <w:tr>
        <w:trPr>
          <w:trHeight w:val="218"/>
        </w:trPr>
        <w:tc>
          <w:tcPr>
            <w:tcW w:w="626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Brian Carroll</w:t>
            </w:r>
          </w:p>
        </w:tc>
      </w:tr>
      <w:tr>
        <w:trPr>
          <w:trHeight w:val="226"/>
        </w:trPr>
        <w:tc>
          <w:tcPr>
            <w:tcW w:w="626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240"/>
          </w:cols>
          <w:pgMar w:left="320" w:top="937" w:right="339" w:bottom="1440" w:gutter="0" w:footer="0" w:header="0"/>
        </w:sectPr>
      </w:pPr>
    </w:p>
    <w:bookmarkStart w:id="47" w:name="page48"/>
    <w:bookmarkEnd w:id="47"/>
    <w:p>
      <w:pPr>
        <w:ind w:left="10360"/>
        <w:spacing w:after="0"/>
        <w:rPr>
          <w:sz w:val="20"/>
          <w:szCs w:val="20"/>
          <w:color w:val="auto"/>
        </w:rPr>
      </w:pPr>
      <w:r>
        <w:rPr>
          <w:rFonts w:ascii="Arial" w:cs="Arial" w:eastAsia="Arial" w:hAnsi="Arial"/>
          <w:sz w:val="15"/>
          <w:szCs w:val="15"/>
          <w:color w:val="auto"/>
        </w:rPr>
        <w:t>Exhibit 32.1</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Principal Executive Officer</w:t>
      </w:r>
    </w:p>
    <w:p>
      <w:pPr>
        <w:spacing w:after="0" w:line="211" w:lineRule="exact"/>
        <w:rPr>
          <w:sz w:val="20"/>
          <w:szCs w:val="20"/>
          <w:color w:val="auto"/>
        </w:rPr>
      </w:pPr>
    </w:p>
    <w:p>
      <w:pPr>
        <w:jc w:val="both"/>
        <w:spacing w:after="0" w:line="386" w:lineRule="auto"/>
        <w:rPr>
          <w:sz w:val="20"/>
          <w:szCs w:val="20"/>
          <w:color w:val="auto"/>
        </w:rPr>
      </w:pPr>
      <w:r>
        <w:rPr>
          <w:rFonts w:ascii="Arial" w:cs="Arial" w:eastAsia="Arial" w:hAnsi="Arial"/>
          <w:sz w:val="15"/>
          <w:szCs w:val="15"/>
          <w:color w:val="auto"/>
        </w:rPr>
        <w:t>In connection with the Quarterly Report on Form 10-Q of Accel Entertainment, Inc. (the “Company”) for the three months ended September 30, 2021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spacing w:after="0" w:line="84" w:lineRule="exact"/>
        <w:rPr>
          <w:sz w:val="20"/>
          <w:szCs w:val="20"/>
          <w:color w:val="auto"/>
        </w:rPr>
      </w:pPr>
    </w:p>
    <w:p>
      <w:pPr>
        <w:ind w:left="1280" w:hanging="517"/>
        <w:spacing w:after="0" w:line="312" w:lineRule="auto"/>
        <w:tabs>
          <w:tab w:leader="none" w:pos="12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25" w:lineRule="exact"/>
        <w:rPr>
          <w:rFonts w:ascii="Arial" w:cs="Arial" w:eastAsia="Arial" w:hAnsi="Arial"/>
          <w:sz w:val="18"/>
          <w:szCs w:val="18"/>
          <w:color w:val="auto"/>
        </w:rPr>
      </w:pPr>
    </w:p>
    <w:p>
      <w:pPr>
        <w:ind w:left="1280" w:hanging="517"/>
        <w:spacing w:after="0" w:line="312" w:lineRule="auto"/>
        <w:tabs>
          <w:tab w:leader="none" w:pos="12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Andrew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17456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4561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Rubenstein</w:t>
      </w:r>
    </w:p>
    <w:p>
      <w:pPr>
        <w:ind w:left="20"/>
        <w:spacing w:after="0" w:line="238" w:lineRule="auto"/>
        <w:rPr>
          <w:sz w:val="20"/>
          <w:szCs w:val="20"/>
          <w:color w:val="auto"/>
        </w:rPr>
      </w:pPr>
      <w:r>
        <w:rPr>
          <w:rFonts w:ascii="Arial" w:cs="Arial" w:eastAsia="Arial" w:hAnsi="Arial"/>
          <w:sz w:val="18"/>
          <w:szCs w:val="18"/>
          <w:color w:val="auto"/>
        </w:rPr>
        <w:t>Chief Executive Officer (Principal</w:t>
      </w:r>
    </w:p>
    <w:p>
      <w:pPr>
        <w:ind w:left="20"/>
        <w:spacing w:after="0"/>
        <w:rPr>
          <w:sz w:val="20"/>
          <w:szCs w:val="20"/>
          <w:color w:val="auto"/>
        </w:rPr>
      </w:pPr>
      <w:r>
        <w:rPr>
          <w:rFonts w:ascii="Arial" w:cs="Arial" w:eastAsia="Arial" w:hAnsi="Arial"/>
          <w:sz w:val="18"/>
          <w:szCs w:val="18"/>
          <w:color w:val="auto"/>
        </w:rPr>
        <w:t>Executive Officer)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218"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937" w:right="339" w:bottom="1440" w:gutter="0" w:footer="0" w:header="0"/>
        </w:sectPr>
      </w:pPr>
    </w:p>
    <w:bookmarkStart w:id="48" w:name="page49"/>
    <w:bookmarkEnd w:id="48"/>
    <w:p>
      <w:pPr>
        <w:ind w:left="10360"/>
        <w:spacing w:after="0"/>
        <w:rPr>
          <w:sz w:val="20"/>
          <w:szCs w:val="20"/>
          <w:color w:val="auto"/>
        </w:rPr>
      </w:pPr>
      <w:r>
        <w:rPr>
          <w:rFonts w:ascii="Arial" w:cs="Arial" w:eastAsia="Arial" w:hAnsi="Arial"/>
          <w:sz w:val="15"/>
          <w:szCs w:val="15"/>
          <w:color w:val="auto"/>
        </w:rPr>
        <w:t>Exhibit 32.2</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Principal Financial Officer</w:t>
      </w:r>
    </w:p>
    <w:p>
      <w:pPr>
        <w:spacing w:after="0" w:line="211" w:lineRule="exact"/>
        <w:rPr>
          <w:sz w:val="20"/>
          <w:szCs w:val="20"/>
          <w:color w:val="auto"/>
        </w:rPr>
      </w:pPr>
    </w:p>
    <w:p>
      <w:pPr>
        <w:jc w:val="both"/>
        <w:spacing w:after="0" w:line="327" w:lineRule="auto"/>
        <w:rPr>
          <w:sz w:val="20"/>
          <w:szCs w:val="20"/>
          <w:color w:val="auto"/>
        </w:rPr>
      </w:pPr>
      <w:r>
        <w:rPr>
          <w:rFonts w:ascii="Arial" w:cs="Arial" w:eastAsia="Arial" w:hAnsi="Arial"/>
          <w:sz w:val="17"/>
          <w:szCs w:val="17"/>
          <w:color w:val="auto"/>
        </w:rPr>
        <w:t>In connection with the Quarterly Report on Form 10-Q of Accel Entertainment, Inc. (the “Company”) for the three months ended September 30, 2021 as filed with the Securities and Exchange Commission on the date hereof (the “Report”), I, Brian Carroll, Chief Financial Officer of the Company, certify, to the best of my knowledge and belief, pursuant to 18 U.S.C. § 1350, as adopted pursuant to § 906 of the Sarbanes-Oxley Act of 2002, that:</w:t>
      </w:r>
    </w:p>
    <w:p>
      <w:pPr>
        <w:spacing w:after="0" w:line="117" w:lineRule="exact"/>
        <w:rPr>
          <w:sz w:val="20"/>
          <w:szCs w:val="20"/>
          <w:color w:val="auto"/>
        </w:rPr>
      </w:pPr>
    </w:p>
    <w:p>
      <w:pPr>
        <w:ind w:left="1280" w:hanging="517"/>
        <w:spacing w:after="0" w:line="312" w:lineRule="auto"/>
        <w:tabs>
          <w:tab w:leader="none" w:pos="12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25" w:lineRule="exact"/>
        <w:rPr>
          <w:rFonts w:ascii="Arial" w:cs="Arial" w:eastAsia="Arial" w:hAnsi="Arial"/>
          <w:sz w:val="18"/>
          <w:szCs w:val="18"/>
          <w:color w:val="auto"/>
        </w:rPr>
      </w:pPr>
    </w:p>
    <w:p>
      <w:pPr>
        <w:ind w:left="1280" w:hanging="517"/>
        <w:spacing w:after="0" w:line="312" w:lineRule="auto"/>
        <w:tabs>
          <w:tab w:leader="none" w:pos="12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Brian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18719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7198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Carroll</w:t>
      </w:r>
    </w:p>
    <w:p>
      <w:pPr>
        <w:ind w:left="20"/>
        <w:spacing w:after="0" w:line="238" w:lineRule="auto"/>
        <w:rPr>
          <w:sz w:val="20"/>
          <w:szCs w:val="20"/>
          <w:color w:val="auto"/>
        </w:rPr>
      </w:pPr>
      <w:r>
        <w:rPr>
          <w:rFonts w:ascii="Arial" w:cs="Arial" w:eastAsia="Arial" w:hAnsi="Arial"/>
          <w:sz w:val="18"/>
          <w:szCs w:val="18"/>
          <w:color w:val="auto"/>
        </w:rPr>
        <w:t>Chief Financial Officer (Principal</w:t>
      </w:r>
    </w:p>
    <w:p>
      <w:pPr>
        <w:ind w:left="20"/>
        <w:spacing w:after="0"/>
        <w:rPr>
          <w:sz w:val="20"/>
          <w:szCs w:val="20"/>
          <w:color w:val="auto"/>
        </w:rPr>
      </w:pPr>
      <w:r>
        <w:rPr>
          <w:rFonts w:ascii="Arial" w:cs="Arial" w:eastAsia="Arial" w:hAnsi="Arial"/>
          <w:sz w:val="18"/>
          <w:szCs w:val="18"/>
          <w:color w:val="auto"/>
        </w:rPr>
        <w:t>Financial Officer)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23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9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3"/>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3"/>
    </w:lvl>
  </w:abstractNum>
  <w:abstractNum w:abstractNumId="10">
    <w:nsid w:val="109CF92E"/>
    <w:multiLevelType w:val="hybridMultilevel"/>
    <w:lvl w:ilvl="0">
      <w:lvlJc w:val="left"/>
      <w:lvlText w:val="(%1)"/>
      <w:numFmt w:val="decimal"/>
      <w:start w:val="6"/>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2021-11-03T15:52:10Z</dcterms:created>
  <dcterms:modified xsi:type="dcterms:W3CDTF">2021-11-03T15:52:10Z</dcterms:modified>
</cp:coreProperties>
</file>